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D25" w:rsidRDefault="002C42A3">
      <w:r>
        <w:t>This document the results of the computations and sensitivity studies performed for BRP related to structure no. 1311150.</w:t>
      </w:r>
    </w:p>
    <w:p w:rsidR="002C42A3" w:rsidRDefault="002C42A3" w:rsidP="002C42A3">
      <w:pPr>
        <w:pStyle w:val="ListParagraph"/>
        <w:numPr>
          <w:ilvl w:val="0"/>
          <w:numId w:val="1"/>
        </w:numPr>
      </w:pPr>
      <w:r>
        <w:t>What span arrangement, construction sequence, etc. might cause uplift?</w:t>
      </w:r>
    </w:p>
    <w:p w:rsidR="002C42A3" w:rsidRDefault="002C42A3" w:rsidP="002C42A3">
      <w:pPr>
        <w:pStyle w:val="ListParagraph"/>
        <w:numPr>
          <w:ilvl w:val="0"/>
          <w:numId w:val="1"/>
        </w:numPr>
      </w:pPr>
      <w:r>
        <w:t>Confusion exists about DL continuity (although DL continuity for the subject bridge structural arrangement is very unlikely, and 1311150 was continuous for SDL and LL only). What happens if DL continuity was implemented?</w:t>
      </w:r>
    </w:p>
    <w:p w:rsidR="005D431D" w:rsidRDefault="005D431D" w:rsidP="002C42A3">
      <w:pPr>
        <w:pStyle w:val="ListParagraph"/>
        <w:numPr>
          <w:ilvl w:val="0"/>
          <w:numId w:val="1"/>
        </w:numPr>
      </w:pPr>
      <w:r>
        <w:rPr>
          <w:noProof/>
        </w:rPr>
        <w:drawing>
          <wp:inline distT="0" distB="0" distL="0" distR="0" wp14:anchorId="02F49DCB" wp14:editId="7D56267F">
            <wp:extent cx="2575560" cy="43510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575560" cy="4351020"/>
                    </a:xfrm>
                    <a:prstGeom prst="rect">
                      <a:avLst/>
                    </a:prstGeom>
                  </pic:spPr>
                </pic:pic>
              </a:graphicData>
            </a:graphic>
          </wp:inline>
        </w:drawing>
      </w:r>
    </w:p>
    <w:p w:rsidR="00F927E9" w:rsidRDefault="00F927E9" w:rsidP="002C42A3">
      <w:pPr>
        <w:pStyle w:val="ListParagraph"/>
        <w:numPr>
          <w:ilvl w:val="0"/>
          <w:numId w:val="1"/>
        </w:numPr>
      </w:pPr>
      <w:r>
        <w:t>Stage 6 is superimposed dead load which in the case of this bridge is only the weight of the barriers.</w:t>
      </w:r>
    </w:p>
    <w:p w:rsidR="002C42A3" w:rsidRDefault="002C42A3" w:rsidP="002C42A3">
      <w:pPr>
        <w:pStyle w:val="Heading2"/>
      </w:pPr>
      <w:r>
        <w:t>1.</w:t>
      </w:r>
    </w:p>
    <w:p w:rsidR="002C42A3" w:rsidRPr="002C42A3" w:rsidRDefault="002C42A3" w:rsidP="002C42A3">
      <w:r>
        <w:t xml:space="preserve">The sequence of construction does not result in any uplift due to the self-weight of the girders. The following </w:t>
      </w:r>
      <w:r w:rsidR="00F927E9">
        <w:t xml:space="preserve">table lists the responses of the structure at key locations under the various dead load cases. </w:t>
      </w:r>
    </w:p>
    <w:tbl>
      <w:tblPr>
        <w:tblStyle w:val="TableGrid"/>
        <w:tblW w:w="8365" w:type="dxa"/>
        <w:jc w:val="center"/>
        <w:tblLook w:val="04A0" w:firstRow="1" w:lastRow="0" w:firstColumn="1" w:lastColumn="0" w:noHBand="0" w:noVBand="1"/>
      </w:tblPr>
      <w:tblGrid>
        <w:gridCol w:w="1025"/>
        <w:gridCol w:w="1400"/>
        <w:gridCol w:w="1604"/>
        <w:gridCol w:w="1096"/>
        <w:gridCol w:w="1620"/>
        <w:gridCol w:w="1620"/>
      </w:tblGrid>
      <w:tr w:rsidR="00F927E9" w:rsidTr="00A4197A">
        <w:trPr>
          <w:jc w:val="center"/>
        </w:trPr>
        <w:tc>
          <w:tcPr>
            <w:tcW w:w="1025" w:type="dxa"/>
            <w:vAlign w:val="center"/>
          </w:tcPr>
          <w:p w:rsidR="00F927E9" w:rsidRDefault="00F927E9" w:rsidP="00A4197A">
            <w:pPr>
              <w:jc w:val="center"/>
            </w:pPr>
            <w:r>
              <w:t>Load Case</w:t>
            </w:r>
          </w:p>
        </w:tc>
        <w:tc>
          <w:tcPr>
            <w:tcW w:w="1400" w:type="dxa"/>
            <w:vAlign w:val="center"/>
          </w:tcPr>
          <w:p w:rsidR="00F927E9" w:rsidRDefault="00F927E9" w:rsidP="00A4197A">
            <w:pPr>
              <w:jc w:val="center"/>
            </w:pPr>
            <w:r>
              <w:t>Anchor Span Reaction (kip)</w:t>
            </w:r>
          </w:p>
        </w:tc>
        <w:tc>
          <w:tcPr>
            <w:tcW w:w="1604" w:type="dxa"/>
            <w:vAlign w:val="center"/>
          </w:tcPr>
          <w:p w:rsidR="00F927E9" w:rsidRDefault="00F927E9" w:rsidP="00A4197A">
            <w:pPr>
              <w:jc w:val="center"/>
            </w:pPr>
            <w:r>
              <w:t>Reaction over interior support (kip)</w:t>
            </w:r>
          </w:p>
        </w:tc>
        <w:tc>
          <w:tcPr>
            <w:tcW w:w="1096" w:type="dxa"/>
            <w:vAlign w:val="center"/>
          </w:tcPr>
          <w:p w:rsidR="00F927E9" w:rsidRDefault="00F927E9" w:rsidP="00A4197A">
            <w:pPr>
              <w:jc w:val="center"/>
            </w:pPr>
            <w:r>
              <w:t>Moment @ 0.4L (kip-</w:t>
            </w:r>
            <w:proofErr w:type="spellStart"/>
            <w:r>
              <w:t>ft</w:t>
            </w:r>
            <w:proofErr w:type="spellEnd"/>
            <w:r>
              <w:t>)</w:t>
            </w:r>
          </w:p>
        </w:tc>
        <w:tc>
          <w:tcPr>
            <w:tcW w:w="1620" w:type="dxa"/>
            <w:vAlign w:val="center"/>
          </w:tcPr>
          <w:p w:rsidR="00F927E9" w:rsidRDefault="00F927E9" w:rsidP="00A4197A">
            <w:pPr>
              <w:jc w:val="center"/>
            </w:pPr>
            <w:r>
              <w:t>Moment over interior support (kip-</w:t>
            </w:r>
            <w:proofErr w:type="spellStart"/>
            <w:r>
              <w:t>ft</w:t>
            </w:r>
            <w:proofErr w:type="spellEnd"/>
            <w:r>
              <w:t>)</w:t>
            </w:r>
          </w:p>
        </w:tc>
        <w:tc>
          <w:tcPr>
            <w:tcW w:w="1620" w:type="dxa"/>
            <w:vAlign w:val="center"/>
          </w:tcPr>
          <w:p w:rsidR="00F927E9" w:rsidRDefault="00F927E9" w:rsidP="00A4197A">
            <w:pPr>
              <w:jc w:val="center"/>
            </w:pPr>
            <w:r>
              <w:t>Moment at center of drop-in span (kip-</w:t>
            </w:r>
            <w:proofErr w:type="spellStart"/>
            <w:r>
              <w:t>ft</w:t>
            </w:r>
            <w:proofErr w:type="spellEnd"/>
            <w:r>
              <w:t>)</w:t>
            </w:r>
          </w:p>
        </w:tc>
      </w:tr>
      <w:tr w:rsidR="00F927E9" w:rsidTr="00A4197A">
        <w:trPr>
          <w:jc w:val="center"/>
        </w:trPr>
        <w:tc>
          <w:tcPr>
            <w:tcW w:w="1025" w:type="dxa"/>
            <w:vAlign w:val="center"/>
          </w:tcPr>
          <w:p w:rsidR="00F927E9" w:rsidRDefault="00F927E9" w:rsidP="00F927E9">
            <w:pPr>
              <w:jc w:val="center"/>
            </w:pPr>
            <w:r>
              <w:t>DL1</w:t>
            </w:r>
          </w:p>
        </w:tc>
        <w:tc>
          <w:tcPr>
            <w:tcW w:w="1400" w:type="dxa"/>
            <w:vAlign w:val="center"/>
          </w:tcPr>
          <w:p w:rsidR="00F927E9" w:rsidRDefault="00F927E9" w:rsidP="00F927E9">
            <w:pPr>
              <w:jc w:val="center"/>
              <w:rPr>
                <w:rFonts w:ascii="Calibri" w:hAnsi="Calibri" w:cs="Calibri"/>
                <w:color w:val="000000"/>
              </w:rPr>
            </w:pPr>
            <w:r>
              <w:rPr>
                <w:rFonts w:ascii="Calibri" w:hAnsi="Calibri" w:cs="Calibri"/>
                <w:color w:val="000000"/>
              </w:rPr>
              <w:t>97.80</w:t>
            </w:r>
          </w:p>
        </w:tc>
        <w:tc>
          <w:tcPr>
            <w:tcW w:w="1604" w:type="dxa"/>
            <w:vAlign w:val="center"/>
          </w:tcPr>
          <w:p w:rsidR="00F927E9" w:rsidRDefault="00F927E9" w:rsidP="00F927E9">
            <w:pPr>
              <w:jc w:val="center"/>
              <w:rPr>
                <w:rFonts w:ascii="Calibri" w:hAnsi="Calibri" w:cs="Calibri"/>
                <w:color w:val="000000"/>
              </w:rPr>
            </w:pPr>
            <w:r>
              <w:rPr>
                <w:rFonts w:ascii="Calibri" w:hAnsi="Calibri" w:cs="Calibri"/>
                <w:color w:val="000000"/>
              </w:rPr>
              <w:t>37.27</w:t>
            </w:r>
          </w:p>
        </w:tc>
        <w:tc>
          <w:tcPr>
            <w:tcW w:w="1096" w:type="dxa"/>
            <w:vAlign w:val="center"/>
          </w:tcPr>
          <w:p w:rsidR="00F927E9" w:rsidRDefault="00F927E9" w:rsidP="00F927E9">
            <w:pPr>
              <w:jc w:val="center"/>
              <w:rPr>
                <w:rFonts w:ascii="Calibri" w:hAnsi="Calibri" w:cs="Calibri"/>
                <w:color w:val="000000"/>
              </w:rPr>
            </w:pPr>
            <w:r>
              <w:rPr>
                <w:rFonts w:ascii="Calibri" w:hAnsi="Calibri" w:cs="Calibri"/>
                <w:color w:val="000000"/>
              </w:rPr>
              <w:t>3254.02</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-455.50</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0.06</w:t>
            </w:r>
          </w:p>
        </w:tc>
      </w:tr>
      <w:tr w:rsidR="00F927E9" w:rsidTr="00A4197A">
        <w:trPr>
          <w:jc w:val="center"/>
        </w:trPr>
        <w:tc>
          <w:tcPr>
            <w:tcW w:w="1025" w:type="dxa"/>
            <w:vAlign w:val="center"/>
          </w:tcPr>
          <w:p w:rsidR="00F927E9" w:rsidRDefault="00F927E9" w:rsidP="00F927E9">
            <w:pPr>
              <w:jc w:val="center"/>
            </w:pPr>
            <w:r>
              <w:t>DL2</w:t>
            </w:r>
          </w:p>
        </w:tc>
        <w:tc>
          <w:tcPr>
            <w:tcW w:w="1400" w:type="dxa"/>
            <w:vAlign w:val="center"/>
          </w:tcPr>
          <w:p w:rsidR="00F927E9" w:rsidRDefault="00F927E9" w:rsidP="00F927E9">
            <w:pPr>
              <w:jc w:val="center"/>
              <w:rPr>
                <w:rFonts w:ascii="Calibri" w:hAnsi="Calibri" w:cs="Calibri"/>
                <w:color w:val="000000"/>
              </w:rPr>
            </w:pPr>
            <w:r>
              <w:rPr>
                <w:rFonts w:ascii="Calibri" w:hAnsi="Calibri" w:cs="Calibri"/>
                <w:color w:val="000000"/>
              </w:rPr>
              <w:t>-15.01</w:t>
            </w:r>
          </w:p>
        </w:tc>
        <w:tc>
          <w:tcPr>
            <w:tcW w:w="1604" w:type="dxa"/>
            <w:vAlign w:val="center"/>
          </w:tcPr>
          <w:p w:rsidR="00F927E9" w:rsidRDefault="00F927E9" w:rsidP="00F927E9">
            <w:pPr>
              <w:jc w:val="center"/>
              <w:rPr>
                <w:rFonts w:ascii="Calibri" w:hAnsi="Calibri" w:cs="Calibri"/>
                <w:color w:val="000000"/>
              </w:rPr>
            </w:pPr>
            <w:r>
              <w:rPr>
                <w:rFonts w:ascii="Calibri" w:hAnsi="Calibri" w:cs="Calibri"/>
                <w:color w:val="000000"/>
              </w:rPr>
              <w:t>84.08</w:t>
            </w:r>
          </w:p>
        </w:tc>
        <w:tc>
          <w:tcPr>
            <w:tcW w:w="1096" w:type="dxa"/>
            <w:vAlign w:val="center"/>
          </w:tcPr>
          <w:p w:rsidR="00F927E9" w:rsidRDefault="00F927E9" w:rsidP="00F927E9">
            <w:pPr>
              <w:jc w:val="center"/>
              <w:rPr>
                <w:rFonts w:ascii="Calibri" w:hAnsi="Calibri" w:cs="Calibri"/>
                <w:color w:val="000000"/>
              </w:rPr>
            </w:pPr>
            <w:r>
              <w:rPr>
                <w:rFonts w:ascii="Calibri" w:hAnsi="Calibri" w:cs="Calibri"/>
                <w:color w:val="000000"/>
              </w:rPr>
              <w:t>-851.71</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-2101.84</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2515.81</w:t>
            </w:r>
          </w:p>
        </w:tc>
      </w:tr>
      <w:tr w:rsidR="00F927E9" w:rsidTr="00A4197A">
        <w:trPr>
          <w:jc w:val="center"/>
        </w:trPr>
        <w:tc>
          <w:tcPr>
            <w:tcW w:w="1025" w:type="dxa"/>
            <w:vAlign w:val="center"/>
          </w:tcPr>
          <w:p w:rsidR="00F927E9" w:rsidRDefault="00F927E9" w:rsidP="00F927E9">
            <w:pPr>
              <w:jc w:val="center"/>
            </w:pPr>
            <w:r>
              <w:t>DL3</w:t>
            </w:r>
          </w:p>
        </w:tc>
        <w:tc>
          <w:tcPr>
            <w:tcW w:w="1400" w:type="dxa"/>
            <w:vAlign w:val="center"/>
          </w:tcPr>
          <w:p w:rsidR="00F927E9" w:rsidRDefault="00F927E9" w:rsidP="00F927E9">
            <w:pPr>
              <w:jc w:val="center"/>
              <w:rPr>
                <w:rFonts w:ascii="Calibri" w:hAnsi="Calibri" w:cs="Calibri"/>
                <w:color w:val="000000"/>
              </w:rPr>
            </w:pPr>
            <w:r>
              <w:rPr>
                <w:rFonts w:ascii="Calibri" w:hAnsi="Calibri" w:cs="Calibri"/>
                <w:color w:val="000000"/>
              </w:rPr>
              <w:t>58.60</w:t>
            </w:r>
          </w:p>
        </w:tc>
        <w:tc>
          <w:tcPr>
            <w:tcW w:w="1604" w:type="dxa"/>
            <w:vAlign w:val="center"/>
          </w:tcPr>
          <w:p w:rsidR="00F927E9" w:rsidRDefault="00F927E9" w:rsidP="00F927E9">
            <w:pPr>
              <w:jc w:val="center"/>
              <w:rPr>
                <w:rFonts w:ascii="Calibri" w:hAnsi="Calibri" w:cs="Calibri"/>
                <w:color w:val="000000"/>
              </w:rPr>
            </w:pPr>
            <w:r>
              <w:rPr>
                <w:rFonts w:ascii="Calibri" w:hAnsi="Calibri" w:cs="Calibri"/>
                <w:color w:val="000000"/>
              </w:rPr>
              <w:t>0.01</w:t>
            </w:r>
          </w:p>
        </w:tc>
        <w:tc>
          <w:tcPr>
            <w:tcW w:w="1096" w:type="dxa"/>
            <w:vAlign w:val="center"/>
          </w:tcPr>
          <w:p w:rsidR="00F927E9" w:rsidRDefault="00F927E9" w:rsidP="00F927E9">
            <w:pPr>
              <w:jc w:val="center"/>
              <w:rPr>
                <w:rFonts w:ascii="Calibri" w:hAnsi="Calibri" w:cs="Calibri"/>
                <w:color w:val="000000"/>
              </w:rPr>
            </w:pPr>
            <w:r>
              <w:rPr>
                <w:rFonts w:ascii="Calibri" w:hAnsi="Calibri" w:cs="Calibri"/>
                <w:color w:val="000000"/>
              </w:rPr>
              <w:t>1904.51</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-7.7E-04</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-1.0E-03</w:t>
            </w:r>
          </w:p>
        </w:tc>
      </w:tr>
      <w:tr w:rsidR="00F927E9" w:rsidTr="00A4197A">
        <w:trPr>
          <w:jc w:val="center"/>
        </w:trPr>
        <w:tc>
          <w:tcPr>
            <w:tcW w:w="1025" w:type="dxa"/>
            <w:vAlign w:val="center"/>
          </w:tcPr>
          <w:p w:rsidR="00F927E9" w:rsidRDefault="00F927E9" w:rsidP="00F927E9">
            <w:pPr>
              <w:jc w:val="center"/>
            </w:pPr>
            <w:r>
              <w:t>DL4</w:t>
            </w:r>
          </w:p>
        </w:tc>
        <w:tc>
          <w:tcPr>
            <w:tcW w:w="1400" w:type="dxa"/>
            <w:vAlign w:val="center"/>
          </w:tcPr>
          <w:p w:rsidR="00F927E9" w:rsidRDefault="00F927E9" w:rsidP="00F927E9">
            <w:pPr>
              <w:jc w:val="center"/>
              <w:rPr>
                <w:rFonts w:ascii="Calibri" w:hAnsi="Calibri" w:cs="Calibri"/>
                <w:color w:val="000000"/>
              </w:rPr>
            </w:pPr>
            <w:r>
              <w:rPr>
                <w:rFonts w:ascii="Calibri" w:hAnsi="Calibri" w:cs="Calibri"/>
                <w:color w:val="000000"/>
              </w:rPr>
              <w:t>-8.97</w:t>
            </w:r>
          </w:p>
        </w:tc>
        <w:tc>
          <w:tcPr>
            <w:tcW w:w="1604" w:type="dxa"/>
            <w:vAlign w:val="center"/>
          </w:tcPr>
          <w:p w:rsidR="00F927E9" w:rsidRDefault="00F927E9" w:rsidP="00F927E9">
            <w:pPr>
              <w:jc w:val="center"/>
              <w:rPr>
                <w:rFonts w:ascii="Calibri" w:hAnsi="Calibri" w:cs="Calibri"/>
                <w:color w:val="000000"/>
              </w:rPr>
            </w:pPr>
            <w:r>
              <w:rPr>
                <w:rFonts w:ascii="Calibri" w:hAnsi="Calibri" w:cs="Calibri"/>
                <w:color w:val="000000"/>
              </w:rPr>
              <w:t>50.29</w:t>
            </w:r>
          </w:p>
        </w:tc>
        <w:tc>
          <w:tcPr>
            <w:tcW w:w="1096" w:type="dxa"/>
            <w:vAlign w:val="center"/>
          </w:tcPr>
          <w:p w:rsidR="00F927E9" w:rsidRDefault="00F927E9" w:rsidP="00F927E9">
            <w:pPr>
              <w:jc w:val="center"/>
              <w:rPr>
                <w:rFonts w:ascii="Calibri" w:hAnsi="Calibri" w:cs="Calibri"/>
                <w:color w:val="000000"/>
              </w:rPr>
            </w:pPr>
            <w:r>
              <w:rPr>
                <w:rFonts w:ascii="Calibri" w:hAnsi="Calibri" w:cs="Calibri"/>
                <w:color w:val="000000"/>
              </w:rPr>
              <w:t>-509.45</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-1257.21</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1605.11</w:t>
            </w:r>
          </w:p>
        </w:tc>
      </w:tr>
      <w:tr w:rsidR="00F927E9" w:rsidTr="00A4197A">
        <w:trPr>
          <w:jc w:val="center"/>
        </w:trPr>
        <w:tc>
          <w:tcPr>
            <w:tcW w:w="1025" w:type="dxa"/>
            <w:vAlign w:val="center"/>
          </w:tcPr>
          <w:p w:rsidR="00F927E9" w:rsidRDefault="00F927E9" w:rsidP="00F927E9">
            <w:pPr>
              <w:jc w:val="center"/>
            </w:pPr>
            <w:r>
              <w:t>DL5</w:t>
            </w:r>
          </w:p>
        </w:tc>
        <w:tc>
          <w:tcPr>
            <w:tcW w:w="1400" w:type="dxa"/>
            <w:vAlign w:val="center"/>
          </w:tcPr>
          <w:p w:rsidR="00F927E9" w:rsidRDefault="00F927E9" w:rsidP="00F927E9">
            <w:pPr>
              <w:jc w:val="center"/>
              <w:rPr>
                <w:rFonts w:ascii="Calibri" w:hAnsi="Calibri" w:cs="Calibri"/>
                <w:color w:val="000000"/>
              </w:rPr>
            </w:pPr>
            <w:r>
              <w:rPr>
                <w:rFonts w:ascii="Calibri" w:hAnsi="Calibri" w:cs="Calibri"/>
                <w:color w:val="000000"/>
              </w:rPr>
              <w:t>1.18</w:t>
            </w:r>
          </w:p>
        </w:tc>
        <w:tc>
          <w:tcPr>
            <w:tcW w:w="1604" w:type="dxa"/>
            <w:vAlign w:val="center"/>
          </w:tcPr>
          <w:p w:rsidR="00F927E9" w:rsidRDefault="00F927E9" w:rsidP="00F927E9">
            <w:pPr>
              <w:jc w:val="center"/>
              <w:rPr>
                <w:rFonts w:ascii="Calibri" w:hAnsi="Calibri" w:cs="Calibri"/>
                <w:color w:val="000000"/>
              </w:rPr>
            </w:pPr>
            <w:r>
              <w:rPr>
                <w:rFonts w:ascii="Calibri" w:hAnsi="Calibri" w:cs="Calibri"/>
                <w:color w:val="000000"/>
              </w:rPr>
              <w:t>25.65</w:t>
            </w:r>
          </w:p>
        </w:tc>
        <w:tc>
          <w:tcPr>
            <w:tcW w:w="1096" w:type="dxa"/>
            <w:vAlign w:val="center"/>
          </w:tcPr>
          <w:p w:rsidR="00F927E9" w:rsidRDefault="00F927E9" w:rsidP="00F927E9">
            <w:pPr>
              <w:jc w:val="center"/>
              <w:rPr>
                <w:rFonts w:ascii="Calibri" w:hAnsi="Calibri" w:cs="Calibri"/>
                <w:color w:val="000000"/>
              </w:rPr>
            </w:pPr>
            <w:r>
              <w:rPr>
                <w:rFonts w:ascii="Calibri" w:hAnsi="Calibri" w:cs="Calibri"/>
                <w:color w:val="000000"/>
              </w:rPr>
              <w:t>66.49</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-370.41</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7.26</w:t>
            </w:r>
          </w:p>
        </w:tc>
      </w:tr>
      <w:tr w:rsidR="00F927E9" w:rsidTr="00A4197A">
        <w:trPr>
          <w:jc w:val="center"/>
        </w:trPr>
        <w:tc>
          <w:tcPr>
            <w:tcW w:w="1025" w:type="dxa"/>
            <w:vAlign w:val="center"/>
          </w:tcPr>
          <w:p w:rsidR="00F927E9" w:rsidRDefault="00F927E9" w:rsidP="00F927E9">
            <w:pPr>
              <w:jc w:val="center"/>
            </w:pPr>
            <w:r>
              <w:lastRenderedPageBreak/>
              <w:t>DL6</w:t>
            </w:r>
          </w:p>
        </w:tc>
        <w:tc>
          <w:tcPr>
            <w:tcW w:w="1400" w:type="dxa"/>
            <w:vAlign w:val="center"/>
          </w:tcPr>
          <w:p w:rsidR="00F927E9" w:rsidRDefault="00F927E9" w:rsidP="00F927E9">
            <w:pPr>
              <w:jc w:val="center"/>
              <w:rPr>
                <w:rFonts w:ascii="Calibri" w:hAnsi="Calibri" w:cs="Calibri"/>
                <w:color w:val="000000"/>
              </w:rPr>
            </w:pPr>
            <w:r>
              <w:rPr>
                <w:rFonts w:ascii="Calibri" w:hAnsi="Calibri" w:cs="Calibri"/>
                <w:color w:val="000000"/>
              </w:rPr>
              <w:t>7.86</w:t>
            </w:r>
          </w:p>
        </w:tc>
        <w:tc>
          <w:tcPr>
            <w:tcW w:w="1604" w:type="dxa"/>
            <w:vAlign w:val="center"/>
          </w:tcPr>
          <w:p w:rsidR="00F927E9" w:rsidRDefault="00F927E9" w:rsidP="00F927E9">
            <w:pPr>
              <w:jc w:val="center"/>
              <w:rPr>
                <w:rFonts w:ascii="Calibri" w:hAnsi="Calibri" w:cs="Calibri"/>
                <w:color w:val="000000"/>
              </w:rPr>
            </w:pPr>
            <w:r>
              <w:rPr>
                <w:rFonts w:ascii="Calibri" w:hAnsi="Calibri" w:cs="Calibri"/>
                <w:color w:val="000000"/>
              </w:rPr>
              <w:t>13.11</w:t>
            </w:r>
          </w:p>
        </w:tc>
        <w:tc>
          <w:tcPr>
            <w:tcW w:w="1096" w:type="dxa"/>
            <w:vAlign w:val="center"/>
          </w:tcPr>
          <w:p w:rsidR="00F927E9" w:rsidRDefault="00F927E9" w:rsidP="00F927E9">
            <w:pPr>
              <w:jc w:val="center"/>
              <w:rPr>
                <w:rFonts w:ascii="Calibri" w:hAnsi="Calibri" w:cs="Calibri"/>
                <w:color w:val="000000"/>
              </w:rPr>
            </w:pPr>
            <w:r>
              <w:rPr>
                <w:rFonts w:ascii="Calibri" w:hAnsi="Calibri" w:cs="Calibri"/>
                <w:color w:val="000000"/>
              </w:rPr>
              <w:t>200.65</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-408.33</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150.42</w:t>
            </w:r>
          </w:p>
        </w:tc>
      </w:tr>
      <w:tr w:rsidR="00F927E9" w:rsidTr="00A4197A">
        <w:trPr>
          <w:jc w:val="center"/>
        </w:trPr>
        <w:tc>
          <w:tcPr>
            <w:tcW w:w="1025" w:type="dxa"/>
            <w:vAlign w:val="center"/>
          </w:tcPr>
          <w:p w:rsidR="00F927E9" w:rsidRDefault="00F927E9" w:rsidP="00F927E9">
            <w:pPr>
              <w:jc w:val="center"/>
            </w:pPr>
            <w:r>
              <w:t>Total DL</w:t>
            </w:r>
          </w:p>
        </w:tc>
        <w:tc>
          <w:tcPr>
            <w:tcW w:w="1400" w:type="dxa"/>
            <w:vAlign w:val="center"/>
          </w:tcPr>
          <w:p w:rsidR="00F927E9" w:rsidRDefault="00F927E9" w:rsidP="00F927E9">
            <w:pPr>
              <w:jc w:val="center"/>
              <w:rPr>
                <w:rFonts w:ascii="Calibri" w:hAnsi="Calibri" w:cs="Calibri"/>
                <w:color w:val="000000"/>
              </w:rPr>
            </w:pPr>
            <w:r>
              <w:rPr>
                <w:rFonts w:ascii="Calibri" w:hAnsi="Calibri" w:cs="Calibri"/>
                <w:color w:val="000000"/>
              </w:rPr>
              <w:t>141.46</w:t>
            </w:r>
          </w:p>
        </w:tc>
        <w:tc>
          <w:tcPr>
            <w:tcW w:w="1604" w:type="dxa"/>
            <w:vAlign w:val="center"/>
          </w:tcPr>
          <w:p w:rsidR="00F927E9" w:rsidRDefault="00F927E9" w:rsidP="00F927E9">
            <w:pPr>
              <w:jc w:val="center"/>
              <w:rPr>
                <w:rFonts w:ascii="Calibri" w:hAnsi="Calibri" w:cs="Calibri"/>
                <w:color w:val="000000"/>
              </w:rPr>
            </w:pPr>
            <w:r>
              <w:rPr>
                <w:rFonts w:ascii="Calibri" w:hAnsi="Calibri" w:cs="Calibri"/>
                <w:color w:val="000000"/>
              </w:rPr>
              <w:t>210.41</w:t>
            </w:r>
          </w:p>
        </w:tc>
        <w:tc>
          <w:tcPr>
            <w:tcW w:w="1096" w:type="dxa"/>
            <w:vAlign w:val="center"/>
          </w:tcPr>
          <w:p w:rsidR="00F927E9" w:rsidRDefault="00F927E9" w:rsidP="00F927E9">
            <w:pPr>
              <w:jc w:val="center"/>
              <w:rPr>
                <w:rFonts w:ascii="Calibri" w:hAnsi="Calibri" w:cs="Calibri"/>
                <w:color w:val="000000"/>
              </w:rPr>
            </w:pPr>
            <w:r>
              <w:rPr>
                <w:rFonts w:ascii="Calibri" w:hAnsi="Calibri" w:cs="Calibri"/>
                <w:color w:val="000000"/>
              </w:rPr>
              <w:t>4064.50</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-4593.29</w:t>
            </w:r>
          </w:p>
        </w:tc>
        <w:tc>
          <w:tcPr>
            <w:tcW w:w="1620" w:type="dxa"/>
            <w:vAlign w:val="center"/>
          </w:tcPr>
          <w:p w:rsidR="00F927E9" w:rsidRDefault="00F927E9" w:rsidP="00F927E9">
            <w:pPr>
              <w:jc w:val="center"/>
              <w:rPr>
                <w:rFonts w:ascii="Calibri" w:hAnsi="Calibri" w:cs="Calibri"/>
                <w:color w:val="000000"/>
              </w:rPr>
            </w:pPr>
            <w:r>
              <w:rPr>
                <w:rFonts w:ascii="Calibri" w:hAnsi="Calibri" w:cs="Calibri"/>
                <w:color w:val="000000"/>
              </w:rPr>
              <w:t>4278.66</w:t>
            </w:r>
          </w:p>
        </w:tc>
      </w:tr>
    </w:tbl>
    <w:p w:rsidR="002C42A3" w:rsidRPr="002C42A3" w:rsidRDefault="006B72E8" w:rsidP="002C42A3">
      <w:r>
        <w:t>At no point during the construction do dead loads result in uplift or moment reversal. This is because the uplift generated by the drop-in span is only 15% of the magnitude of the downward force generated from the anchor span beam self-weight.</w:t>
      </w:r>
      <w:r w:rsidR="00741490">
        <w:t xml:space="preserve"> Furthermore, live load concentrated on the drop-in span would cause uplift forces, however, their magnitude would be </w:t>
      </w:r>
      <w:bookmarkStart w:id="0" w:name="_GoBack"/>
      <w:bookmarkEnd w:id="0"/>
    </w:p>
    <w:sectPr w:rsidR="002C42A3" w:rsidRPr="002C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C559C"/>
    <w:multiLevelType w:val="hybridMultilevel"/>
    <w:tmpl w:val="33303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33"/>
    <w:rsid w:val="0003334C"/>
    <w:rsid w:val="00080FEB"/>
    <w:rsid w:val="000D63C5"/>
    <w:rsid w:val="00107EA0"/>
    <w:rsid w:val="00115473"/>
    <w:rsid w:val="00121133"/>
    <w:rsid w:val="00167D12"/>
    <w:rsid w:val="00235FAA"/>
    <w:rsid w:val="002C42A3"/>
    <w:rsid w:val="002E586E"/>
    <w:rsid w:val="003570B3"/>
    <w:rsid w:val="003F2CE5"/>
    <w:rsid w:val="00507AA4"/>
    <w:rsid w:val="00577375"/>
    <w:rsid w:val="005B3931"/>
    <w:rsid w:val="005C6D25"/>
    <w:rsid w:val="005D431D"/>
    <w:rsid w:val="005F0563"/>
    <w:rsid w:val="00620217"/>
    <w:rsid w:val="006B72E8"/>
    <w:rsid w:val="006C5697"/>
    <w:rsid w:val="007326EE"/>
    <w:rsid w:val="00741490"/>
    <w:rsid w:val="00747EEB"/>
    <w:rsid w:val="008255A8"/>
    <w:rsid w:val="008808AB"/>
    <w:rsid w:val="008857E4"/>
    <w:rsid w:val="008A3C50"/>
    <w:rsid w:val="009F4030"/>
    <w:rsid w:val="00A4197A"/>
    <w:rsid w:val="00B01864"/>
    <w:rsid w:val="00B16D7E"/>
    <w:rsid w:val="00B4590E"/>
    <w:rsid w:val="00D00B7F"/>
    <w:rsid w:val="00D525BF"/>
    <w:rsid w:val="00E3742E"/>
    <w:rsid w:val="00E854E4"/>
    <w:rsid w:val="00F9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545C"/>
  <w15:chartTrackingRefBased/>
  <w15:docId w15:val="{774AD016-A021-40B7-AD96-38F00355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C4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A3"/>
    <w:pPr>
      <w:spacing w:line="256" w:lineRule="auto"/>
      <w:ind w:left="720"/>
      <w:contextualSpacing/>
    </w:pPr>
  </w:style>
  <w:style w:type="character" w:customStyle="1" w:styleId="Heading2Char">
    <w:name w:val="Heading 2 Char"/>
    <w:basedOn w:val="DefaultParagraphFont"/>
    <w:link w:val="Heading2"/>
    <w:uiPriority w:val="9"/>
    <w:rsid w:val="002C42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C4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46023">
      <w:bodyDiv w:val="1"/>
      <w:marLeft w:val="0"/>
      <w:marRight w:val="0"/>
      <w:marTop w:val="0"/>
      <w:marBottom w:val="0"/>
      <w:divBdr>
        <w:top w:val="none" w:sz="0" w:space="0" w:color="auto"/>
        <w:left w:val="none" w:sz="0" w:space="0" w:color="auto"/>
        <w:bottom w:val="none" w:sz="0" w:space="0" w:color="auto"/>
        <w:right w:val="none" w:sz="0" w:space="0" w:color="auto"/>
      </w:divBdr>
    </w:div>
    <w:div w:id="112882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2021-07-26T18:52:00Z</dcterms:created>
  <dcterms:modified xsi:type="dcterms:W3CDTF">2021-07-27T12:29:00Z</dcterms:modified>
</cp:coreProperties>
</file>