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E8" w:rsidRDefault="00CD59E8" w:rsidP="001D66E3">
      <w:pPr>
        <w:pStyle w:val="Heading1"/>
      </w:pPr>
      <w:r>
        <w:t>Description</w:t>
      </w:r>
    </w:p>
    <w:p w:rsidR="00CD59E8" w:rsidRDefault="00CD59E8" w:rsidP="00CD59E8">
      <w:r>
        <w:t xml:space="preserve">This state-space model is developed from the equations of motion for a single sprung mass traveling over a 2-span continuous beam with distributed mass and stiffness. The beam is reduced to a single degree-of-freedom by assuming </w:t>
      </w:r>
      <w:r w:rsidR="003F1117">
        <w:t>it deforms</w:t>
      </w:r>
      <w:r>
        <w:t xml:space="preserve"> according to a shape function. A sinusoidal shape function was chosen to capture the excitement of the beam’s first mode of vibration (1</w:t>
      </w:r>
      <w:r w:rsidRPr="00CD59E8">
        <w:rPr>
          <w:vertAlign w:val="superscript"/>
        </w:rPr>
        <w:t>st</w:t>
      </w:r>
      <w:r>
        <w:t xml:space="preserve"> bending). The beam h</w:t>
      </w:r>
      <w:r w:rsidR="003F1117">
        <w:t>as a uniform stiffness parameter (</w:t>
      </w:r>
      <w:r>
        <w:t>EI</w:t>
      </w:r>
      <w:r w:rsidR="003F1117">
        <w:t>)</w:t>
      </w:r>
      <w:r>
        <w:t>, uniform mass distri</w:t>
      </w:r>
      <w:r w:rsidR="003F1117">
        <w:t xml:space="preserve">bution, and equal span lengths (L). Damping of the beam is not included. The vehicle is reduced to a single point mass </w:t>
      </w:r>
      <w:r w:rsidR="0039144B">
        <w:t>(</w:t>
      </w:r>
      <w:proofErr w:type="spellStart"/>
      <w:r w:rsidR="0039144B" w:rsidRPr="0039144B">
        <w:rPr>
          <w:i/>
        </w:rPr>
        <w:t>m</w:t>
      </w:r>
      <w:r w:rsidR="0039144B" w:rsidRPr="0039144B">
        <w:rPr>
          <w:vertAlign w:val="subscript"/>
        </w:rPr>
        <w:t>t</w:t>
      </w:r>
      <w:proofErr w:type="spellEnd"/>
      <w:r w:rsidR="0039144B">
        <w:t xml:space="preserve">) </w:t>
      </w:r>
      <w:r w:rsidR="003F1117">
        <w:t>with specified spring stiffness</w:t>
      </w:r>
      <w:r w:rsidR="0039144B">
        <w:t xml:space="preserve"> (</w:t>
      </w:r>
      <w:proofErr w:type="spellStart"/>
      <w:r w:rsidR="0039144B">
        <w:t>k</w:t>
      </w:r>
      <w:r w:rsidR="0039144B" w:rsidRPr="0039144B">
        <w:rPr>
          <w:vertAlign w:val="subscript"/>
        </w:rPr>
        <w:t>t</w:t>
      </w:r>
      <w:proofErr w:type="spellEnd"/>
      <w:r w:rsidR="0039144B">
        <w:t>)</w:t>
      </w:r>
      <w:r w:rsidR="003F1117">
        <w:t>, viscous damping coefficient</w:t>
      </w:r>
      <w:r w:rsidR="0039144B">
        <w:t xml:space="preserve"> (</w:t>
      </w:r>
      <w:proofErr w:type="spellStart"/>
      <w:r w:rsidR="0039144B">
        <w:t>c</w:t>
      </w:r>
      <w:r w:rsidR="0039144B" w:rsidRPr="0039144B">
        <w:rPr>
          <w:vertAlign w:val="subscript"/>
        </w:rPr>
        <w:t>t</w:t>
      </w:r>
      <w:proofErr w:type="spellEnd"/>
      <w:r w:rsidR="0039144B">
        <w:t>)</w:t>
      </w:r>
      <w:r w:rsidR="003F1117">
        <w:t>, and traveling at a specified velocity</w:t>
      </w:r>
      <w:r w:rsidR="0039144B">
        <w:t xml:space="preserve"> (</w:t>
      </w:r>
      <w:r w:rsidR="0039144B">
        <w:rPr>
          <w:i/>
        </w:rPr>
        <w:t>v</w:t>
      </w:r>
      <w:r w:rsidR="0039144B">
        <w:t>)</w:t>
      </w:r>
      <w:r w:rsidR="003F1117">
        <w:t xml:space="preserve">. </w:t>
      </w:r>
    </w:p>
    <w:p w:rsidR="00CA771F" w:rsidRPr="00CD59E8" w:rsidRDefault="00CA771F" w:rsidP="00CA771F">
      <w:pPr>
        <w:jc w:val="center"/>
      </w:pPr>
      <w:r>
        <w:rPr>
          <w:noProof/>
        </w:rPr>
        <w:drawing>
          <wp:inline distT="0" distB="0" distL="0" distR="0" wp14:anchorId="67A84663" wp14:editId="6E9B98F9">
            <wp:extent cx="3657600" cy="14447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8A" w:rsidRDefault="003A5A8A" w:rsidP="001D66E3">
      <w:pPr>
        <w:pStyle w:val="Heading1"/>
      </w:pPr>
      <w:r>
        <w:t>Validation</w:t>
      </w:r>
    </w:p>
    <w:p w:rsidR="003A5A8A" w:rsidRDefault="003A5A8A" w:rsidP="003A5A8A">
      <w:r>
        <w:t xml:space="preserve">To assess the ability of this model to estimate beam response to a moving sprung mass, a test case scenario was simulated with the state-space model as well as an FE model. The FE model was given the same properties (mass, E, I) as were used in the state-space model, and the sprung mass was assigned equivalent mass, damping and stiffness values. An artificial profile, constructed with ISO 8608 standards, was imposed on the models. </w:t>
      </w:r>
    </w:p>
    <w:p w:rsidR="003A5A8A" w:rsidRDefault="003A5A8A" w:rsidP="00CA25BE">
      <w:pPr>
        <w:jc w:val="center"/>
      </w:pPr>
      <w:r>
        <w:rPr>
          <w:noProof/>
        </w:rPr>
        <w:drawing>
          <wp:inline distT="0" distB="0" distL="0" distR="0">
            <wp:extent cx="475488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BE" w:rsidRDefault="00CA25BE" w:rsidP="003A5A8A">
      <w:r>
        <w:t xml:space="preserve">The above plot shows that the state-space model is limited to the assumed deformation shape and thus under-predicts displacement. However, as the plot below shows, the displacement amplification is </w:t>
      </w:r>
      <w:r>
        <w:lastRenderedPageBreak/>
        <w:t xml:space="preserve">accurately predicted with the state-space model and is conservative. The displacement amplification is computed as the dynamic response divided by the maximum static response. </w:t>
      </w:r>
    </w:p>
    <w:p w:rsidR="00CA25BE" w:rsidRDefault="00CA25BE" w:rsidP="00CA25BE">
      <w:pPr>
        <w:jc w:val="center"/>
      </w:pPr>
      <w:r>
        <w:rPr>
          <w:noProof/>
        </w:rPr>
        <w:drawing>
          <wp:inline distT="0" distB="0" distL="0" distR="0">
            <wp:extent cx="4756785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9B" w:rsidRDefault="00CB1F9B" w:rsidP="00CB1F9B">
      <w:r>
        <w:tab/>
      </w:r>
      <w:r w:rsidR="00CD59E8">
        <w:t xml:space="preserve"> </w:t>
      </w:r>
    </w:p>
    <w:p w:rsidR="00CA25BE" w:rsidRDefault="00CA25BE" w:rsidP="00CA25BE">
      <w:pPr>
        <w:jc w:val="center"/>
      </w:pPr>
      <w:r>
        <w:rPr>
          <w:noProof/>
        </w:rPr>
        <w:drawing>
          <wp:inline distT="0" distB="0" distL="0" distR="0">
            <wp:extent cx="4756785" cy="236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4B" w:rsidRDefault="0039144B" w:rsidP="0039144B">
      <w:r>
        <w:tab/>
        <w:t xml:space="preserve">To demonstrate the ability of the model to estimate the additional response due to excitation of the bridge mass, the following plot illustrates the bridge displacement minus the static response. </w:t>
      </w:r>
    </w:p>
    <w:p w:rsidR="0039144B" w:rsidRDefault="00E37D74" w:rsidP="00E37D74">
      <w:pPr>
        <w:jc w:val="center"/>
      </w:pPr>
      <w:r>
        <w:rPr>
          <w:noProof/>
        </w:rPr>
        <w:lastRenderedPageBreak/>
        <w:drawing>
          <wp:inline distT="0" distB="0" distL="0" distR="0">
            <wp:extent cx="4751705" cy="2372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D74" w:rsidRDefault="00E37D74" w:rsidP="00E37D74">
      <w:r>
        <w:t xml:space="preserve">This model cannot exactly simulate a beam with a moving sprung </w:t>
      </w:r>
      <w:r w:rsidR="002D45A5">
        <w:t>mass;</w:t>
      </w:r>
      <w:r>
        <w:t xml:space="preserve"> however, it seems that it can satisfactorily estimate the dynamic response of the beam. Further studies will show whether this model is capable of estimating dynamic amplification of a bridge.</w:t>
      </w:r>
    </w:p>
    <w:p w:rsidR="00E37D74" w:rsidRDefault="00E37D74" w:rsidP="00E37D74">
      <w:pPr>
        <w:pStyle w:val="Heading1"/>
      </w:pPr>
      <w:r>
        <w:t>Correlation with full bridge FE model</w:t>
      </w:r>
    </w:p>
    <w:p w:rsidR="00E37D74" w:rsidRDefault="00E37D74" w:rsidP="00E37D74">
      <w:r>
        <w:t xml:space="preserve">The goal of this section is to establish scenarios for which the 2-span continuous state-space model is capable of accurately estimating bridge dynamic amplification. </w:t>
      </w:r>
    </w:p>
    <w:p w:rsidR="00FB2E27" w:rsidRPr="00E37D74" w:rsidRDefault="00FB2E27" w:rsidP="00E37D74">
      <w:r>
        <w:t xml:space="preserve">The scenarios consist of several different bridges and several different profiles. </w:t>
      </w:r>
    </w:p>
    <w:p w:rsidR="00550D12" w:rsidRDefault="001D66E3" w:rsidP="001D66E3">
      <w:pPr>
        <w:pStyle w:val="Heading1"/>
      </w:pPr>
      <w:r>
        <w:t>Governing Equations</w:t>
      </w:r>
    </w:p>
    <w:p w:rsidR="005C795C" w:rsidRDefault="003A5A8A" w:rsidP="005C795C">
      <w:pPr>
        <w:pStyle w:val="Heading2"/>
      </w:pPr>
      <w:r>
        <w:t>Assumed de</w:t>
      </w:r>
      <w:r w:rsidR="005C795C">
        <w:t>formation shape function</w:t>
      </w:r>
    </w:p>
    <w:p w:rsidR="005C795C" w:rsidRPr="005C795C" w:rsidRDefault="005C795C" w:rsidP="00CA771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</m:oMath>
      <w:r w:rsidR="00765E93">
        <w:rPr>
          <w:rFonts w:eastAsiaTheme="minorEastAsia"/>
        </w:rPr>
        <w:t xml:space="preserve"> </w:t>
      </w:r>
      <w:proofErr w:type="gramStart"/>
      <w:r w:rsidR="00765E93">
        <w:rPr>
          <w:rFonts w:eastAsiaTheme="minorEastAsia"/>
        </w:rPr>
        <w:t>for</w:t>
      </w:r>
      <w:proofErr w:type="gramEnd"/>
      <w:r w:rsidR="00765E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0≤x≤2L</m:t>
        </m:r>
      </m:oMath>
    </w:p>
    <w:p w:rsidR="005C795C" w:rsidRPr="00CC4986" w:rsidRDefault="00FB2E27" w:rsidP="005C7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πvt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CC4986" w:rsidRPr="00CC4986" w:rsidRDefault="00FB2E27" w:rsidP="005C7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πvt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CC4986" w:rsidRDefault="00CC4986" w:rsidP="00CC4986">
      <w:pPr>
        <w:pStyle w:val="Heading2"/>
        <w:rPr>
          <w:rFonts w:eastAsiaTheme="minorEastAsia"/>
        </w:rPr>
      </w:pPr>
      <w:r>
        <w:rPr>
          <w:rFonts w:eastAsiaTheme="minorEastAsia"/>
        </w:rPr>
        <w:t>Distributed mass and stiffness</w:t>
      </w:r>
    </w:p>
    <w:p w:rsidR="00CC4986" w:rsidRPr="00255E5E" w:rsidRDefault="00FB2E27" w:rsidP="00CC4986">
      <w:pPr>
        <w:rPr>
          <w:rFonts w:asciiTheme="majorHAnsi" w:eastAsiaTheme="minorEastAsia" w:hAnsiTheme="majorHAnsi" w:cstheme="majorBidi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255E5E" w:rsidRPr="00196FC4" w:rsidRDefault="00FB2E27" w:rsidP="00CC4986">
      <w:pPr>
        <w:rPr>
          <w:rFonts w:asciiTheme="majorHAnsi" w:eastAsiaTheme="minorEastAsia" w:hAnsiTheme="majorHAnsi" w:cstheme="majorBidi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EI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ψ"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EI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</m:oMath>
      </m:oMathPara>
    </w:p>
    <w:p w:rsidR="00196FC4" w:rsidRDefault="00196FC4" w:rsidP="00196FC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Force transformation</w:t>
      </w:r>
    </w:p>
    <w:p w:rsidR="00196FC4" w:rsidRPr="00255E5E" w:rsidRDefault="00FB2E27" w:rsidP="00196FC4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2L</m:t>
              </m:r>
            </m:sup>
            <m:e>
              <m:r>
                <w:rPr>
                  <w:rFonts w:ascii="Cambria Math" w:hAnsi="Cambria Math"/>
                </w:rPr>
                <m:t>p(x,t)ψ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x-vt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πvt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196FC4" w:rsidRPr="005C795C" w:rsidRDefault="00FB2E27" w:rsidP="00196F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acc>
            </m:e>
          </m:d>
        </m:oMath>
      </m:oMathPara>
    </w:p>
    <w:p w:rsidR="00196FC4" w:rsidRPr="00255E5E" w:rsidRDefault="00196FC4" w:rsidP="00CC4986">
      <w:pPr>
        <w:rPr>
          <w:rFonts w:asciiTheme="majorHAnsi" w:eastAsiaTheme="minorEastAsia" w:hAnsiTheme="majorHAnsi" w:cstheme="majorBidi"/>
        </w:rPr>
      </w:pPr>
    </w:p>
    <w:p w:rsidR="001D66E3" w:rsidRDefault="001D66E3" w:rsidP="001D66E3">
      <w:pPr>
        <w:pStyle w:val="Heading2"/>
      </w:pPr>
      <w:r>
        <w:t>Equations of motion</w:t>
      </w:r>
      <w:r w:rsidR="00D22EF9">
        <w:t xml:space="preserve"> for when vehicle is on bridge</w:t>
      </w:r>
      <w:r>
        <w:t>:</w:t>
      </w:r>
    </w:p>
    <w:p w:rsidR="00D22EF9" w:rsidRPr="00D22EF9" w:rsidRDefault="00D22EF9" w:rsidP="00D22EF9">
      <w:r>
        <w:t xml:space="preserve">For </w:t>
      </w:r>
      <m:oMath>
        <m:r>
          <w:rPr>
            <w:rFonts w:ascii="Cambria Math" w:hAnsi="Cambria Math"/>
          </w:rPr>
          <m:t>0≤t≤2L/v</m:t>
        </m:r>
      </m:oMath>
    </w:p>
    <w:p w:rsidR="001D66E3" w:rsidRPr="001D66E3" w:rsidRDefault="00FB2E27" w:rsidP="001D66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g=0</m:t>
          </m:r>
        </m:oMath>
      </m:oMathPara>
    </w:p>
    <w:p w:rsidR="001D66E3" w:rsidRPr="00196FC4" w:rsidRDefault="00FB2E27" w:rsidP="001D66E3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πvt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196FC4" w:rsidRDefault="00196FC4" w:rsidP="00196FC4">
      <w:pPr>
        <w:pStyle w:val="Heading2"/>
        <w:rPr>
          <w:rFonts w:eastAsiaTheme="minorEastAsia"/>
        </w:rPr>
      </w:pPr>
      <w:r>
        <w:rPr>
          <w:rFonts w:eastAsiaTheme="minorEastAsia"/>
        </w:rPr>
        <w:t>State Definitions</w:t>
      </w:r>
    </w:p>
    <w:p w:rsidR="00196FC4" w:rsidRDefault="00FB2E27" w:rsidP="00196FC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196FC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=z</m:t>
        </m:r>
      </m:oMath>
      <w:r w:rsidR="00196FC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96FC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196FC4" w:rsidRDefault="00196FC4" w:rsidP="00196FC4">
      <w:pPr>
        <w:pStyle w:val="Heading2"/>
      </w:pPr>
      <w:r>
        <w:t>Input</w:t>
      </w:r>
    </w:p>
    <w:p w:rsidR="00196FC4" w:rsidRDefault="00FB2E27" w:rsidP="00196FC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 w:rsidR="00196FC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=∆</m:t>
        </m:r>
      </m:oMath>
    </w:p>
    <w:p w:rsidR="00196FC4" w:rsidRDefault="00196FC4" w:rsidP="00196FC4">
      <w:pPr>
        <w:pStyle w:val="Heading2"/>
      </w:pPr>
      <w:r>
        <w:t>State Space Equations</w:t>
      </w:r>
    </w:p>
    <w:p w:rsidR="00196FC4" w:rsidRDefault="00196FC4" w:rsidP="00D22EF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196FC4" w:rsidRPr="00F83F25" w:rsidRDefault="00FB2E27" w:rsidP="00196FC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=AZ+BU+F</m:t>
          </m:r>
        </m:oMath>
      </m:oMathPara>
    </w:p>
    <w:p w:rsidR="00F83F25" w:rsidRPr="00D22EF9" w:rsidRDefault="00D22EF9" w:rsidP="00196F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22EF9" w:rsidRPr="00D22EF9" w:rsidRDefault="00D22EF9" w:rsidP="00196F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22EF9" w:rsidRPr="003A5A8A" w:rsidRDefault="00D22EF9" w:rsidP="00196F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A5A8A" w:rsidRDefault="003A5A8A" w:rsidP="003A5A8A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State Space matrices for vehicle off bridge:</w:t>
      </w:r>
    </w:p>
    <w:p w:rsidR="003A5A8A" w:rsidRPr="00D22EF9" w:rsidRDefault="003A5A8A" w:rsidP="003A5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A5A8A" w:rsidRPr="00D22EF9" w:rsidRDefault="003A5A8A" w:rsidP="003A5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A5A8A" w:rsidRPr="003A5A8A" w:rsidRDefault="003A5A8A" w:rsidP="003A5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A5A8A" w:rsidRPr="003A5A8A" w:rsidRDefault="003A5A8A" w:rsidP="003A5A8A"/>
    <w:sectPr w:rsidR="003A5A8A" w:rsidRPr="003A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98"/>
    <w:rsid w:val="00196FC4"/>
    <w:rsid w:val="001D66E3"/>
    <w:rsid w:val="00255E5E"/>
    <w:rsid w:val="002D45A5"/>
    <w:rsid w:val="0039144B"/>
    <w:rsid w:val="003A5A8A"/>
    <w:rsid w:val="003F1117"/>
    <w:rsid w:val="00464C98"/>
    <w:rsid w:val="00550D12"/>
    <w:rsid w:val="005C795C"/>
    <w:rsid w:val="00765E93"/>
    <w:rsid w:val="007E1B98"/>
    <w:rsid w:val="00BF1DF6"/>
    <w:rsid w:val="00CA25BE"/>
    <w:rsid w:val="00CA771F"/>
    <w:rsid w:val="00CB1F9B"/>
    <w:rsid w:val="00CC4986"/>
    <w:rsid w:val="00CD59E8"/>
    <w:rsid w:val="00D22EF9"/>
    <w:rsid w:val="00E37D74"/>
    <w:rsid w:val="00F83F25"/>
    <w:rsid w:val="00FB20D9"/>
    <w:rsid w:val="00F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D66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D66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6</cp:revision>
  <dcterms:created xsi:type="dcterms:W3CDTF">2018-10-23T15:28:00Z</dcterms:created>
  <dcterms:modified xsi:type="dcterms:W3CDTF">2018-11-01T20:02:00Z</dcterms:modified>
</cp:coreProperties>
</file>