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4AC53105"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CC42A3">
        <w:rPr>
          <w:rFonts w:eastAsia="Times New Roman" w:cstheme="minorHAnsi"/>
          <w:spacing w:val="1"/>
          <w:w w:val="99"/>
          <w:sz w:val="28"/>
          <w:szCs w:val="28"/>
        </w:rPr>
        <w:t>8</w:t>
      </w:r>
    </w:p>
    <w:p w14:paraId="50A3476E" w14:textId="77777777" w:rsidR="00C42A65" w:rsidRPr="00DB35DA" w:rsidRDefault="00C42A65" w:rsidP="00C42A65">
      <w:pPr>
        <w:spacing w:before="10" w:after="0" w:line="110" w:lineRule="exact"/>
        <w:rPr>
          <w:rFonts w:cstheme="minorHAnsi"/>
          <w:sz w:val="11"/>
          <w:szCs w:val="11"/>
        </w:rPr>
      </w:pPr>
    </w:p>
    <w:p w14:paraId="22F81A6F" w14:textId="536D0C99"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CC42A3">
        <w:rPr>
          <w:rFonts w:eastAsia="Times New Roman" w:cstheme="minorHAnsi"/>
          <w:spacing w:val="-5"/>
          <w:sz w:val="28"/>
          <w:szCs w:val="28"/>
        </w:rPr>
        <w:t>May</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CC42A3">
        <w:rPr>
          <w:rFonts w:eastAsia="Times New Roman" w:cstheme="minorHAnsi"/>
          <w:spacing w:val="1"/>
          <w:sz w:val="28"/>
          <w:szCs w:val="28"/>
        </w:rPr>
        <w:t>May</w:t>
      </w:r>
      <w:r w:rsidR="00704047" w:rsidRPr="00DB35DA">
        <w:rPr>
          <w:rFonts w:eastAsia="Times New Roman" w:cstheme="minorHAnsi"/>
          <w:sz w:val="28"/>
          <w:szCs w:val="28"/>
        </w:rPr>
        <w:t xml:space="preserve"> </w:t>
      </w:r>
      <w:r w:rsidR="00E245F0">
        <w:rPr>
          <w:rFonts w:eastAsia="Times New Roman" w:cstheme="minorHAnsi"/>
          <w:sz w:val="28"/>
          <w:szCs w:val="28"/>
        </w:rPr>
        <w:t>3</w:t>
      </w:r>
      <w:r w:rsidR="00CC42A3">
        <w:rPr>
          <w:rFonts w:eastAsia="Times New Roman" w:cstheme="minorHAnsi"/>
          <w:sz w:val="28"/>
          <w:szCs w:val="28"/>
        </w:rPr>
        <w:t>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59F9AA2" w14:textId="5C4E89BF" w:rsidR="00220A68" w:rsidRPr="001103A9" w:rsidRDefault="00704047" w:rsidP="001103A9">
      <w:pPr>
        <w:ind w:left="1080"/>
      </w:pPr>
      <w:bookmarkStart w:id="0" w:name="_Hlk516662398"/>
      <w:r w:rsidRPr="001103A9">
        <w:t xml:space="preserve">The Rutgers team </w:t>
      </w:r>
      <w:r w:rsidR="00D2281E">
        <w:t xml:space="preserve">had conversations with FHWA using email and phone call during this month. </w:t>
      </w:r>
      <w:r w:rsidR="00940405">
        <w:t>Moreover,</w:t>
      </w:r>
      <w:r w:rsidR="00D2281E">
        <w:t xml:space="preserve"> a meeting is scheduled for 6/20</w:t>
      </w:r>
      <w:r w:rsidR="00D2281E" w:rsidRPr="00D2281E">
        <w:rPr>
          <w:vertAlign w:val="superscript"/>
        </w:rPr>
        <w:t>th</w:t>
      </w:r>
      <w:r w:rsidR="00D2281E">
        <w:t xml:space="preserve"> at TFHRC.</w:t>
      </w:r>
    </w:p>
    <w:bookmarkEnd w:id="0"/>
    <w:p w14:paraId="4D12ABA4" w14:textId="540CB1FA" w:rsidR="0009119B" w:rsidRPr="003667EC" w:rsidRDefault="003667EC" w:rsidP="003667EC">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Total No. of hours</w:t>
      </w:r>
      <w:r w:rsidR="001103A9" w:rsidRPr="00C11942">
        <w:rPr>
          <w:rFonts w:eastAsia="Times New Roman" w:cstheme="minorHAnsi"/>
          <w:sz w:val="24"/>
          <w:szCs w:val="24"/>
          <w:u w:val="single"/>
        </w:rPr>
        <w:t xml:space="preserve">: </w:t>
      </w:r>
      <w:r>
        <w:rPr>
          <w:rFonts w:eastAsia="Times New Roman" w:cstheme="minorHAnsi"/>
          <w:sz w:val="24"/>
          <w:szCs w:val="24"/>
          <w:u w:val="single"/>
        </w:rPr>
        <w:t>0</w:t>
      </w:r>
    </w:p>
    <w:p w14:paraId="3A323CC4" w14:textId="77777777" w:rsidR="001103A9" w:rsidRPr="00DB35DA" w:rsidRDefault="001103A9"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05E630AF" w14:textId="77777777" w:rsidR="005C4D96" w:rsidRDefault="005C4D96" w:rsidP="005C4D96">
      <w:pPr>
        <w:ind w:left="1080"/>
      </w:pPr>
      <w:r>
        <w:t xml:space="preserve">Data gap efforts in May were primarily focused on (1) finalizing the data collection needs and data gaps and collection strategies for the two remaining high priority performance issues (bridge bearings and treated bridge decks), (2) coordinating the preliminary high-level data gap results, findings, and recommendations with the other LTBP teams, (3) addressing comments received regarding the first draft submission of the summary of findings, and (4) drafting the bridge bearings data gap draft summary of findings. </w:t>
      </w:r>
    </w:p>
    <w:p w14:paraId="6AE6540E" w14:textId="77777777" w:rsidR="005C4D96" w:rsidRDefault="005C4D96" w:rsidP="005C4D96">
      <w:pPr>
        <w:ind w:left="1080"/>
      </w:pPr>
      <w:r>
        <w:t>The following is a breakdown of effort per task:</w:t>
      </w:r>
    </w:p>
    <w:p w14:paraId="21339CEA" w14:textId="43D0D5F1" w:rsidR="005C4D96" w:rsidRDefault="005C4D96" w:rsidP="005C4D96">
      <w:pPr>
        <w:ind w:left="1080"/>
      </w:pPr>
      <w:r w:rsidRPr="005C4D96">
        <w:t>Task 2.1: Examine, Characterize, and Summarize LTBP Protocols for Data Collection Efforts:</w:t>
      </w:r>
      <w:r>
        <w:t xml:space="preserve"> This task focuses on examining and structuring the data that may be obtained from all current LTBP data collection protocols pertinent to each high priority performance issue. This task was largely completed in previous months as it was needed, in part with </w:t>
      </w:r>
      <w:r w:rsidRPr="005C4D96">
        <w:t>Task 2.2 Data Collection Needs</w:t>
      </w:r>
      <w:r>
        <w:t xml:space="preserve">, to complete </w:t>
      </w:r>
      <w:r w:rsidRPr="005C4D96">
        <w:t>Task 2.3 the Data Gap Analysis</w:t>
      </w:r>
      <w:r>
        <w:t xml:space="preserve">. The current data collection protocols were examined as a whole (instead of a single examination relating to each individual high priority performance issue) in the previous months, and as a result this task is largely completed. It is anticipated, however, that this task will be revisited to resolve specific findings as the other tasks progress. </w:t>
      </w:r>
    </w:p>
    <w:p w14:paraId="5417925A" w14:textId="3DAC6461" w:rsidR="005C4D96" w:rsidRDefault="005C4D96" w:rsidP="005C4D96">
      <w:pPr>
        <w:ind w:left="1080"/>
      </w:pPr>
      <w:r w:rsidRPr="005C4D96">
        <w:t>Task 2.2: Develop Set of Data Collection Needs</w:t>
      </w:r>
      <w:r>
        <w:t xml:space="preserve">: No major development of this task. </w:t>
      </w:r>
    </w:p>
    <w:p w14:paraId="27565C44" w14:textId="1993B14F" w:rsidR="005C4D96" w:rsidRDefault="005C4D96" w:rsidP="005C4D96">
      <w:pPr>
        <w:ind w:left="1080"/>
      </w:pPr>
      <w:r w:rsidRPr="005C4D96">
        <w:t>Task 2.3: Identify Data Gaps and Collection Strategies</w:t>
      </w:r>
      <w:r>
        <w:t xml:space="preserve">: Using the findings from </w:t>
      </w:r>
      <w:r w:rsidRPr="005C4D96">
        <w:t xml:space="preserve">Task 2.1 </w:t>
      </w:r>
      <w:r>
        <w:t xml:space="preserve">and </w:t>
      </w:r>
      <w:r w:rsidRPr="005C4D96">
        <w:t>Task 2.</w:t>
      </w:r>
      <w:r>
        <w:t xml:space="preserve">2, data gaps were identified for bridge bearings. Collection strategies to address these gaps were drafted. </w:t>
      </w:r>
    </w:p>
    <w:p w14:paraId="371E60D0" w14:textId="77777777" w:rsidR="005C4D96" w:rsidRDefault="005C4D96" w:rsidP="005C4D96">
      <w:pPr>
        <w:ind w:left="1080"/>
      </w:pPr>
      <w:r w:rsidRPr="005C4D96">
        <w:t xml:space="preserve">Task 2.4: Prioritization and Strategic Recommendations: </w:t>
      </w:r>
      <w:r>
        <w:t xml:space="preserve">The results from </w:t>
      </w:r>
      <w:r w:rsidRPr="005C4D96">
        <w:t xml:space="preserve">Task 2.1, Task 2.2, </w:t>
      </w:r>
      <w:r>
        <w:t xml:space="preserve">and </w:t>
      </w:r>
      <w:r w:rsidRPr="005C4D96">
        <w:t xml:space="preserve">Task 2.3 </w:t>
      </w:r>
      <w:r>
        <w:t xml:space="preserve">for bridge bearings were compiled and used to draft prioritized recommendations. </w:t>
      </w:r>
    </w:p>
    <w:p w14:paraId="57354AB8" w14:textId="77777777" w:rsidR="005C4D96" w:rsidRDefault="005C4D96" w:rsidP="005C4D96">
      <w:pPr>
        <w:ind w:left="1080"/>
      </w:pPr>
      <w:r w:rsidRPr="005C4D96">
        <w:t>Task 2.5: Reporting:</w:t>
      </w:r>
      <w:r>
        <w:t xml:space="preserve"> The Rutgers team received a commented review of the summary of findings draft submission for untreated bridge decks and bridge joints. Each comment was addressed and the final draft submitted. Additionally, the team began drafting the draft summary of findings and recommendations regarding bridge bearings data gaps.  </w:t>
      </w:r>
    </w:p>
    <w:p w14:paraId="717A89D2" w14:textId="77777777" w:rsidR="001103A9" w:rsidRDefault="001103A9" w:rsidP="001103A9">
      <w:pPr>
        <w:pStyle w:val="ListParagraph"/>
        <w:spacing w:before="120" w:after="120" w:line="240" w:lineRule="auto"/>
        <w:ind w:left="1080"/>
        <w:contextualSpacing w:val="0"/>
        <w:rPr>
          <w:rFonts w:cstheme="minorHAnsi"/>
          <w:sz w:val="24"/>
          <w:szCs w:val="24"/>
          <w:u w:val="single"/>
        </w:rPr>
      </w:pPr>
    </w:p>
    <w:p w14:paraId="4EF50661" w14:textId="4EF0209D"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D75F42">
        <w:rPr>
          <w:rFonts w:eastAsia="Times New Roman" w:cstheme="minorHAnsi"/>
          <w:sz w:val="24"/>
          <w:szCs w:val="24"/>
          <w:u w:val="single"/>
        </w:rPr>
        <w:t>3</w:t>
      </w:r>
      <w:r w:rsidRPr="00C11942">
        <w:rPr>
          <w:rFonts w:eastAsia="Times New Roman" w:cstheme="minorHAnsi"/>
          <w:sz w:val="24"/>
          <w:szCs w:val="24"/>
          <w:u w:val="single"/>
        </w:rPr>
        <w:t xml:space="preserve"> hours</w:t>
      </w:r>
    </w:p>
    <w:p w14:paraId="0D939038" w14:textId="48C8D80D"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3667EC">
        <w:rPr>
          <w:rFonts w:cstheme="minorHAnsi"/>
          <w:sz w:val="24"/>
          <w:szCs w:val="24"/>
          <w:u w:val="single"/>
        </w:rPr>
        <w:t>52</w:t>
      </w:r>
      <w:r w:rsidRPr="00882A7F">
        <w:rPr>
          <w:rFonts w:cstheme="minorHAnsi"/>
          <w:sz w:val="24"/>
          <w:szCs w:val="24"/>
          <w:u w:val="single"/>
        </w:rPr>
        <w:t xml:space="preserve"> hours</w:t>
      </w:r>
    </w:p>
    <w:p w14:paraId="4C48B91C" w14:textId="681D3425"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lastRenderedPageBreak/>
        <w:t xml:space="preserve">Technician: </w:t>
      </w:r>
      <w:r w:rsidR="003667EC">
        <w:rPr>
          <w:rFonts w:cstheme="minorHAnsi"/>
          <w:sz w:val="24"/>
          <w:szCs w:val="24"/>
          <w:u w:val="single"/>
        </w:rPr>
        <w:t>15.23</w:t>
      </w:r>
    </w:p>
    <w:p w14:paraId="53A21F31" w14:textId="48E4C07F"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3667EC">
        <w:rPr>
          <w:rFonts w:cstheme="minorHAnsi"/>
          <w:sz w:val="24"/>
          <w:szCs w:val="24"/>
          <w:u w:val="single"/>
        </w:rPr>
        <w:t>6</w:t>
      </w:r>
      <w:r w:rsidRPr="00882A7F">
        <w:rPr>
          <w:rFonts w:cstheme="minorHAnsi"/>
          <w:sz w:val="24"/>
          <w:szCs w:val="24"/>
          <w:u w:val="single"/>
        </w:rPr>
        <w:t xml:space="preserve"> 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319DDA6" w:rsid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2590564" w14:textId="5C30B03B" w:rsidR="00463E72" w:rsidRDefault="00463E72" w:rsidP="00654264">
      <w:pPr>
        <w:pStyle w:val="ListParagraph"/>
        <w:spacing w:before="120" w:after="120" w:line="240" w:lineRule="auto"/>
        <w:ind w:left="1080"/>
        <w:contextualSpacing w:val="0"/>
        <w:rPr>
          <w:rFonts w:eastAsia="Times New Roman" w:cstheme="minorHAnsi"/>
          <w:sz w:val="24"/>
          <w:szCs w:val="24"/>
        </w:rPr>
      </w:pPr>
    </w:p>
    <w:p w14:paraId="013CFFFB" w14:textId="54646CBA" w:rsidR="00463E72" w:rsidRPr="00C11942" w:rsidRDefault="00463E72" w:rsidP="00463E72">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3667EC">
        <w:rPr>
          <w:rFonts w:eastAsia="Times New Roman" w:cstheme="minorHAnsi"/>
          <w:sz w:val="24"/>
          <w:szCs w:val="24"/>
          <w:u w:val="single"/>
        </w:rPr>
        <w:t>10</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52E5BEA5" w14:textId="77777777" w:rsidR="00463E72" w:rsidRPr="00654264" w:rsidRDefault="00463E72" w:rsidP="00654264">
      <w:pPr>
        <w:pStyle w:val="ListParagraph"/>
        <w:spacing w:before="120" w:after="120" w:line="240" w:lineRule="auto"/>
        <w:ind w:left="1080"/>
        <w:contextualSpacing w:val="0"/>
        <w:rPr>
          <w:rFonts w:eastAsia="Times New Roman" w:cstheme="minorHAnsi"/>
          <w:sz w:val="24"/>
          <w:szCs w:val="24"/>
        </w:rPr>
      </w:pP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4BB39510" w:rsidR="0009119B" w:rsidRPr="001103A9" w:rsidRDefault="004040B7" w:rsidP="0009119B">
      <w:pPr>
        <w:pStyle w:val="ListParagraph"/>
        <w:spacing w:before="120" w:after="120" w:line="240" w:lineRule="auto"/>
        <w:ind w:left="1080"/>
        <w:contextualSpacing w:val="0"/>
        <w:rPr>
          <w:rFonts w:eastAsia="Times New Roman" w:cstheme="minorHAnsi"/>
          <w:szCs w:val="24"/>
        </w:rPr>
      </w:pPr>
      <w:bookmarkStart w:id="1" w:name="_Hlk516662732"/>
      <w:bookmarkStart w:id="2" w:name="_Hlk508785754"/>
      <w:r w:rsidRPr="001103A9">
        <w:rPr>
          <w:rFonts w:eastAsia="Times New Roman" w:cstheme="minorHAnsi"/>
          <w:bCs/>
          <w:spacing w:val="1"/>
          <w:szCs w:val="24"/>
        </w:rPr>
        <w:t xml:space="preserve">The Rutgers team will </w:t>
      </w:r>
      <w:r w:rsidR="00995818">
        <w:rPr>
          <w:rFonts w:eastAsia="Times New Roman" w:cstheme="minorHAnsi"/>
          <w:bCs/>
          <w:spacing w:val="1"/>
          <w:szCs w:val="24"/>
        </w:rPr>
        <w:t>meet with</w:t>
      </w:r>
      <w:r w:rsidR="001103A9" w:rsidRPr="001103A9">
        <w:rPr>
          <w:rFonts w:eastAsia="Times New Roman" w:cstheme="minorHAnsi"/>
          <w:bCs/>
          <w:spacing w:val="1"/>
          <w:szCs w:val="24"/>
        </w:rPr>
        <w:t xml:space="preserve"> the FHWA team </w:t>
      </w:r>
      <w:r w:rsidR="00995818">
        <w:rPr>
          <w:rFonts w:eastAsia="Times New Roman" w:cstheme="minorHAnsi"/>
          <w:bCs/>
          <w:spacing w:val="1"/>
          <w:szCs w:val="24"/>
        </w:rPr>
        <w:t>on June 20</w:t>
      </w:r>
      <w:r w:rsidR="00995818" w:rsidRPr="00995818">
        <w:rPr>
          <w:rFonts w:eastAsia="Times New Roman" w:cstheme="minorHAnsi"/>
          <w:bCs/>
          <w:spacing w:val="1"/>
          <w:szCs w:val="24"/>
          <w:vertAlign w:val="superscript"/>
        </w:rPr>
        <w:t>th</w:t>
      </w:r>
      <w:r w:rsidR="00346A58" w:rsidRPr="001103A9">
        <w:rPr>
          <w:rFonts w:eastAsia="Times New Roman" w:cstheme="minorHAnsi"/>
          <w:bCs/>
          <w:spacing w:val="1"/>
          <w:szCs w:val="24"/>
        </w:rPr>
        <w:t xml:space="preserve">. </w:t>
      </w:r>
      <w:bookmarkEnd w:id="1"/>
    </w:p>
    <w:bookmarkEnd w:id="2"/>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0AF3C5A" w14:textId="77777777" w:rsidR="00995818" w:rsidRPr="00995818" w:rsidRDefault="00995818" w:rsidP="00995818">
      <w:pPr>
        <w:pStyle w:val="ListParagraph"/>
        <w:spacing w:before="120" w:after="120" w:line="240" w:lineRule="auto"/>
        <w:ind w:left="1080"/>
        <w:contextualSpacing w:val="0"/>
        <w:rPr>
          <w:rFonts w:eastAsia="Times New Roman" w:cstheme="minorHAnsi"/>
          <w:bCs/>
          <w:spacing w:val="1"/>
          <w:szCs w:val="24"/>
        </w:rPr>
      </w:pPr>
      <w:r w:rsidRPr="00995818">
        <w:rPr>
          <w:rFonts w:eastAsia="Times New Roman" w:cstheme="minorHAnsi"/>
          <w:bCs/>
          <w:spacing w:val="1"/>
          <w:szCs w:val="24"/>
        </w:rPr>
        <w:t xml:space="preserve">Per the schedule in the submitted Work Plan, future work in June is anticipated to primarily focus on (1) examination, characterization, and summary of data gaps related to treated bridge decks, (2) compilation of data gap findings for bridge bearings and treated bridge decks, and (3) drafting of the summary of recommendations for bridge bearings. </w:t>
      </w:r>
    </w:p>
    <w:p w14:paraId="1CE66F40" w14:textId="6D104BD6" w:rsidR="00346A58" w:rsidRPr="00346A58" w:rsidRDefault="00346A58" w:rsidP="00346A58">
      <w:pPr>
        <w:pStyle w:val="ListParagraph"/>
        <w:spacing w:before="120" w:after="120" w:line="240" w:lineRule="auto"/>
        <w:ind w:left="1080"/>
        <w:contextualSpacing w:val="0"/>
        <w:rPr>
          <w:sz w:val="24"/>
          <w:szCs w:val="24"/>
        </w:rPr>
      </w:pP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312083B3" w:rsidR="003D0738" w:rsidRPr="00FF4D28" w:rsidRDefault="00995818" w:rsidP="00704047">
            <w:pPr>
              <w:widowControl/>
              <w:spacing w:line="240" w:lineRule="auto"/>
              <w:jc w:val="center"/>
              <w:rPr>
                <w:rFonts w:cstheme="minorHAnsi"/>
                <w:b/>
              </w:rPr>
            </w:pPr>
            <w:r>
              <w:rPr>
                <w:rFonts w:cstheme="minorHAnsi"/>
                <w:b/>
                <w:lang w:eastAsia="ko-KR"/>
              </w:rPr>
              <w:t>5</w:t>
            </w:r>
            <w:r w:rsidR="001D1D28">
              <w:rPr>
                <w:rFonts w:cstheme="minorHAnsi"/>
                <w:b/>
                <w:lang w:eastAsia="ko-KR"/>
              </w:rPr>
              <w:t xml:space="preserve">/1/2018 – </w:t>
            </w:r>
            <w:r>
              <w:rPr>
                <w:rFonts w:cstheme="minorHAnsi"/>
                <w:b/>
                <w:lang w:eastAsia="ko-KR"/>
              </w:rPr>
              <w:t>5</w:t>
            </w:r>
            <w:r w:rsidR="001D1D28">
              <w:rPr>
                <w:rFonts w:cstheme="minorHAnsi"/>
                <w:b/>
                <w:lang w:eastAsia="ko-KR"/>
              </w:rPr>
              <w:t>/</w:t>
            </w:r>
            <w:r w:rsidR="00547853">
              <w:rPr>
                <w:rFonts w:cstheme="minorHAnsi"/>
                <w:b/>
                <w:lang w:eastAsia="ko-KR"/>
              </w:rPr>
              <w:t>3</w:t>
            </w:r>
            <w:r>
              <w:rPr>
                <w:rFonts w:cstheme="minorHAnsi"/>
                <w:b/>
                <w:lang w:eastAsia="ko-KR"/>
              </w:rPr>
              <w:t>1</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79CCE2FF"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995818">
              <w:rPr>
                <w:rFonts w:cstheme="minorHAnsi"/>
                <w:b/>
                <w:lang w:eastAsia="ko-KR"/>
              </w:rPr>
              <w:t>5</w:t>
            </w:r>
            <w:r>
              <w:rPr>
                <w:rFonts w:cstheme="minorHAnsi"/>
                <w:b/>
                <w:lang w:eastAsia="ko-KR"/>
              </w:rPr>
              <w:t>/</w:t>
            </w:r>
            <w:r w:rsidR="00547853">
              <w:rPr>
                <w:rFonts w:cstheme="minorHAnsi"/>
                <w:b/>
                <w:lang w:eastAsia="ko-KR"/>
              </w:rPr>
              <w:t>3</w:t>
            </w:r>
            <w:r w:rsidR="00995818">
              <w:rPr>
                <w:rFonts w:cstheme="minorHAnsi"/>
                <w:b/>
                <w:lang w:eastAsia="ko-KR"/>
              </w:rPr>
              <w:t>1</w:t>
            </w:r>
            <w:r>
              <w:rPr>
                <w:rFonts w:cstheme="minorHAnsi"/>
                <w:b/>
                <w:lang w:eastAsia="ko-KR"/>
              </w:rPr>
              <w:t>/2018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10CC0ECB"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0E1834">
              <w:rPr>
                <w:rFonts w:ascii="Calibri" w:hAnsi="Calibri" w:cs="Calibri"/>
                <w:color w:val="000000"/>
              </w:rPr>
              <w:t>7</w:t>
            </w:r>
            <w:r w:rsidR="00A20C06">
              <w:rPr>
                <w:rFonts w:ascii="Calibri" w:hAnsi="Calibri" w:cs="Calibri"/>
                <w:color w:val="000000"/>
              </w:rPr>
              <w:t>,</w:t>
            </w:r>
            <w:r w:rsidR="000E1834">
              <w:rPr>
                <w:rFonts w:ascii="Calibri" w:hAnsi="Calibri" w:cs="Calibri"/>
                <w:color w:val="000000"/>
              </w:rPr>
              <w:t>006</w:t>
            </w:r>
            <w:r w:rsidR="00B438F4">
              <w:rPr>
                <w:rFonts w:ascii="Calibri" w:hAnsi="Calibri" w:cs="Calibri"/>
                <w:color w:val="000000"/>
              </w:rPr>
              <w:t>.</w:t>
            </w:r>
            <w:r w:rsidR="000E1834">
              <w:rPr>
                <w:rFonts w:ascii="Calibri" w:hAnsi="Calibri" w:cs="Calibri"/>
                <w:color w:val="000000"/>
              </w:rPr>
              <w:t>00</w:t>
            </w:r>
          </w:p>
        </w:tc>
        <w:tc>
          <w:tcPr>
            <w:tcW w:w="4230" w:type="dxa"/>
            <w:vAlign w:val="center"/>
          </w:tcPr>
          <w:p w14:paraId="2EF2E4F9" w14:textId="6BB8B0B0"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20C06">
              <w:rPr>
                <w:rFonts w:ascii="Calibri" w:hAnsi="Calibri" w:cs="Calibri"/>
                <w:color w:val="000000"/>
              </w:rPr>
              <w:t>1</w:t>
            </w:r>
            <w:r w:rsidR="00555F9D">
              <w:rPr>
                <w:rFonts w:ascii="Calibri" w:hAnsi="Calibri" w:cs="Calibri"/>
                <w:color w:val="000000"/>
              </w:rPr>
              <w:t>61</w:t>
            </w:r>
            <w:r w:rsidR="0020486E">
              <w:rPr>
                <w:rFonts w:ascii="Calibri" w:hAnsi="Calibri" w:cs="Calibri"/>
                <w:color w:val="000000"/>
              </w:rPr>
              <w:t>,</w:t>
            </w:r>
            <w:r w:rsidR="00555F9D">
              <w:rPr>
                <w:rFonts w:ascii="Calibri" w:hAnsi="Calibri" w:cs="Calibri"/>
                <w:color w:val="000000"/>
              </w:rPr>
              <w:t>106</w:t>
            </w:r>
            <w:r w:rsidR="0020486E">
              <w:rPr>
                <w:rFonts w:ascii="Calibri" w:hAnsi="Calibri" w:cs="Calibri"/>
                <w:color w:val="000000"/>
              </w:rPr>
              <w:t>.</w:t>
            </w:r>
            <w:r w:rsidR="00555F9D">
              <w:rPr>
                <w:rFonts w:ascii="Calibri" w:hAnsi="Calibri" w:cs="Calibri"/>
                <w:color w:val="000000"/>
              </w:rPr>
              <w:t>37</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6F666279"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0E1834">
              <w:rPr>
                <w:rFonts w:ascii="Calibri" w:hAnsi="Calibri" w:cs="Calibri"/>
                <w:color w:val="000000"/>
              </w:rPr>
              <w:t>1</w:t>
            </w:r>
            <w:r>
              <w:rPr>
                <w:rFonts w:ascii="Calibri" w:hAnsi="Calibri" w:cs="Calibri"/>
                <w:color w:val="000000"/>
              </w:rPr>
              <w:t>,</w:t>
            </w:r>
            <w:r w:rsidR="000E1834">
              <w:rPr>
                <w:rFonts w:ascii="Calibri" w:hAnsi="Calibri" w:cs="Calibri"/>
                <w:color w:val="000000"/>
              </w:rPr>
              <w:t>690</w:t>
            </w:r>
            <w:r>
              <w:rPr>
                <w:rFonts w:ascii="Calibri" w:hAnsi="Calibri" w:cs="Calibri"/>
                <w:color w:val="000000"/>
              </w:rPr>
              <w:t>.</w:t>
            </w:r>
            <w:r w:rsidR="000E1834">
              <w:rPr>
                <w:rFonts w:ascii="Calibri" w:hAnsi="Calibri" w:cs="Calibri"/>
                <w:color w:val="000000"/>
              </w:rPr>
              <w:t>00</w:t>
            </w:r>
          </w:p>
        </w:tc>
        <w:tc>
          <w:tcPr>
            <w:tcW w:w="4230" w:type="dxa"/>
            <w:vAlign w:val="center"/>
          </w:tcPr>
          <w:p w14:paraId="03B9829C" w14:textId="0FC785F8"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555F9D">
              <w:rPr>
                <w:rFonts w:ascii="Calibri" w:hAnsi="Calibri" w:cs="Calibri"/>
                <w:color w:val="000000"/>
              </w:rPr>
              <w:t>1</w:t>
            </w:r>
            <w:r w:rsidR="00290310">
              <w:rPr>
                <w:rFonts w:ascii="Calibri" w:hAnsi="Calibri" w:cs="Calibri"/>
                <w:color w:val="000000"/>
              </w:rPr>
              <w:t>2</w:t>
            </w:r>
            <w:r>
              <w:rPr>
                <w:rFonts w:ascii="Calibri" w:hAnsi="Calibri" w:cs="Calibri"/>
                <w:color w:val="000000"/>
              </w:rPr>
              <w:t>,</w:t>
            </w:r>
            <w:r w:rsidR="00290310">
              <w:rPr>
                <w:rFonts w:ascii="Calibri" w:hAnsi="Calibri" w:cs="Calibri"/>
                <w:color w:val="000000"/>
              </w:rPr>
              <w:t>785</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38BCED92"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0E1834">
              <w:rPr>
                <w:rFonts w:ascii="Calibri" w:hAnsi="Calibri" w:cs="Calibri"/>
                <w:color w:val="000000"/>
              </w:rPr>
              <w:t>1</w:t>
            </w:r>
            <w:r>
              <w:rPr>
                <w:rFonts w:ascii="Calibri" w:hAnsi="Calibri" w:cs="Calibri"/>
                <w:color w:val="000000"/>
              </w:rPr>
              <w:t>,</w:t>
            </w:r>
            <w:r w:rsidR="000E1834">
              <w:rPr>
                <w:rFonts w:ascii="Calibri" w:hAnsi="Calibri" w:cs="Calibri"/>
                <w:color w:val="000000"/>
              </w:rPr>
              <w:t>050</w:t>
            </w:r>
            <w:r>
              <w:rPr>
                <w:rFonts w:ascii="Calibri" w:hAnsi="Calibri" w:cs="Calibri"/>
                <w:color w:val="000000"/>
              </w:rPr>
              <w:t>.</w:t>
            </w:r>
            <w:r w:rsidR="000E1834">
              <w:rPr>
                <w:rFonts w:ascii="Calibri" w:hAnsi="Calibri" w:cs="Calibri"/>
                <w:color w:val="000000"/>
              </w:rPr>
              <w:t>87</w:t>
            </w:r>
          </w:p>
        </w:tc>
        <w:tc>
          <w:tcPr>
            <w:tcW w:w="4230" w:type="dxa"/>
            <w:vAlign w:val="center"/>
          </w:tcPr>
          <w:p w14:paraId="7F8D47E8" w14:textId="1303574B"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555F9D">
              <w:rPr>
                <w:rFonts w:ascii="Calibri" w:hAnsi="Calibri" w:cs="Calibri"/>
                <w:color w:val="000000"/>
              </w:rPr>
              <w:t>1</w:t>
            </w:r>
            <w:r w:rsidR="00290310">
              <w:rPr>
                <w:rFonts w:ascii="Calibri" w:hAnsi="Calibri" w:cs="Calibri"/>
                <w:color w:val="000000"/>
              </w:rPr>
              <w:t>2</w:t>
            </w:r>
            <w:r>
              <w:rPr>
                <w:rFonts w:ascii="Calibri" w:hAnsi="Calibri" w:cs="Calibri"/>
                <w:color w:val="000000"/>
              </w:rPr>
              <w:t>,</w:t>
            </w:r>
            <w:r w:rsidR="00555F9D">
              <w:rPr>
                <w:rFonts w:ascii="Calibri" w:hAnsi="Calibri" w:cs="Calibri"/>
                <w:color w:val="000000"/>
              </w:rPr>
              <w:t>1</w:t>
            </w:r>
            <w:r w:rsidR="00290310">
              <w:rPr>
                <w:rFonts w:ascii="Calibri" w:hAnsi="Calibri" w:cs="Calibri"/>
                <w:color w:val="000000"/>
              </w:rPr>
              <w:t>80</w:t>
            </w:r>
            <w:r>
              <w:rPr>
                <w:rFonts w:ascii="Calibri" w:hAnsi="Calibri" w:cs="Calibri"/>
                <w:color w:val="000000"/>
              </w:rPr>
              <w:t>.</w:t>
            </w:r>
            <w:r w:rsidR="00290310">
              <w:rPr>
                <w:rFonts w:ascii="Calibri" w:hAnsi="Calibri" w:cs="Calibri"/>
                <w:color w:val="000000"/>
              </w:rPr>
              <w:t>54</w:t>
            </w:r>
            <w:bookmarkStart w:id="3" w:name="_GoBack"/>
            <w:bookmarkEnd w:id="3"/>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1614C" w14:textId="77777777" w:rsidR="00826BD1" w:rsidRDefault="00826BD1">
      <w:pPr>
        <w:spacing w:after="0" w:line="240" w:lineRule="auto"/>
      </w:pPr>
      <w:r>
        <w:separator/>
      </w:r>
    </w:p>
  </w:endnote>
  <w:endnote w:type="continuationSeparator" w:id="0">
    <w:p w14:paraId="7C0AF8F7" w14:textId="77777777" w:rsidR="00826BD1" w:rsidRDefault="0082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5C21C" w14:textId="77777777" w:rsidR="00826BD1" w:rsidRDefault="00826BD1">
      <w:pPr>
        <w:spacing w:after="0" w:line="240" w:lineRule="auto"/>
      </w:pPr>
      <w:r>
        <w:separator/>
      </w:r>
    </w:p>
  </w:footnote>
  <w:footnote w:type="continuationSeparator" w:id="0">
    <w:p w14:paraId="3B72C659" w14:textId="77777777" w:rsidR="00826BD1" w:rsidRDefault="00826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PzWgASzz/OLQAAAA=="/>
  </w:docVars>
  <w:rsids>
    <w:rsidRoot w:val="0087575B"/>
    <w:rsid w:val="00021EEA"/>
    <w:rsid w:val="00022B98"/>
    <w:rsid w:val="00027F83"/>
    <w:rsid w:val="0003478A"/>
    <w:rsid w:val="0004372B"/>
    <w:rsid w:val="00055009"/>
    <w:rsid w:val="00060A27"/>
    <w:rsid w:val="0006608B"/>
    <w:rsid w:val="00074C96"/>
    <w:rsid w:val="0009119B"/>
    <w:rsid w:val="00097A5A"/>
    <w:rsid w:val="000B2EEA"/>
    <w:rsid w:val="000C2B1C"/>
    <w:rsid w:val="000E1834"/>
    <w:rsid w:val="000E4C76"/>
    <w:rsid w:val="00107045"/>
    <w:rsid w:val="001103A9"/>
    <w:rsid w:val="00121E1A"/>
    <w:rsid w:val="00141DC8"/>
    <w:rsid w:val="00142004"/>
    <w:rsid w:val="00172263"/>
    <w:rsid w:val="00174FC0"/>
    <w:rsid w:val="00187080"/>
    <w:rsid w:val="001878BF"/>
    <w:rsid w:val="001C42A6"/>
    <w:rsid w:val="001D1D28"/>
    <w:rsid w:val="001E642C"/>
    <w:rsid w:val="0020486E"/>
    <w:rsid w:val="00212996"/>
    <w:rsid w:val="00215E49"/>
    <w:rsid w:val="00220A68"/>
    <w:rsid w:val="002638D1"/>
    <w:rsid w:val="00264106"/>
    <w:rsid w:val="00284700"/>
    <w:rsid w:val="00290310"/>
    <w:rsid w:val="002B2A96"/>
    <w:rsid w:val="002C7AA3"/>
    <w:rsid w:val="002E5F2D"/>
    <w:rsid w:val="0030256C"/>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50411D"/>
    <w:rsid w:val="00531684"/>
    <w:rsid w:val="005325EC"/>
    <w:rsid w:val="005376F6"/>
    <w:rsid w:val="00541F52"/>
    <w:rsid w:val="00547853"/>
    <w:rsid w:val="00555F9D"/>
    <w:rsid w:val="0056128A"/>
    <w:rsid w:val="00571405"/>
    <w:rsid w:val="0057297E"/>
    <w:rsid w:val="005732F0"/>
    <w:rsid w:val="0058291E"/>
    <w:rsid w:val="00582BF1"/>
    <w:rsid w:val="005941E0"/>
    <w:rsid w:val="00597ADB"/>
    <w:rsid w:val="005B31F8"/>
    <w:rsid w:val="005B5A0F"/>
    <w:rsid w:val="005C4D96"/>
    <w:rsid w:val="005D08A2"/>
    <w:rsid w:val="005D2345"/>
    <w:rsid w:val="005D5204"/>
    <w:rsid w:val="005E01BC"/>
    <w:rsid w:val="006372BB"/>
    <w:rsid w:val="00654264"/>
    <w:rsid w:val="00680A99"/>
    <w:rsid w:val="00690C82"/>
    <w:rsid w:val="00693E24"/>
    <w:rsid w:val="006A5C34"/>
    <w:rsid w:val="006A6278"/>
    <w:rsid w:val="006A7BAB"/>
    <w:rsid w:val="006B376C"/>
    <w:rsid w:val="006C077E"/>
    <w:rsid w:val="006E1297"/>
    <w:rsid w:val="006F4D7B"/>
    <w:rsid w:val="00700F6E"/>
    <w:rsid w:val="00704047"/>
    <w:rsid w:val="007145D5"/>
    <w:rsid w:val="007177FB"/>
    <w:rsid w:val="007442D9"/>
    <w:rsid w:val="00773A4C"/>
    <w:rsid w:val="00777187"/>
    <w:rsid w:val="007839C2"/>
    <w:rsid w:val="007B3747"/>
    <w:rsid w:val="007E2E00"/>
    <w:rsid w:val="007F3815"/>
    <w:rsid w:val="007F562B"/>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8624E"/>
    <w:rsid w:val="00986EDB"/>
    <w:rsid w:val="00995818"/>
    <w:rsid w:val="009A034E"/>
    <w:rsid w:val="009A1291"/>
    <w:rsid w:val="009C0247"/>
    <w:rsid w:val="009C624B"/>
    <w:rsid w:val="009D56D4"/>
    <w:rsid w:val="009E4544"/>
    <w:rsid w:val="009E7806"/>
    <w:rsid w:val="00A20C06"/>
    <w:rsid w:val="00A25218"/>
    <w:rsid w:val="00A3552A"/>
    <w:rsid w:val="00A358F1"/>
    <w:rsid w:val="00A41C35"/>
    <w:rsid w:val="00A93439"/>
    <w:rsid w:val="00A93FE9"/>
    <w:rsid w:val="00AA677F"/>
    <w:rsid w:val="00AB1E6A"/>
    <w:rsid w:val="00AB2F01"/>
    <w:rsid w:val="00AB79DC"/>
    <w:rsid w:val="00AC2640"/>
    <w:rsid w:val="00AE3F10"/>
    <w:rsid w:val="00AE4A28"/>
    <w:rsid w:val="00B10E64"/>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B95"/>
    <w:rsid w:val="00CF3274"/>
    <w:rsid w:val="00CF56D6"/>
    <w:rsid w:val="00D15DDC"/>
    <w:rsid w:val="00D21112"/>
    <w:rsid w:val="00D2281E"/>
    <w:rsid w:val="00D279F8"/>
    <w:rsid w:val="00D5113F"/>
    <w:rsid w:val="00D75F42"/>
    <w:rsid w:val="00D849F0"/>
    <w:rsid w:val="00D90936"/>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6B3D"/>
    <w:rsid w:val="00E81168"/>
    <w:rsid w:val="00EB622C"/>
    <w:rsid w:val="00EC5807"/>
    <w:rsid w:val="00ED2A55"/>
    <w:rsid w:val="00EF5B10"/>
    <w:rsid w:val="00F15EDF"/>
    <w:rsid w:val="00F31038"/>
    <w:rsid w:val="00F35538"/>
    <w:rsid w:val="00F40CB7"/>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66C5-C79D-4CA4-A00B-CBD915A2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56</cp:revision>
  <cp:lastPrinted>2016-09-16T15:30:00Z</cp:lastPrinted>
  <dcterms:created xsi:type="dcterms:W3CDTF">2017-12-15T12:29:00Z</dcterms:created>
  <dcterms:modified xsi:type="dcterms:W3CDTF">2018-06-14T21:47:00Z</dcterms:modified>
</cp:coreProperties>
</file>