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4E8" w:rsidRPr="001214E8" w:rsidRDefault="001214E8" w:rsidP="001214E8">
      <w:pPr>
        <w:jc w:val="center"/>
        <w:rPr>
          <w:rFonts w:ascii="Arial" w:hAnsi="Arial"/>
          <w:bCs/>
          <w:sz w:val="28"/>
          <w:szCs w:val="28"/>
        </w:rPr>
      </w:pPr>
      <w:r w:rsidRPr="001214E8">
        <w:rPr>
          <w:rFonts w:ascii="Arial" w:hAnsi="Arial"/>
          <w:bCs/>
          <w:sz w:val="28"/>
          <w:szCs w:val="28"/>
        </w:rPr>
        <w:t>Draft Technical Summary Report</w:t>
      </w:r>
    </w:p>
    <w:p w:rsidR="001214E8" w:rsidRDefault="001214E8" w:rsidP="001214E8"/>
    <w:p w:rsidR="001214E8" w:rsidRDefault="001214E8" w:rsidP="001214E8">
      <w:pPr>
        <w:jc w:val="center"/>
      </w:pPr>
    </w:p>
    <w:p w:rsidR="001214E8" w:rsidRDefault="001214E8" w:rsidP="001214E8">
      <w:pPr>
        <w:jc w:val="center"/>
      </w:pPr>
    </w:p>
    <w:p w:rsidR="001214E8" w:rsidRPr="001214E8" w:rsidRDefault="001214E8" w:rsidP="001214E8">
      <w:pPr>
        <w:jc w:val="center"/>
        <w:rPr>
          <w:sz w:val="44"/>
          <w:szCs w:val="44"/>
        </w:rPr>
      </w:pPr>
    </w:p>
    <w:p w:rsidR="001214E8" w:rsidRDefault="001214E8" w:rsidP="001214E8">
      <w:pPr>
        <w:pStyle w:val="Title"/>
        <w:jc w:val="center"/>
        <w:rPr>
          <w:sz w:val="44"/>
          <w:szCs w:val="44"/>
        </w:rPr>
      </w:pPr>
      <w:r w:rsidRPr="001214E8">
        <w:rPr>
          <w:sz w:val="44"/>
          <w:szCs w:val="44"/>
        </w:rPr>
        <w:t>Results from I76 Viaduct Vibration Survey</w:t>
      </w:r>
    </w:p>
    <w:p w:rsidR="001214E8" w:rsidRDefault="001214E8" w:rsidP="001214E8">
      <w:pPr>
        <w:pStyle w:val="Heading8"/>
      </w:pPr>
    </w:p>
    <w:p w:rsidR="001214E8" w:rsidRDefault="001214E8" w:rsidP="001214E8">
      <w:pPr>
        <w:pStyle w:val="Heading8"/>
        <w:jc w:val="center"/>
      </w:pPr>
    </w:p>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Pr="001214E8" w:rsidRDefault="001214E8" w:rsidP="001214E8">
      <w:pPr>
        <w:pStyle w:val="Heading1"/>
        <w:jc w:val="center"/>
        <w:rPr>
          <w:b w:val="0"/>
        </w:rPr>
      </w:pPr>
      <w:r w:rsidRPr="001214E8">
        <w:rPr>
          <w:b w:val="0"/>
        </w:rPr>
        <w:t xml:space="preserve">Submitted to: </w:t>
      </w:r>
    </w:p>
    <w:p w:rsidR="001214E8" w:rsidRPr="001214E8" w:rsidRDefault="001214E8" w:rsidP="001214E8">
      <w:pPr>
        <w:pStyle w:val="Heading1"/>
        <w:jc w:val="center"/>
        <w:rPr>
          <w:b w:val="0"/>
        </w:rPr>
      </w:pPr>
      <w:proofErr w:type="spellStart"/>
      <w:r w:rsidRPr="001214E8">
        <w:rPr>
          <w:b w:val="0"/>
        </w:rPr>
        <w:t>PennDOT</w:t>
      </w:r>
      <w:proofErr w:type="spellEnd"/>
      <w:r w:rsidRPr="001214E8">
        <w:rPr>
          <w:b w:val="0"/>
        </w:rPr>
        <w:t xml:space="preserve"> District No. 6</w:t>
      </w:r>
    </w:p>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 w:rsidR="001214E8" w:rsidRDefault="001214E8" w:rsidP="001214E8">
      <w:pPr>
        <w:pStyle w:val="Textbody"/>
        <w:jc w:val="center"/>
        <w:rPr>
          <w:rFonts w:ascii="Arial" w:hAnsi="Arial"/>
          <w:bCs/>
          <w:sz w:val="28"/>
          <w:szCs w:val="28"/>
        </w:rPr>
      </w:pPr>
      <w:r>
        <w:rPr>
          <w:rFonts w:ascii="Arial" w:hAnsi="Arial"/>
          <w:bCs/>
          <w:sz w:val="28"/>
          <w:szCs w:val="28"/>
        </w:rPr>
        <w:t xml:space="preserve">Prepared by: </w:t>
      </w:r>
    </w:p>
    <w:p w:rsidR="001214E8" w:rsidRDefault="001214E8" w:rsidP="001214E8">
      <w:pPr>
        <w:pStyle w:val="Textbody"/>
        <w:jc w:val="center"/>
        <w:rPr>
          <w:rFonts w:ascii="Arial" w:hAnsi="Arial"/>
          <w:bCs/>
          <w:sz w:val="28"/>
          <w:szCs w:val="28"/>
        </w:rPr>
      </w:pPr>
    </w:p>
    <w:p w:rsidR="001214E8" w:rsidRDefault="001214E8" w:rsidP="001214E8">
      <w:pPr>
        <w:pStyle w:val="Textbody"/>
        <w:jc w:val="center"/>
        <w:rPr>
          <w:rFonts w:ascii="Arial" w:hAnsi="Arial"/>
          <w:bCs/>
          <w:sz w:val="28"/>
          <w:szCs w:val="28"/>
        </w:rPr>
      </w:pPr>
      <w:r>
        <w:rPr>
          <w:rFonts w:ascii="Arial" w:hAnsi="Arial"/>
          <w:bCs/>
          <w:sz w:val="28"/>
          <w:szCs w:val="28"/>
        </w:rPr>
        <w:t xml:space="preserve">John </w:t>
      </w:r>
      <w:proofErr w:type="spellStart"/>
      <w:r>
        <w:rPr>
          <w:rFonts w:ascii="Arial" w:hAnsi="Arial"/>
          <w:bCs/>
          <w:sz w:val="28"/>
          <w:szCs w:val="28"/>
        </w:rPr>
        <w:t>Braley</w:t>
      </w:r>
      <w:proofErr w:type="spellEnd"/>
      <w:r>
        <w:rPr>
          <w:rFonts w:ascii="Arial" w:hAnsi="Arial"/>
          <w:bCs/>
          <w:sz w:val="28"/>
          <w:szCs w:val="28"/>
        </w:rPr>
        <w:t xml:space="preserve"> and Frank Moon</w:t>
      </w:r>
    </w:p>
    <w:p w:rsidR="001214E8" w:rsidRDefault="001214E8" w:rsidP="001214E8">
      <w:pPr>
        <w:pStyle w:val="Textbody"/>
        <w:jc w:val="center"/>
        <w:rPr>
          <w:rFonts w:ascii="Arial" w:hAnsi="Arial"/>
          <w:bCs/>
          <w:sz w:val="28"/>
          <w:szCs w:val="28"/>
        </w:rPr>
      </w:pPr>
      <w:r>
        <w:rPr>
          <w:rFonts w:ascii="Arial" w:hAnsi="Arial"/>
          <w:bCs/>
          <w:sz w:val="28"/>
          <w:szCs w:val="28"/>
        </w:rPr>
        <w:t>Rutgers University</w:t>
      </w:r>
    </w:p>
    <w:p w:rsidR="001214E8" w:rsidRDefault="001214E8" w:rsidP="001214E8">
      <w:pPr>
        <w:pStyle w:val="Textbody"/>
        <w:jc w:val="center"/>
        <w:rPr>
          <w:rFonts w:ascii="Arial" w:hAnsi="Arial"/>
          <w:bCs/>
          <w:sz w:val="28"/>
          <w:szCs w:val="28"/>
        </w:rPr>
      </w:pPr>
    </w:p>
    <w:p w:rsidR="001214E8" w:rsidRDefault="001214E8" w:rsidP="001214E8">
      <w:pPr>
        <w:pStyle w:val="Textbody"/>
        <w:jc w:val="center"/>
        <w:rPr>
          <w:rFonts w:ascii="Arial" w:hAnsi="Arial"/>
          <w:bCs/>
          <w:sz w:val="28"/>
          <w:szCs w:val="28"/>
        </w:rPr>
      </w:pPr>
      <w:r>
        <w:rPr>
          <w:rFonts w:ascii="Arial" w:hAnsi="Arial"/>
          <w:bCs/>
          <w:sz w:val="28"/>
          <w:szCs w:val="28"/>
        </w:rPr>
        <w:t xml:space="preserve">Charles Young, Ivan </w:t>
      </w:r>
      <w:proofErr w:type="spellStart"/>
      <w:r>
        <w:rPr>
          <w:rFonts w:ascii="Arial" w:hAnsi="Arial"/>
          <w:bCs/>
          <w:sz w:val="28"/>
          <w:szCs w:val="28"/>
        </w:rPr>
        <w:t>Bartoli</w:t>
      </w:r>
      <w:proofErr w:type="spellEnd"/>
      <w:r>
        <w:rPr>
          <w:rFonts w:ascii="Arial" w:hAnsi="Arial"/>
          <w:bCs/>
          <w:sz w:val="28"/>
          <w:szCs w:val="28"/>
        </w:rPr>
        <w:t xml:space="preserve"> and </w:t>
      </w:r>
      <w:proofErr w:type="spellStart"/>
      <w:r>
        <w:rPr>
          <w:rFonts w:ascii="Arial" w:hAnsi="Arial"/>
          <w:bCs/>
          <w:sz w:val="28"/>
          <w:szCs w:val="28"/>
        </w:rPr>
        <w:t>Emin</w:t>
      </w:r>
      <w:proofErr w:type="spellEnd"/>
      <w:r>
        <w:rPr>
          <w:rFonts w:ascii="Arial" w:hAnsi="Arial"/>
          <w:bCs/>
          <w:sz w:val="28"/>
          <w:szCs w:val="28"/>
        </w:rPr>
        <w:t xml:space="preserve"> </w:t>
      </w:r>
      <w:proofErr w:type="spellStart"/>
      <w:r>
        <w:rPr>
          <w:rFonts w:ascii="Arial" w:hAnsi="Arial"/>
          <w:bCs/>
          <w:sz w:val="28"/>
          <w:szCs w:val="28"/>
        </w:rPr>
        <w:t>Aktan</w:t>
      </w:r>
      <w:proofErr w:type="spellEnd"/>
    </w:p>
    <w:p w:rsidR="001214E8" w:rsidRDefault="001214E8" w:rsidP="001214E8">
      <w:pPr>
        <w:pStyle w:val="Textbody"/>
        <w:jc w:val="center"/>
        <w:rPr>
          <w:rFonts w:ascii="Arial" w:hAnsi="Arial"/>
          <w:bCs/>
          <w:sz w:val="28"/>
          <w:szCs w:val="28"/>
        </w:rPr>
      </w:pPr>
      <w:r>
        <w:rPr>
          <w:rFonts w:ascii="Arial" w:hAnsi="Arial"/>
          <w:bCs/>
          <w:sz w:val="28"/>
          <w:szCs w:val="28"/>
        </w:rPr>
        <w:t>Drexel University</w:t>
      </w:r>
    </w:p>
    <w:p w:rsidR="00E66B97" w:rsidRPr="00900F74" w:rsidRDefault="00363F1D" w:rsidP="001214E8">
      <w:pPr>
        <w:pStyle w:val="Heading1"/>
        <w:rPr>
          <w:b w:val="0"/>
          <w:sz w:val="32"/>
          <w:szCs w:val="32"/>
        </w:rPr>
      </w:pPr>
      <w:r w:rsidRPr="00900F74">
        <w:rPr>
          <w:b w:val="0"/>
          <w:sz w:val="32"/>
          <w:szCs w:val="32"/>
        </w:rPr>
        <w:lastRenderedPageBreak/>
        <w:t>Introduction</w:t>
      </w:r>
    </w:p>
    <w:p w:rsidR="00E66B97" w:rsidRDefault="00363F1D">
      <w:pPr>
        <w:pStyle w:val="Heading2"/>
      </w:pPr>
      <w:r>
        <w:t>Test Structure Description</w:t>
      </w:r>
    </w:p>
    <w:p w:rsidR="00E66B97" w:rsidRDefault="00363F1D">
      <w:pPr>
        <w:pStyle w:val="FigureWithCaption"/>
      </w:pPr>
      <w:r>
        <w:rPr>
          <w:noProof/>
        </w:rPr>
        <w:drawing>
          <wp:inline distT="0" distB="0" distL="0" distR="0">
            <wp:extent cx="5918728" cy="1795698"/>
            <wp:effectExtent l="0" t="0" r="5822"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18728" cy="1795698"/>
                    </a:xfrm>
                    <a:prstGeom prst="rect">
                      <a:avLst/>
                    </a:prstGeom>
                  </pic:spPr>
                </pic:pic>
              </a:graphicData>
            </a:graphic>
          </wp:inline>
        </w:drawing>
      </w:r>
    </w:p>
    <w:p w:rsidR="00E66B97" w:rsidRDefault="00363F1D">
      <w:pPr>
        <w:pStyle w:val="FigureCaption"/>
        <w:jc w:val="center"/>
      </w:pPr>
      <w:r>
        <w:t>Photo of bridge elevation</w:t>
      </w:r>
    </w:p>
    <w:p w:rsidR="00E66B97" w:rsidRPr="00900F74" w:rsidRDefault="00363F1D">
      <w:pPr>
        <w:pStyle w:val="Heading3"/>
        <w:rPr>
          <w:sz w:val="22"/>
          <w:szCs w:val="22"/>
        </w:rPr>
      </w:pPr>
      <w:r w:rsidRPr="00900F74">
        <w:rPr>
          <w:sz w:val="22"/>
          <w:szCs w:val="22"/>
        </w:rPr>
        <w:t>Description</w:t>
      </w:r>
    </w:p>
    <w:p w:rsidR="00E66B97" w:rsidRDefault="00363F1D">
      <w:pPr>
        <w:pStyle w:val="Firstparagraph"/>
      </w:pPr>
      <w:r>
        <w:t xml:space="preserve">The viaduct was first constructed in 1952. The superstructure was replaced in 1986, while reusing the </w:t>
      </w:r>
      <w:r>
        <w:t xml:space="preserve">original piers and foundations. The structure runs along the banks of the Schuylkill River and carries the Schuylkill Expressway (I-76) with a total of four lanes of traffic. Bridge users have reported experiencing unusually high levels of vibration while </w:t>
      </w:r>
      <w:r>
        <w:t>on the structure.</w:t>
      </w:r>
    </w:p>
    <w:p w:rsidR="00E66B97" w:rsidRPr="00900F74" w:rsidRDefault="00363F1D">
      <w:pPr>
        <w:pStyle w:val="Heading3"/>
        <w:rPr>
          <w:sz w:val="22"/>
          <w:szCs w:val="22"/>
        </w:rPr>
      </w:pPr>
      <w:r w:rsidRPr="00900F74">
        <w:rPr>
          <w:sz w:val="22"/>
          <w:szCs w:val="22"/>
        </w:rPr>
        <w:t>Network</w:t>
      </w:r>
    </w:p>
    <w:p w:rsidR="00E66B97" w:rsidRDefault="00363F1D">
      <w:pPr>
        <w:pStyle w:val="Firstparagraph"/>
      </w:pPr>
      <w:r>
        <w:t>The bridge is located between mile 338 and 339 of Interstate 76 (Schuylkill Expressway) and carries more than 57,000 vehicles a day with 4% truck traffic. The bridge spans an access road and a railroad (spans 9 &amp; 10). Testing of t</w:t>
      </w:r>
      <w:r>
        <w:t>his bridge will not require access in the vicinity of the railroad.</w:t>
      </w:r>
    </w:p>
    <w:p w:rsidR="00E66B97" w:rsidRDefault="00363F1D">
      <w:pPr>
        <w:pStyle w:val="Heading3"/>
      </w:pPr>
      <w:r w:rsidRPr="00900F74">
        <w:rPr>
          <w:sz w:val="22"/>
          <w:szCs w:val="22"/>
        </w:rPr>
        <w:t>Superstructure</w:t>
      </w:r>
    </w:p>
    <w:p w:rsidR="00E66B97" w:rsidRDefault="00363F1D" w:rsidP="00900F74">
      <w:pPr>
        <w:pStyle w:val="Firstparagraph"/>
      </w:pPr>
      <w:r>
        <w:t>The structural type is steel multi-girder. Eight girders run longitudinally, resting on steel box girders that span transversely and are supported by the concrete piers. A r</w:t>
      </w:r>
      <w:r>
        <w:t>einforced concrete composite deck was cast in place, with a “raked” finish and no overlay. There is no skew. The bridge has eleven spans. The maximum span length is 140’-0”. The out-to-out width is 76’-6”. Three spans are simply supported, while the remain</w:t>
      </w:r>
      <w:r>
        <w:t>ing eight are two-span continuous. Each span has five interior rows of X-framed diaphragms and chevron diaphragms over the piers.</w:t>
      </w:r>
      <w:r>
        <w:rPr>
          <w:noProof/>
        </w:rPr>
        <w:drawing>
          <wp:inline distT="0" distB="0" distL="0" distR="0" wp14:anchorId="02E5A374" wp14:editId="3EBC5C34">
            <wp:extent cx="5943600" cy="1207099"/>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1207099"/>
                    </a:xfrm>
                    <a:prstGeom prst="rect">
                      <a:avLst/>
                    </a:prstGeom>
                  </pic:spPr>
                </pic:pic>
              </a:graphicData>
            </a:graphic>
          </wp:inline>
        </w:drawing>
      </w:r>
    </w:p>
    <w:p w:rsidR="00E66B97" w:rsidRDefault="00363F1D">
      <w:pPr>
        <w:pStyle w:val="FigureCaption"/>
        <w:jc w:val="center"/>
      </w:pPr>
      <w:r>
        <w:t>Diagram of Bridge System</w:t>
      </w:r>
    </w:p>
    <w:p w:rsidR="00E66B97" w:rsidRPr="00900F74" w:rsidRDefault="00363F1D">
      <w:pPr>
        <w:pStyle w:val="Heading3"/>
        <w:rPr>
          <w:sz w:val="22"/>
          <w:szCs w:val="22"/>
        </w:rPr>
      </w:pPr>
      <w:r w:rsidRPr="00900F74">
        <w:rPr>
          <w:sz w:val="22"/>
          <w:szCs w:val="22"/>
        </w:rPr>
        <w:lastRenderedPageBreak/>
        <w:t>Substructure and Bearings</w:t>
      </w:r>
    </w:p>
    <w:p w:rsidR="00E66B97" w:rsidRDefault="00363F1D">
      <w:pPr>
        <w:pStyle w:val="Firstparagraph"/>
      </w:pPr>
      <w:r>
        <w:t>The concrete piers and abutments were constructed in 1952 and are all tha</w:t>
      </w:r>
      <w:r>
        <w:t xml:space="preserve">t remains of the original structure. They are supported by driven piles. Elastomeric bearing pads are installed on top of the piers and support the transverse box girders. Rocker bearings or pedestals are installed between the box girders and longitudinal </w:t>
      </w:r>
      <w:r>
        <w:t>girders at those locations which are in the center of continuous spans. Elastomeric bearings are installed between the box girder and the longitudinal girders at the remaining locations.</w:t>
      </w:r>
    </w:p>
    <w:p w:rsidR="00E66B97" w:rsidRDefault="00363F1D">
      <w:pPr>
        <w:pStyle w:val="FigureWithCaption"/>
        <w:jc w:val="center"/>
      </w:pPr>
      <w:r>
        <w:rPr>
          <w:noProof/>
        </w:rPr>
        <w:drawing>
          <wp:inline distT="0" distB="0" distL="0" distR="0">
            <wp:extent cx="4160520"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20" cy="1627540"/>
                    </a:xfrm>
                    <a:prstGeom prst="rect">
                      <a:avLst/>
                    </a:prstGeom>
                  </pic:spPr>
                </pic:pic>
              </a:graphicData>
            </a:graphic>
          </wp:inline>
        </w:drawing>
      </w:r>
    </w:p>
    <w:p w:rsidR="00E66B97" w:rsidRDefault="00363F1D">
      <w:pPr>
        <w:pStyle w:val="FigureCaption"/>
        <w:jc w:val="center"/>
      </w:pPr>
      <w:r>
        <w:t>Bearings under Continuous Spans</w:t>
      </w:r>
    </w:p>
    <w:p w:rsidR="00E66B97" w:rsidRDefault="00363F1D">
      <w:pPr>
        <w:pStyle w:val="Heading3"/>
      </w:pPr>
      <w:r w:rsidRPr="00900F74">
        <w:rPr>
          <w:sz w:val="22"/>
          <w:szCs w:val="22"/>
        </w:rPr>
        <w:t>Condition</w:t>
      </w:r>
    </w:p>
    <w:p w:rsidR="00E66B97" w:rsidRDefault="00363F1D">
      <w:pPr>
        <w:pStyle w:val="Firstparagraph"/>
      </w:pPr>
      <w:r>
        <w:t>Visually, the deck appear</w:t>
      </w:r>
      <w:r>
        <w:t>s to be in good condition, with no major cracking visible. Minor damage was observed in some regions of the center concrete barrier. The girders appeared in excellent condition. No major rusting was observed, and the girders appeared well maintained. The a</w:t>
      </w:r>
      <w:r>
        <w:t>ccess hatches on many of the box girders had been left open. Any ill effects from this could not be immediately observed. The piers exhibited very little efflorescence and virtually no spalling. Repairs had been performed on several piers, where an embedde</w:t>
      </w:r>
      <w:r>
        <w:t>d drainage pipe had rusted and caused a portion of concrete to spall off.</w:t>
      </w:r>
    </w:p>
    <w:p w:rsidR="00E66B97" w:rsidRDefault="00363F1D">
      <w:pPr>
        <w:pStyle w:val="FigureCaption"/>
        <w:jc w:val="center"/>
      </w:pPr>
      <w:r>
        <w:t>NBI Details</w:t>
      </w:r>
    </w:p>
    <w:tbl>
      <w:tblPr>
        <w:tblW w:w="4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604"/>
        <w:gridCol w:w="2076"/>
      </w:tblGrid>
      <w:tr w:rsidR="00E66B97" w:rsidTr="00900F74">
        <w:tblPrEx>
          <w:tblCellMar>
            <w:top w:w="0" w:type="dxa"/>
            <w:bottom w:w="0" w:type="dxa"/>
          </w:tblCellMar>
        </w:tblPrEx>
        <w:trPr>
          <w:tblHeader/>
          <w:jc w:val="center"/>
        </w:trPr>
        <w:tc>
          <w:tcPr>
            <w:tcW w:w="2604" w:type="dxa"/>
            <w:tcMar>
              <w:top w:w="0" w:type="dxa"/>
              <w:left w:w="0" w:type="dxa"/>
              <w:bottom w:w="0" w:type="dxa"/>
              <w:right w:w="0" w:type="dxa"/>
            </w:tcMar>
          </w:tcPr>
          <w:p w:rsidR="00E66B97" w:rsidRDefault="00363F1D">
            <w:pPr>
              <w:pStyle w:val="TableHeading"/>
            </w:pPr>
            <w:r>
              <w:t>NBI Structure Number</w:t>
            </w:r>
          </w:p>
        </w:tc>
        <w:tc>
          <w:tcPr>
            <w:tcW w:w="2076" w:type="dxa"/>
            <w:tcMar>
              <w:top w:w="0" w:type="dxa"/>
              <w:left w:w="0" w:type="dxa"/>
              <w:bottom w:w="0" w:type="dxa"/>
              <w:right w:w="0" w:type="dxa"/>
            </w:tcMar>
          </w:tcPr>
          <w:p w:rsidR="00E66B97" w:rsidRDefault="00363F1D">
            <w:pPr>
              <w:pStyle w:val="TableHeading"/>
            </w:pPr>
            <w:r>
              <w:t>000000000027280</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Year Reconstructed</w:t>
            </w:r>
          </w:p>
        </w:tc>
        <w:tc>
          <w:tcPr>
            <w:tcW w:w="2076" w:type="dxa"/>
            <w:tcMar>
              <w:top w:w="0" w:type="dxa"/>
              <w:left w:w="0" w:type="dxa"/>
              <w:bottom w:w="0" w:type="dxa"/>
              <w:right w:w="0" w:type="dxa"/>
            </w:tcMar>
          </w:tcPr>
          <w:p w:rsidR="00E66B97" w:rsidRDefault="00363F1D">
            <w:pPr>
              <w:pStyle w:val="TableContents"/>
            </w:pPr>
            <w:r>
              <w:t>1986</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Owner</w:t>
            </w:r>
          </w:p>
        </w:tc>
        <w:tc>
          <w:tcPr>
            <w:tcW w:w="2076" w:type="dxa"/>
            <w:tcMar>
              <w:top w:w="0" w:type="dxa"/>
              <w:left w:w="0" w:type="dxa"/>
              <w:bottom w:w="0" w:type="dxa"/>
              <w:right w:w="0" w:type="dxa"/>
            </w:tcMar>
          </w:tcPr>
          <w:p w:rsidR="00E66B97" w:rsidRDefault="00363F1D">
            <w:pPr>
              <w:pStyle w:val="TableContents"/>
            </w:pPr>
            <w:proofErr w:type="spellStart"/>
            <w:r>
              <w:t>PennDOT</w:t>
            </w:r>
            <w:proofErr w:type="spellEnd"/>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Skew</w:t>
            </w:r>
          </w:p>
        </w:tc>
        <w:tc>
          <w:tcPr>
            <w:tcW w:w="2076" w:type="dxa"/>
            <w:tcMar>
              <w:top w:w="0" w:type="dxa"/>
              <w:left w:w="0" w:type="dxa"/>
              <w:bottom w:w="0" w:type="dxa"/>
              <w:right w:w="0" w:type="dxa"/>
            </w:tcMar>
          </w:tcPr>
          <w:p w:rsidR="00E66B97" w:rsidRDefault="00363F1D">
            <w:pPr>
              <w:pStyle w:val="TableContents"/>
            </w:pPr>
            <w:r>
              <w:t>0 degrees</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Deck Width</w:t>
            </w:r>
          </w:p>
        </w:tc>
        <w:tc>
          <w:tcPr>
            <w:tcW w:w="2076" w:type="dxa"/>
            <w:tcMar>
              <w:top w:w="0" w:type="dxa"/>
              <w:left w:w="0" w:type="dxa"/>
              <w:bottom w:w="0" w:type="dxa"/>
              <w:right w:w="0" w:type="dxa"/>
            </w:tcMar>
          </w:tcPr>
          <w:p w:rsidR="00E66B97" w:rsidRDefault="00363F1D">
            <w:pPr>
              <w:pStyle w:val="TableContents"/>
            </w:pPr>
            <w:r>
              <w:t>76’-6”</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Maximum Span Length</w:t>
            </w:r>
          </w:p>
        </w:tc>
        <w:tc>
          <w:tcPr>
            <w:tcW w:w="2076" w:type="dxa"/>
            <w:tcMar>
              <w:top w:w="0" w:type="dxa"/>
              <w:left w:w="0" w:type="dxa"/>
              <w:bottom w:w="0" w:type="dxa"/>
              <w:right w:w="0" w:type="dxa"/>
            </w:tcMar>
          </w:tcPr>
          <w:p w:rsidR="00E66B97" w:rsidRDefault="00363F1D">
            <w:pPr>
              <w:pStyle w:val="TableContents"/>
            </w:pPr>
            <w:r>
              <w:t>140’-0”</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ADT</w:t>
            </w:r>
          </w:p>
        </w:tc>
        <w:tc>
          <w:tcPr>
            <w:tcW w:w="2076" w:type="dxa"/>
            <w:tcMar>
              <w:top w:w="0" w:type="dxa"/>
              <w:left w:w="0" w:type="dxa"/>
              <w:bottom w:w="0" w:type="dxa"/>
              <w:right w:w="0" w:type="dxa"/>
            </w:tcMar>
          </w:tcPr>
          <w:p w:rsidR="00E66B97" w:rsidRDefault="00363F1D">
            <w:pPr>
              <w:pStyle w:val="TableContents"/>
            </w:pPr>
            <w:r>
              <w:t>57410 (2013)</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 xml:space="preserve">Deck </w:t>
            </w:r>
            <w:r>
              <w:t>Condition</w:t>
            </w:r>
          </w:p>
        </w:tc>
        <w:tc>
          <w:tcPr>
            <w:tcW w:w="2076" w:type="dxa"/>
            <w:tcMar>
              <w:top w:w="0" w:type="dxa"/>
              <w:left w:w="0" w:type="dxa"/>
              <w:bottom w:w="0" w:type="dxa"/>
              <w:right w:w="0" w:type="dxa"/>
            </w:tcMar>
          </w:tcPr>
          <w:p w:rsidR="00E66B97" w:rsidRDefault="00363F1D">
            <w:pPr>
              <w:pStyle w:val="TableContents"/>
            </w:pPr>
            <w:r>
              <w:t>6 (Satisfactory Condition)</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Superstructure Condition</w:t>
            </w:r>
          </w:p>
        </w:tc>
        <w:tc>
          <w:tcPr>
            <w:tcW w:w="2076" w:type="dxa"/>
            <w:tcMar>
              <w:top w:w="0" w:type="dxa"/>
              <w:left w:w="0" w:type="dxa"/>
              <w:bottom w:w="0" w:type="dxa"/>
              <w:right w:w="0" w:type="dxa"/>
            </w:tcMar>
          </w:tcPr>
          <w:p w:rsidR="00E66B97" w:rsidRDefault="00363F1D">
            <w:pPr>
              <w:pStyle w:val="TableContents"/>
            </w:pPr>
            <w:r>
              <w:t>7 (Good Condition)</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Substructure Condition</w:t>
            </w:r>
          </w:p>
        </w:tc>
        <w:tc>
          <w:tcPr>
            <w:tcW w:w="2076" w:type="dxa"/>
            <w:tcMar>
              <w:top w:w="0" w:type="dxa"/>
              <w:left w:w="0" w:type="dxa"/>
              <w:bottom w:w="0" w:type="dxa"/>
              <w:right w:w="0" w:type="dxa"/>
            </w:tcMar>
          </w:tcPr>
          <w:p w:rsidR="00E66B97" w:rsidRDefault="00363F1D">
            <w:pPr>
              <w:pStyle w:val="TableContents"/>
            </w:pPr>
            <w:r>
              <w:t>5 (Fair Condition)</w:t>
            </w:r>
          </w:p>
        </w:tc>
      </w:tr>
      <w:tr w:rsidR="00E66B97" w:rsidTr="00900F74">
        <w:tblPrEx>
          <w:tblCellMar>
            <w:top w:w="0" w:type="dxa"/>
            <w:bottom w:w="0" w:type="dxa"/>
          </w:tblCellMar>
        </w:tblPrEx>
        <w:trPr>
          <w:jc w:val="center"/>
        </w:trPr>
        <w:tc>
          <w:tcPr>
            <w:tcW w:w="2604" w:type="dxa"/>
            <w:tcMar>
              <w:top w:w="0" w:type="dxa"/>
              <w:left w:w="0" w:type="dxa"/>
              <w:bottom w:w="0" w:type="dxa"/>
              <w:right w:w="0" w:type="dxa"/>
            </w:tcMar>
          </w:tcPr>
          <w:p w:rsidR="00E66B97" w:rsidRDefault="00363F1D">
            <w:pPr>
              <w:pStyle w:val="TableContents"/>
            </w:pPr>
            <w:r>
              <w:t>Sufficiency Rating</w:t>
            </w:r>
          </w:p>
        </w:tc>
        <w:tc>
          <w:tcPr>
            <w:tcW w:w="2076" w:type="dxa"/>
            <w:tcMar>
              <w:top w:w="0" w:type="dxa"/>
              <w:left w:w="0" w:type="dxa"/>
              <w:bottom w:w="0" w:type="dxa"/>
              <w:right w:w="0" w:type="dxa"/>
            </w:tcMar>
          </w:tcPr>
          <w:p w:rsidR="00E66B97" w:rsidRDefault="00363F1D">
            <w:pPr>
              <w:pStyle w:val="TableContents"/>
            </w:pPr>
            <w:r>
              <w:t>70</w:t>
            </w:r>
          </w:p>
        </w:tc>
      </w:tr>
    </w:tbl>
    <w:p w:rsidR="00E66B97" w:rsidRDefault="00363F1D">
      <w:pPr>
        <w:pStyle w:val="Heading2"/>
      </w:pPr>
      <w:r>
        <w:t>Test Objectives</w:t>
      </w:r>
    </w:p>
    <w:p w:rsidR="00E66B97" w:rsidRDefault="00363F1D">
      <w:pPr>
        <w:pStyle w:val="Firstparagraph"/>
      </w:pPr>
      <w:r>
        <w:t xml:space="preserve">Members of this group were notified by </w:t>
      </w:r>
      <w:proofErr w:type="spellStart"/>
      <w:r>
        <w:t>PennDOT</w:t>
      </w:r>
      <w:proofErr w:type="spellEnd"/>
      <w:r>
        <w:t xml:space="preserve"> officials that concerned bridge users had </w:t>
      </w:r>
      <w:r>
        <w:t xml:space="preserve">been </w:t>
      </w:r>
      <w:r>
        <w:lastRenderedPageBreak/>
        <w:t xml:space="preserve">reporting high vibration levels. It was the purpose of this testing effort to identify the nature of the vibrations and their magnitude. It is of secondary concern to identify if the levels of vibration are detrimental to the structure, and recommend </w:t>
      </w:r>
      <w:r>
        <w:t>methods of reducing the vibration if such is the case.</w:t>
      </w:r>
    </w:p>
    <w:p w:rsidR="00E66B97" w:rsidRDefault="00363F1D">
      <w:pPr>
        <w:pStyle w:val="Heading1"/>
      </w:pPr>
      <w:r w:rsidRPr="00900F74">
        <w:rPr>
          <w:b w:val="0"/>
          <w:sz w:val="32"/>
          <w:szCs w:val="32"/>
        </w:rPr>
        <w:t>Testing Activities</w:t>
      </w:r>
    </w:p>
    <w:p w:rsidR="00E66B97" w:rsidRDefault="00363F1D">
      <w:pPr>
        <w:pStyle w:val="Heading2"/>
      </w:pPr>
      <w:r>
        <w:t>Preliminary Survey of Cross Girder Acceleration</w:t>
      </w:r>
    </w:p>
    <w:p w:rsidR="00E66B97" w:rsidRDefault="00363F1D">
      <w:pPr>
        <w:pStyle w:val="Firstparagraph"/>
      </w:pPr>
      <w:r>
        <w:t xml:space="preserve">Preliminary testing of the viaduct took place on July 6th and 7th. The cross girders at piers 2, 3, 5 and 7 were instrumented with </w:t>
      </w:r>
      <w:r>
        <w:t>accelerometers.</w:t>
      </w:r>
    </w:p>
    <w:p w:rsidR="00E66B97" w:rsidRDefault="00363F1D">
      <w:pPr>
        <w:pStyle w:val="FigureWithCaption"/>
      </w:pPr>
      <w:r>
        <w:rPr>
          <w:noProof/>
        </w:rPr>
        <w:drawing>
          <wp:inline distT="0" distB="0" distL="0" distR="0">
            <wp:extent cx="5943600" cy="1093348"/>
            <wp:effectExtent l="0" t="0" r="0" b="0"/>
            <wp:docPr id="4" name="img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1093348"/>
                    </a:xfrm>
                    <a:prstGeom prst="rect">
                      <a:avLst/>
                    </a:prstGeom>
                  </pic:spPr>
                </pic:pic>
              </a:graphicData>
            </a:graphic>
          </wp:inline>
        </w:drawing>
      </w:r>
    </w:p>
    <w:p w:rsidR="00E66B97" w:rsidRDefault="00363F1D">
      <w:pPr>
        <w:pStyle w:val="FigureCaption"/>
        <w:jc w:val="center"/>
      </w:pPr>
      <w:r>
        <w:t>Locations of Instrumented Cross Girders</w:t>
      </w:r>
    </w:p>
    <w:p w:rsidR="00E66B97" w:rsidRDefault="00363F1D">
      <w:pPr>
        <w:pStyle w:val="Textbody"/>
      </w:pPr>
      <w:r>
        <w:t>The acceleration of these members due to traffic was recorded in an effort to determine the spans with the highest levels of vibration. The cross girders all experienced similar levels of vertical a</w:t>
      </w:r>
      <w:r>
        <w:t>nd longitudinal acceleration, while the cross girder at pier 7 experienced much higher transverse acceleration.</w:t>
      </w:r>
    </w:p>
    <w:p w:rsidR="00E66B97" w:rsidRDefault="00363F1D">
      <w:pPr>
        <w:pStyle w:val="FigureWithCaption"/>
      </w:pPr>
      <w:r>
        <w:rPr>
          <w:noProof/>
        </w:rPr>
        <w:drawing>
          <wp:inline distT="0" distB="0" distL="0" distR="0">
            <wp:extent cx="5943600" cy="2212939"/>
            <wp:effectExtent l="0" t="0" r="0" b="0"/>
            <wp:docPr id="5" name="img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43600" cy="2212939"/>
                    </a:xfrm>
                    <a:prstGeom prst="rect">
                      <a:avLst/>
                    </a:prstGeom>
                  </pic:spPr>
                </pic:pic>
              </a:graphicData>
            </a:graphic>
          </wp:inline>
        </w:drawing>
      </w:r>
    </w:p>
    <w:p w:rsidR="00E66B97" w:rsidRDefault="00363F1D">
      <w:pPr>
        <w:pStyle w:val="FigureCaption"/>
        <w:jc w:val="center"/>
      </w:pPr>
      <w:r>
        <w:t>Plot of Root Mean Square of Acceleration during Preliminary Survey</w:t>
      </w:r>
    </w:p>
    <w:p w:rsidR="00E66B97" w:rsidRDefault="00363F1D">
      <w:pPr>
        <w:pStyle w:val="Textbody"/>
      </w:pPr>
      <w:r>
        <w:t>As a result, spans 7 and 8 were chosen for the in depth investigation.</w:t>
      </w:r>
    </w:p>
    <w:p w:rsidR="00E66B97" w:rsidRDefault="00363F1D">
      <w:pPr>
        <w:pStyle w:val="FigureWithCaption"/>
      </w:pPr>
      <w:r>
        <w:rPr>
          <w:noProof/>
        </w:rPr>
        <w:lastRenderedPageBreak/>
        <w:drawing>
          <wp:inline distT="0" distB="0" distL="0" distR="0">
            <wp:extent cx="5943600" cy="1094719"/>
            <wp:effectExtent l="0" t="0" r="0" b="0"/>
            <wp:docPr id="6" name="img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43600" cy="1094719"/>
                    </a:xfrm>
                    <a:prstGeom prst="rect">
                      <a:avLst/>
                    </a:prstGeom>
                  </pic:spPr>
                </pic:pic>
              </a:graphicData>
            </a:graphic>
          </wp:inline>
        </w:drawing>
      </w:r>
    </w:p>
    <w:p w:rsidR="00E66B97" w:rsidRDefault="00363F1D">
      <w:pPr>
        <w:pStyle w:val="FigureCaption"/>
        <w:jc w:val="center"/>
      </w:pPr>
      <w:r>
        <w:t>Ch</w:t>
      </w:r>
      <w:r>
        <w:t>osen Spans for Full Investigation</w:t>
      </w:r>
    </w:p>
    <w:p w:rsidR="00E66B97" w:rsidRDefault="00363F1D">
      <w:pPr>
        <w:pStyle w:val="Heading2"/>
      </w:pPr>
      <w:r>
        <w:t>In Depth Vibration investigation</w:t>
      </w:r>
    </w:p>
    <w:p w:rsidR="00E66B97" w:rsidRDefault="00363F1D">
      <w:pPr>
        <w:pStyle w:val="Firstparagraph"/>
      </w:pPr>
      <w:r>
        <w:t>Instrumentation of spans 7 and 8 was performed on July 26th and 27th. Data was recorded on July 27th and 28th. Sensors were removed on July 29th.</w:t>
      </w:r>
    </w:p>
    <w:tbl>
      <w:tblPr>
        <w:tblW w:w="9360" w:type="dxa"/>
        <w:tblLayout w:type="fixed"/>
        <w:tblCellMar>
          <w:left w:w="10" w:type="dxa"/>
          <w:right w:w="10" w:type="dxa"/>
        </w:tblCellMar>
        <w:tblLook w:val="04A0" w:firstRow="1" w:lastRow="0" w:firstColumn="1" w:lastColumn="0" w:noHBand="0" w:noVBand="1"/>
      </w:tblPr>
      <w:tblGrid>
        <w:gridCol w:w="3144"/>
        <w:gridCol w:w="6216"/>
      </w:tblGrid>
      <w:tr w:rsidR="00E66B97">
        <w:tblPrEx>
          <w:tblCellMar>
            <w:top w:w="0" w:type="dxa"/>
            <w:bottom w:w="0" w:type="dxa"/>
          </w:tblCellMar>
        </w:tblPrEx>
        <w:trPr>
          <w:tblHeader/>
        </w:trPr>
        <w:tc>
          <w:tcPr>
            <w:tcW w:w="3144" w:type="dxa"/>
            <w:tcMar>
              <w:top w:w="0" w:type="dxa"/>
              <w:left w:w="0" w:type="dxa"/>
              <w:bottom w:w="0" w:type="dxa"/>
              <w:right w:w="0" w:type="dxa"/>
            </w:tcMar>
          </w:tcPr>
          <w:p w:rsidR="00E66B97" w:rsidRDefault="00363F1D">
            <w:pPr>
              <w:pStyle w:val="TableHeading"/>
              <w:jc w:val="center"/>
            </w:pPr>
            <w:r>
              <w:t>Accelerometer</w:t>
            </w:r>
          </w:p>
        </w:tc>
        <w:tc>
          <w:tcPr>
            <w:tcW w:w="6216" w:type="dxa"/>
            <w:tcMar>
              <w:top w:w="0" w:type="dxa"/>
              <w:left w:w="0" w:type="dxa"/>
              <w:bottom w:w="0" w:type="dxa"/>
              <w:right w:w="0" w:type="dxa"/>
            </w:tcMar>
          </w:tcPr>
          <w:p w:rsidR="00E66B97" w:rsidRDefault="00363F1D">
            <w:pPr>
              <w:pStyle w:val="TableHeading"/>
              <w:jc w:val="center"/>
            </w:pPr>
            <w:r>
              <w:t>Strain Gauge</w:t>
            </w:r>
          </w:p>
        </w:tc>
      </w:tr>
      <w:tr w:rsidR="00E66B97">
        <w:tblPrEx>
          <w:tblCellMar>
            <w:top w:w="0" w:type="dxa"/>
            <w:bottom w:w="0" w:type="dxa"/>
          </w:tblCellMar>
        </w:tblPrEx>
        <w:tc>
          <w:tcPr>
            <w:tcW w:w="3144" w:type="dxa"/>
            <w:tcMar>
              <w:top w:w="0" w:type="dxa"/>
              <w:left w:w="0" w:type="dxa"/>
              <w:bottom w:w="0" w:type="dxa"/>
              <w:right w:w="0" w:type="dxa"/>
            </w:tcMar>
          </w:tcPr>
          <w:p w:rsidR="00E66B97" w:rsidRDefault="00363F1D">
            <w:pPr>
              <w:pStyle w:val="TableContents"/>
              <w:jc w:val="center"/>
            </w:pPr>
            <w:r>
              <w:rPr>
                <w:noProof/>
              </w:rPr>
              <w:drawing>
                <wp:inline distT="0" distB="0" distL="0" distR="0">
                  <wp:extent cx="1810420" cy="1828800"/>
                  <wp:effectExtent l="0" t="0" r="0" b="0"/>
                  <wp:docPr id="7" name="img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10420" cy="1828800"/>
                          </a:xfrm>
                          <a:prstGeom prst="rect">
                            <a:avLst/>
                          </a:prstGeom>
                        </pic:spPr>
                      </pic:pic>
                    </a:graphicData>
                  </a:graphic>
                </wp:inline>
              </w:drawing>
            </w:r>
          </w:p>
        </w:tc>
        <w:tc>
          <w:tcPr>
            <w:tcW w:w="6216" w:type="dxa"/>
            <w:tcMar>
              <w:top w:w="0" w:type="dxa"/>
              <w:left w:w="0" w:type="dxa"/>
              <w:bottom w:w="0" w:type="dxa"/>
              <w:right w:w="0" w:type="dxa"/>
            </w:tcMar>
          </w:tcPr>
          <w:p w:rsidR="00E66B97" w:rsidRDefault="00363F1D">
            <w:pPr>
              <w:pStyle w:val="TableContents"/>
              <w:jc w:val="center"/>
            </w:pPr>
            <w:r>
              <w:rPr>
                <w:noProof/>
              </w:rPr>
              <w:drawing>
                <wp:inline distT="0" distB="0" distL="0" distR="0">
                  <wp:extent cx="3648638" cy="1828800"/>
                  <wp:effectExtent l="0" t="0" r="8962" b="0"/>
                  <wp:docPr id="8" name="img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648638" cy="1828800"/>
                          </a:xfrm>
                          <a:prstGeom prst="rect">
                            <a:avLst/>
                          </a:prstGeom>
                        </pic:spPr>
                      </pic:pic>
                    </a:graphicData>
                  </a:graphic>
                </wp:inline>
              </w:drawing>
            </w:r>
          </w:p>
        </w:tc>
      </w:tr>
    </w:tbl>
    <w:p w:rsidR="00E66B97" w:rsidRDefault="00363F1D">
      <w:pPr>
        <w:pStyle w:val="FigureCaption"/>
        <w:jc w:val="center"/>
      </w:pPr>
      <w:r>
        <w:t xml:space="preserve">Sensor </w:t>
      </w:r>
      <w:r>
        <w:t>Types Used in Test</w:t>
      </w:r>
    </w:p>
    <w:p w:rsidR="00E66B97" w:rsidRDefault="00363F1D">
      <w:pPr>
        <w:pStyle w:val="Firstparagraph"/>
      </w:pPr>
      <w:r>
        <w:t>A total of 30 accelerometers (PCB Model 393A03) and 12 strain gauges (</w:t>
      </w:r>
      <w:proofErr w:type="spellStart"/>
      <w:r>
        <w:t>Geokon</w:t>
      </w:r>
      <w:proofErr w:type="spellEnd"/>
      <w:r>
        <w:t xml:space="preserve"> 6" vibrating wire) were installed on the chosen region of the viaduct. Epoxy was used to attach the strain gauges to the steel surface (after paint was removed)</w:t>
      </w:r>
      <w:r>
        <w:t>.</w:t>
      </w:r>
    </w:p>
    <w:p w:rsidR="00E66B97" w:rsidRDefault="00363F1D">
      <w:pPr>
        <w:pStyle w:val="Textbody"/>
      </w:pPr>
      <w:r>
        <w:t>They were located (as depicted in the images below) so as to capture maximum response as well as to characterize the mode (shape) of vibration.</w:t>
      </w:r>
    </w:p>
    <w:p w:rsidR="00E66B97" w:rsidRPr="00900F74" w:rsidRDefault="00363F1D">
      <w:pPr>
        <w:pStyle w:val="Heading3"/>
        <w:rPr>
          <w:sz w:val="22"/>
          <w:szCs w:val="22"/>
        </w:rPr>
      </w:pPr>
      <w:r w:rsidRPr="00900F74">
        <w:rPr>
          <w:sz w:val="22"/>
          <w:szCs w:val="22"/>
        </w:rPr>
        <w:t>Accelerometer Instrumentation</w:t>
      </w:r>
    </w:p>
    <w:p w:rsidR="00E66B97" w:rsidRDefault="00363F1D">
      <w:pPr>
        <w:pStyle w:val="Firstparagraph"/>
      </w:pPr>
      <w:r>
        <w:t xml:space="preserve">Accelerometers were installed to the steel superstructure via magnets that were </w:t>
      </w:r>
      <w:r>
        <w:t xml:space="preserve">attached to the accelerometer base. Accelerometers were installed on the pier with hot-glue. Cables were run along the girders to Pier 7, and down to the ground at Pier 7. The accelerometers were sampled with National Instruments </w:t>
      </w:r>
      <w:proofErr w:type="spellStart"/>
      <w:r>
        <w:t>CompactRIO</w:t>
      </w:r>
      <w:proofErr w:type="spellEnd"/>
      <w:r>
        <w:t xml:space="preserve"> with 8 NI 9234 </w:t>
      </w:r>
      <w:r>
        <w:t>cards installed and using a LabVIEW acquisition program. The acquisition system sampled at 200 Hz for multiple hours at a time over a period of 2 days, recording a total of 14 hours of data.</w:t>
      </w:r>
    </w:p>
    <w:p w:rsidR="00E66B97" w:rsidRDefault="00363F1D">
      <w:pPr>
        <w:pStyle w:val="FigureWithCaption"/>
      </w:pPr>
      <w:r>
        <w:rPr>
          <w:noProof/>
        </w:rPr>
        <w:lastRenderedPageBreak/>
        <w:drawing>
          <wp:inline distT="0" distB="0" distL="0" distR="0">
            <wp:extent cx="5943600" cy="4957602"/>
            <wp:effectExtent l="0" t="0" r="0" b="0"/>
            <wp:docPr id="9" name="img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3600" cy="4957602"/>
                    </a:xfrm>
                    <a:prstGeom prst="rect">
                      <a:avLst/>
                    </a:prstGeom>
                  </pic:spPr>
                </pic:pic>
              </a:graphicData>
            </a:graphic>
          </wp:inline>
        </w:drawing>
      </w:r>
    </w:p>
    <w:p w:rsidR="00E66B97" w:rsidRDefault="00363F1D">
      <w:pPr>
        <w:pStyle w:val="FigureCaption"/>
        <w:jc w:val="center"/>
      </w:pPr>
      <w:r>
        <w:t>Layout and Details of Accelerometer Installation</w:t>
      </w:r>
    </w:p>
    <w:p w:rsidR="00E66B97" w:rsidRDefault="00363F1D">
      <w:pPr>
        <w:pStyle w:val="Heading3"/>
      </w:pPr>
      <w:r w:rsidRPr="00E10317">
        <w:rPr>
          <w:sz w:val="22"/>
          <w:szCs w:val="22"/>
        </w:rPr>
        <w:t>Strain Gauge L</w:t>
      </w:r>
      <w:r w:rsidRPr="00E10317">
        <w:rPr>
          <w:sz w:val="22"/>
          <w:szCs w:val="22"/>
        </w:rPr>
        <w:t>ayout</w:t>
      </w:r>
    </w:p>
    <w:p w:rsidR="00E66B97" w:rsidRDefault="00363F1D">
      <w:pPr>
        <w:pStyle w:val="Firstparagraph"/>
      </w:pPr>
      <w:r>
        <w:t>The locations where strain gauges were to be installed were identified and the paint removed with an angle grinder equipped with sandpaper disks until bare metal was exposed. This surface treatment is essential for proper adhesion of the gauge. Epoxy</w:t>
      </w:r>
      <w:r>
        <w:t xml:space="preserve"> was applied to the strain gauge bases before being positioned on the treated surface. Duct tape was used to temporarily hold the gauge in place while the epoxy cured. After at least 8 hours of curing the duct tape was removed, the gauge set screws were lo</w:t>
      </w:r>
      <w:r>
        <w:t xml:space="preserve">osened and then retightened to release any intrinsic forces. The cables were run along the girders toward Pier 7 and to the ground at Pier 7. The strain gauges were sampled using a Campbell Scientific CR6 </w:t>
      </w:r>
      <w:proofErr w:type="spellStart"/>
      <w:r>
        <w:t>Datalogger</w:t>
      </w:r>
      <w:proofErr w:type="spellEnd"/>
      <w:r>
        <w:t xml:space="preserve"> with 2 CDM-VW305 8 Channel Vibrating Wir</w:t>
      </w:r>
      <w:r>
        <w:t xml:space="preserve">e Analyzers. The system sampled at 50 Hz for 12 </w:t>
      </w:r>
      <w:proofErr w:type="gramStart"/>
      <w:r>
        <w:t>hours,</w:t>
      </w:r>
      <w:proofErr w:type="gramEnd"/>
      <w:r>
        <w:t xml:space="preserve"> and at 20 Hz for 8 hours during the night.</w:t>
      </w:r>
    </w:p>
    <w:p w:rsidR="00E66B97" w:rsidRDefault="00363F1D" w:rsidP="00E10317">
      <w:pPr>
        <w:pStyle w:val="FigureWithCaption"/>
        <w:jc w:val="center"/>
      </w:pPr>
      <w:r>
        <w:rPr>
          <w:noProof/>
        </w:rPr>
        <w:lastRenderedPageBreak/>
        <w:drawing>
          <wp:inline distT="0" distB="0" distL="0" distR="0">
            <wp:extent cx="5979381" cy="4047214"/>
            <wp:effectExtent l="0" t="0" r="2540" b="0"/>
            <wp:docPr id="10" name="img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79381" cy="4047214"/>
                    </a:xfrm>
                    <a:prstGeom prst="rect">
                      <a:avLst/>
                    </a:prstGeom>
                  </pic:spPr>
                </pic:pic>
              </a:graphicData>
            </a:graphic>
          </wp:inline>
        </w:drawing>
      </w:r>
    </w:p>
    <w:p w:rsidR="00E66B97" w:rsidRDefault="00363F1D">
      <w:pPr>
        <w:pStyle w:val="FigureCaption"/>
        <w:jc w:val="center"/>
      </w:pPr>
      <w:r>
        <w:t>Layout and Details of Strain Gauge Installation</w:t>
      </w:r>
    </w:p>
    <w:p w:rsidR="00E66B97" w:rsidRPr="00900F74" w:rsidRDefault="00363F1D">
      <w:pPr>
        <w:pStyle w:val="Heading1"/>
        <w:rPr>
          <w:b w:val="0"/>
          <w:sz w:val="32"/>
          <w:szCs w:val="32"/>
        </w:rPr>
      </w:pPr>
      <w:r w:rsidRPr="00900F74">
        <w:rPr>
          <w:b w:val="0"/>
          <w:sz w:val="32"/>
          <w:szCs w:val="32"/>
        </w:rPr>
        <w:t>Acceleration Results</w:t>
      </w:r>
    </w:p>
    <w:p w:rsidR="00E66B97" w:rsidRPr="00900F74" w:rsidRDefault="00363F1D">
      <w:pPr>
        <w:pStyle w:val="Heading2"/>
      </w:pPr>
      <w:r w:rsidRPr="00900F74">
        <w:t>Time History</w:t>
      </w:r>
    </w:p>
    <w:p w:rsidR="00E10317" w:rsidRDefault="00363F1D" w:rsidP="00E10317">
      <w:pPr>
        <w:pStyle w:val="Firstparagraph"/>
      </w:pPr>
      <w:r>
        <w:t xml:space="preserve">The a low-pass filter was applied to the acceleration data in an effort to remove high frequency acceleration (above 20 Hz) from sources such as </w:t>
      </w:r>
      <w:r>
        <w:t>noise and member local modes that could cloud global vibration characteristics. The root mean square was calculated for every 20 minute period of the data to track the change in the level of excitation over time.</w:t>
      </w:r>
    </w:p>
    <w:p w:rsidR="00E66B97" w:rsidRDefault="00363F1D" w:rsidP="00E10317">
      <w:pPr>
        <w:pStyle w:val="Firstparagraph"/>
        <w:jc w:val="center"/>
      </w:pPr>
      <w:r>
        <w:rPr>
          <w:noProof/>
        </w:rPr>
        <w:lastRenderedPageBreak/>
        <w:drawing>
          <wp:inline distT="0" distB="0" distL="0" distR="0" wp14:anchorId="00581151" wp14:editId="4D9D03D3">
            <wp:extent cx="4155771" cy="2313830"/>
            <wp:effectExtent l="0" t="0" r="0" b="0"/>
            <wp:docPr id="11" name="img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lum/>
                      <a:alphaModFix/>
                    </a:blip>
                    <a:srcRect t="4276"/>
                    <a:stretch/>
                  </pic:blipFill>
                  <pic:spPr bwMode="auto">
                    <a:xfrm>
                      <a:off x="0" y="0"/>
                      <a:ext cx="4160520" cy="2316474"/>
                    </a:xfrm>
                    <a:prstGeom prst="rect">
                      <a:avLst/>
                    </a:prstGeom>
                    <a:ln>
                      <a:noFill/>
                    </a:ln>
                    <a:extLst>
                      <a:ext uri="{53640926-AAD7-44D8-BBD7-CCE9431645EC}">
                        <a14:shadowObscured xmlns:a14="http://schemas.microsoft.com/office/drawing/2010/main"/>
                      </a:ext>
                    </a:extLst>
                  </pic:spPr>
                </pic:pic>
              </a:graphicData>
            </a:graphic>
          </wp:inline>
        </w:drawing>
      </w:r>
    </w:p>
    <w:p w:rsidR="00E66B97" w:rsidRDefault="00363F1D">
      <w:pPr>
        <w:pStyle w:val="FigureCaption"/>
        <w:jc w:val="center"/>
      </w:pPr>
      <w:r>
        <w:t>RMS of Superstructure DOF over Time</w:t>
      </w:r>
    </w:p>
    <w:p w:rsidR="00E66B97" w:rsidRDefault="00363F1D">
      <w:pPr>
        <w:pStyle w:val="Textbody"/>
      </w:pPr>
      <w:r>
        <w:t xml:space="preserve">As </w:t>
      </w:r>
      <w:r>
        <w:t>can be seen from the above plot, the superstructure experiences relatively steady vibration and it increases toward the latter half of the total record. This time corresponds to the period between 12:00 PM and 3:30 PM. The maximum RMS values for the supers</w:t>
      </w:r>
      <w:r>
        <w:t>tructure range from 0.015 to 0.07 g. In contrast, the RMS values for the pier accelerometers did not exceed 0.003 g. This is due to the effectiveness of the bearings, isolating the pier from superstructure vibrations, and the comparatively large axial stif</w:t>
      </w:r>
      <w:r>
        <w:t>fness of the piers which limits (and effectively prevents) vertical pier acceleration: the direction for which the superstructure experiences the greatest vibration.</w:t>
      </w:r>
    </w:p>
    <w:p w:rsidR="00E66B97" w:rsidRPr="00900F74" w:rsidRDefault="00363F1D">
      <w:pPr>
        <w:pStyle w:val="Heading2"/>
      </w:pPr>
      <w:r w:rsidRPr="00900F74">
        <w:t>Vibration Characterization</w:t>
      </w:r>
    </w:p>
    <w:p w:rsidR="00E10317" w:rsidRPr="00E10317" w:rsidRDefault="00363F1D" w:rsidP="00E10317">
      <w:pPr>
        <w:pStyle w:val="Firstparagraph"/>
      </w:pPr>
      <w:r>
        <w:t>The acceleration data was analyzed using Fourier transform meth</w:t>
      </w:r>
      <w:r>
        <w:t>ods to extract information about the acceleration at specific frequencies.</w:t>
      </w:r>
      <w:bookmarkStart w:id="0" w:name="_GoBack"/>
      <w:bookmarkEnd w:id="0"/>
    </w:p>
    <w:p w:rsidR="00E66B97" w:rsidRDefault="00363F1D">
      <w:pPr>
        <w:pStyle w:val="FigureWithCaption"/>
        <w:jc w:val="center"/>
      </w:pPr>
      <w:r>
        <w:rPr>
          <w:noProof/>
        </w:rPr>
        <w:drawing>
          <wp:inline distT="0" distB="0" distL="0" distR="0">
            <wp:extent cx="4160520" cy="2748960"/>
            <wp:effectExtent l="0" t="0" r="0" b="0"/>
            <wp:docPr id="12" name="img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160520" cy="2748960"/>
                    </a:xfrm>
                    <a:prstGeom prst="rect">
                      <a:avLst/>
                    </a:prstGeom>
                  </pic:spPr>
                </pic:pic>
              </a:graphicData>
            </a:graphic>
          </wp:inline>
        </w:drawing>
      </w:r>
    </w:p>
    <w:p w:rsidR="00E10317" w:rsidRDefault="00363F1D" w:rsidP="00E10317">
      <w:pPr>
        <w:pStyle w:val="FigureCaption"/>
        <w:jc w:val="center"/>
      </w:pPr>
      <w:r>
        <w:t>Cross Power Spectral Density of Superstructure DOFs</w:t>
      </w:r>
    </w:p>
    <w:p w:rsidR="00E10317" w:rsidRDefault="00363F1D">
      <w:pPr>
        <w:pStyle w:val="Textbody"/>
      </w:pPr>
      <w:r>
        <w:lastRenderedPageBreak/>
        <w:t>Several modes of vibration were found at frequencies below 5 Hz. The image above shows the power of each frequency. The peaks i</w:t>
      </w:r>
      <w:r>
        <w:t>n the plots are poles where a mode of vibration is occurring, and for this structure, a natural frequency. In some instances, poles are at very similar frequency and the separate peaks cannot be easily distinguished. This is due to the geometry of the stru</w:t>
      </w:r>
      <w:r>
        <w:t>cture (high degree of symmetry) and the fact that there are essentially two identical bridges adjacent to one another. The main modes identified by this effort consisted of bending and torsional modes. For these modes, the mid-span degrees of freedom are e</w:t>
      </w:r>
      <w:r>
        <w:t>xperiencing the greatest acceleration. The shape</w:t>
      </w:r>
      <w:r w:rsidR="00900F74">
        <w:t>s</w:t>
      </w:r>
      <w:r>
        <w:t xml:space="preserve"> of several of these modes are displayed below.</w:t>
      </w:r>
    </w:p>
    <w:p w:rsidR="00E10317" w:rsidRDefault="00E10317">
      <w:pPr>
        <w:pStyle w:val="Textbody"/>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120"/>
        <w:gridCol w:w="3120"/>
        <w:gridCol w:w="3120"/>
      </w:tblGrid>
      <w:tr w:rsidR="00E66B97" w:rsidTr="00E10317">
        <w:tblPrEx>
          <w:tblCellMar>
            <w:top w:w="0" w:type="dxa"/>
            <w:bottom w:w="0" w:type="dxa"/>
          </w:tblCellMar>
        </w:tblPrEx>
        <w:trPr>
          <w:cantSplit/>
          <w:tblHeader/>
        </w:trPr>
        <w:tc>
          <w:tcPr>
            <w:tcW w:w="3120" w:type="dxa"/>
            <w:tcMar>
              <w:top w:w="0" w:type="dxa"/>
              <w:left w:w="0" w:type="dxa"/>
              <w:bottom w:w="0" w:type="dxa"/>
              <w:right w:w="0" w:type="dxa"/>
            </w:tcMar>
          </w:tcPr>
          <w:p w:rsidR="00E66B97" w:rsidRDefault="00363F1D">
            <w:pPr>
              <w:pStyle w:val="TableHeading"/>
              <w:jc w:val="center"/>
              <w:rPr>
                <w:b w:val="0"/>
                <w:bCs w:val="0"/>
              </w:rPr>
            </w:pPr>
            <w:r>
              <w:rPr>
                <w:b w:val="0"/>
                <w:bCs w:val="0"/>
              </w:rPr>
              <w:t>Mode with One Side Active</w:t>
            </w:r>
          </w:p>
        </w:tc>
        <w:tc>
          <w:tcPr>
            <w:tcW w:w="3120" w:type="dxa"/>
            <w:tcMar>
              <w:top w:w="0" w:type="dxa"/>
              <w:left w:w="0" w:type="dxa"/>
              <w:bottom w:w="0" w:type="dxa"/>
              <w:right w:w="0" w:type="dxa"/>
            </w:tcMar>
          </w:tcPr>
          <w:p w:rsidR="00E66B97" w:rsidRDefault="00363F1D">
            <w:pPr>
              <w:pStyle w:val="TableHeading"/>
              <w:jc w:val="center"/>
              <w:rPr>
                <w:b w:val="0"/>
                <w:bCs w:val="0"/>
              </w:rPr>
            </w:pPr>
            <w:r>
              <w:rPr>
                <w:b w:val="0"/>
                <w:bCs w:val="0"/>
              </w:rPr>
              <w:t>Mode with Spans Out of Phase</w:t>
            </w:r>
          </w:p>
        </w:tc>
        <w:tc>
          <w:tcPr>
            <w:tcW w:w="3120" w:type="dxa"/>
            <w:tcMar>
              <w:top w:w="0" w:type="dxa"/>
              <w:left w:w="0" w:type="dxa"/>
              <w:bottom w:w="0" w:type="dxa"/>
              <w:right w:w="0" w:type="dxa"/>
            </w:tcMar>
          </w:tcPr>
          <w:p w:rsidR="00E66B97" w:rsidRDefault="00363F1D">
            <w:pPr>
              <w:pStyle w:val="TableHeading"/>
              <w:jc w:val="center"/>
              <w:rPr>
                <w:b w:val="0"/>
                <w:bCs w:val="0"/>
              </w:rPr>
            </w:pPr>
            <w:r>
              <w:rPr>
                <w:b w:val="0"/>
                <w:bCs w:val="0"/>
              </w:rPr>
              <w:t>Mode with Spans in Phase</w:t>
            </w:r>
          </w:p>
        </w:tc>
      </w:tr>
      <w:tr w:rsidR="00E66B97" w:rsidTr="00E10317">
        <w:tblPrEx>
          <w:tblCellMar>
            <w:top w:w="0" w:type="dxa"/>
            <w:bottom w:w="0" w:type="dxa"/>
          </w:tblCellMar>
        </w:tblPrEx>
        <w:trPr>
          <w:cantSplit/>
        </w:trPr>
        <w:tc>
          <w:tcPr>
            <w:tcW w:w="3120" w:type="dxa"/>
            <w:tcMar>
              <w:top w:w="0" w:type="dxa"/>
              <w:left w:w="0" w:type="dxa"/>
              <w:bottom w:w="0" w:type="dxa"/>
              <w:right w:w="0" w:type="dxa"/>
            </w:tcMar>
          </w:tcPr>
          <w:p w:rsidR="00E66B97" w:rsidRDefault="00363F1D">
            <w:pPr>
              <w:pStyle w:val="TableContents"/>
              <w:jc w:val="center"/>
            </w:pPr>
            <w:r>
              <w:rPr>
                <w:noProof/>
              </w:rPr>
              <w:drawing>
                <wp:inline distT="0" distB="0" distL="0" distR="0" wp14:anchorId="1C0A8744" wp14:editId="5AF3FF4A">
                  <wp:extent cx="1953707" cy="1262877"/>
                  <wp:effectExtent l="0" t="0" r="8443" b="0"/>
                  <wp:docPr id="13" name="img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953707" cy="1262877"/>
                          </a:xfrm>
                          <a:prstGeom prst="rect">
                            <a:avLst/>
                          </a:prstGeom>
                        </pic:spPr>
                      </pic:pic>
                    </a:graphicData>
                  </a:graphic>
                </wp:inline>
              </w:drawing>
            </w:r>
          </w:p>
        </w:tc>
        <w:tc>
          <w:tcPr>
            <w:tcW w:w="3120" w:type="dxa"/>
            <w:tcMar>
              <w:top w:w="0" w:type="dxa"/>
              <w:left w:w="0" w:type="dxa"/>
              <w:bottom w:w="0" w:type="dxa"/>
              <w:right w:w="0" w:type="dxa"/>
            </w:tcMar>
          </w:tcPr>
          <w:p w:rsidR="00E66B97" w:rsidRDefault="00363F1D">
            <w:pPr>
              <w:pStyle w:val="TableContents"/>
              <w:jc w:val="center"/>
            </w:pPr>
            <w:r>
              <w:rPr>
                <w:noProof/>
              </w:rPr>
              <w:drawing>
                <wp:inline distT="0" distB="0" distL="0" distR="0" wp14:anchorId="5D958D94" wp14:editId="4D653C7C">
                  <wp:extent cx="1953707" cy="1252819"/>
                  <wp:effectExtent l="0" t="0" r="8443" b="4481"/>
                  <wp:docPr id="14" name="img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953707" cy="1252819"/>
                          </a:xfrm>
                          <a:prstGeom prst="rect">
                            <a:avLst/>
                          </a:prstGeom>
                        </pic:spPr>
                      </pic:pic>
                    </a:graphicData>
                  </a:graphic>
                </wp:inline>
              </w:drawing>
            </w:r>
          </w:p>
        </w:tc>
        <w:tc>
          <w:tcPr>
            <w:tcW w:w="3120" w:type="dxa"/>
            <w:tcMar>
              <w:top w:w="0" w:type="dxa"/>
              <w:left w:w="0" w:type="dxa"/>
              <w:bottom w:w="0" w:type="dxa"/>
              <w:right w:w="0" w:type="dxa"/>
            </w:tcMar>
          </w:tcPr>
          <w:p w:rsidR="00E66B97" w:rsidRDefault="00363F1D">
            <w:pPr>
              <w:pStyle w:val="TableContents"/>
              <w:jc w:val="center"/>
            </w:pPr>
            <w:r>
              <w:rPr>
                <w:noProof/>
              </w:rPr>
              <w:drawing>
                <wp:inline distT="0" distB="0" distL="0" distR="0" wp14:anchorId="3FCE3318" wp14:editId="648AF596">
                  <wp:extent cx="1953707" cy="1319387"/>
                  <wp:effectExtent l="0" t="0" r="8443" b="0"/>
                  <wp:docPr id="15" name="img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953707" cy="1319387"/>
                          </a:xfrm>
                          <a:prstGeom prst="rect">
                            <a:avLst/>
                          </a:prstGeom>
                        </pic:spPr>
                      </pic:pic>
                    </a:graphicData>
                  </a:graphic>
                </wp:inline>
              </w:drawing>
            </w:r>
          </w:p>
        </w:tc>
      </w:tr>
    </w:tbl>
    <w:p w:rsidR="00E66B97" w:rsidRDefault="00363F1D">
      <w:pPr>
        <w:pStyle w:val="FigureCaption"/>
        <w:jc w:val="center"/>
      </w:pPr>
      <w:r>
        <w:t>Common Types of Vibration Shapes (Mode Shapes)</w:t>
      </w:r>
    </w:p>
    <w:p w:rsidR="00E66B97" w:rsidRDefault="00363F1D" w:rsidP="00900F74">
      <w:pPr>
        <w:pStyle w:val="Heading1"/>
      </w:pPr>
      <w:r w:rsidRPr="00900F74">
        <w:rPr>
          <w:b w:val="0"/>
          <w:sz w:val="32"/>
          <w:szCs w:val="32"/>
        </w:rPr>
        <w:t>Strain Results</w:t>
      </w:r>
    </w:p>
    <w:p w:rsidR="00E66B97" w:rsidRDefault="00363F1D" w:rsidP="00900F74">
      <w:pPr>
        <w:pStyle w:val="Heading2"/>
      </w:pPr>
      <w:r>
        <w:t>Operational Strain and Stress</w:t>
      </w:r>
    </w:p>
    <w:p w:rsidR="00E66B97" w:rsidRDefault="00363F1D">
      <w:pPr>
        <w:pStyle w:val="Firstparagraph"/>
      </w:pPr>
      <w:r>
        <w:t>A total of 12 strain gauges were installed and data recorded for more than 24 hours. Gauges were sampled at 50 Hz which allowed us to capture the dynamic behavior of the bridge.</w:t>
      </w:r>
    </w:p>
    <w:p w:rsidR="00E66B97" w:rsidRDefault="00363F1D">
      <w:pPr>
        <w:pStyle w:val="FigureWithCaption"/>
        <w:jc w:val="center"/>
      </w:pPr>
      <w:r>
        <w:rPr>
          <w:noProof/>
        </w:rPr>
        <w:drawing>
          <wp:inline distT="0" distB="0" distL="0" distR="0">
            <wp:extent cx="5052242" cy="2332451"/>
            <wp:effectExtent l="0" t="0" r="0" b="0"/>
            <wp:docPr id="16" name="img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052242" cy="2332451"/>
                    </a:xfrm>
                    <a:prstGeom prst="rect">
                      <a:avLst/>
                    </a:prstGeom>
                  </pic:spPr>
                </pic:pic>
              </a:graphicData>
            </a:graphic>
          </wp:inline>
        </w:drawing>
      </w:r>
    </w:p>
    <w:p w:rsidR="00E66B97" w:rsidRDefault="00363F1D">
      <w:pPr>
        <w:pStyle w:val="FigureCaption"/>
        <w:jc w:val="center"/>
      </w:pPr>
      <w:r>
        <w:t>Strain Response</w:t>
      </w:r>
    </w:p>
    <w:p w:rsidR="00E66B97" w:rsidRDefault="00363F1D">
      <w:pPr>
        <w:pStyle w:val="Textbody"/>
      </w:pPr>
      <w:r>
        <w:t>Strain levels in excess of 100</w:t>
      </w:r>
      <w:r>
        <w:t xml:space="preserve"> </w:t>
      </w:r>
      <w:proofErr w:type="spellStart"/>
      <w:proofErr w:type="gramStart"/>
      <w:r>
        <w:t>microstrain</w:t>
      </w:r>
      <w:proofErr w:type="spellEnd"/>
      <w:proofErr w:type="gramEnd"/>
      <w:r>
        <w:t xml:space="preserve"> (3 </w:t>
      </w:r>
      <w:proofErr w:type="spellStart"/>
      <w:r>
        <w:t>ksi</w:t>
      </w:r>
      <w:proofErr w:type="spellEnd"/>
      <w:r>
        <w:t xml:space="preserve">) were not uncommon, and occasional responses as high as 6 </w:t>
      </w:r>
      <w:proofErr w:type="spellStart"/>
      <w:r>
        <w:t>ksi</w:t>
      </w:r>
      <w:proofErr w:type="spellEnd"/>
      <w:r>
        <w:t xml:space="preserve"> were recorded in the bottom flange of longitudinal girders at mid-span. The interior girders (supported at the center of the box girder) experienced the highest responses. A </w:t>
      </w:r>
      <w:r>
        <w:t xml:space="preserve">low pass filter was applied to the data to remove the data associated with frequencies above 1.5 </w:t>
      </w:r>
      <w:r>
        <w:lastRenderedPageBreak/>
        <w:t>Hz, thus permitting the dynamic response of the bridge to be removed from the data and only the static response of the bridge to be plotted.</w:t>
      </w:r>
    </w:p>
    <w:p w:rsidR="00E66B97" w:rsidRDefault="00363F1D">
      <w:pPr>
        <w:pStyle w:val="FigureWithCaption"/>
        <w:jc w:val="center"/>
      </w:pPr>
      <w:r>
        <w:rPr>
          <w:noProof/>
        </w:rPr>
        <w:drawing>
          <wp:inline distT="0" distB="0" distL="0" distR="0">
            <wp:extent cx="3886200" cy="2907700"/>
            <wp:effectExtent l="0" t="0" r="0" b="6950"/>
            <wp:docPr id="17" name="img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886200" cy="2907700"/>
                    </a:xfrm>
                    <a:prstGeom prst="rect">
                      <a:avLst/>
                    </a:prstGeom>
                  </pic:spPr>
                </pic:pic>
              </a:graphicData>
            </a:graphic>
          </wp:inline>
        </w:drawing>
      </w:r>
    </w:p>
    <w:p w:rsidR="00E66B97" w:rsidRDefault="00363F1D">
      <w:pPr>
        <w:pStyle w:val="FigureCaption"/>
        <w:jc w:val="center"/>
      </w:pPr>
      <w:r>
        <w:t>Typical Static S</w:t>
      </w:r>
      <w:r>
        <w:t xml:space="preserve">train Response </w:t>
      </w:r>
      <w:proofErr w:type="gramStart"/>
      <w:r>
        <w:t>Under</w:t>
      </w:r>
      <w:proofErr w:type="gramEnd"/>
      <w:r>
        <w:t xml:space="preserve"> Operational Traffic Loading</w:t>
      </w:r>
    </w:p>
    <w:p w:rsidR="00E66B97" w:rsidRDefault="00363F1D" w:rsidP="00900F74">
      <w:pPr>
        <w:pStyle w:val="Heading2"/>
      </w:pPr>
      <w:r>
        <w:t>Dynamic Amplification</w:t>
      </w:r>
    </w:p>
    <w:p w:rsidR="00E66B97" w:rsidRDefault="00363F1D">
      <w:pPr>
        <w:pStyle w:val="Firstparagraph"/>
      </w:pPr>
      <w:r>
        <w:t>The strain data plotted above has been filtered to show only the static response. The additional strain due to the vibration of the bridge is neglected. However, the portion of strain d</w:t>
      </w:r>
      <w:r>
        <w:t xml:space="preserve">ue to the dynamic response (vibration) of this structure is significant. The plot below is during a large event. The static response accounts for over 100 </w:t>
      </w:r>
      <w:proofErr w:type="spellStart"/>
      <w:proofErr w:type="gramStart"/>
      <w:r>
        <w:t>microstrain</w:t>
      </w:r>
      <w:proofErr w:type="spellEnd"/>
      <w:proofErr w:type="gramEnd"/>
      <w:r>
        <w:t xml:space="preserve">, but the vibration of the structure causes the total response to exceed 200 </w:t>
      </w:r>
      <w:proofErr w:type="spellStart"/>
      <w:r>
        <w:t>microstrain</w:t>
      </w:r>
      <w:proofErr w:type="spellEnd"/>
      <w:r>
        <w:t xml:space="preserve">. </w:t>
      </w:r>
      <w:r>
        <w:t>For this event, an amplification of the static response by approximately 75% is observed. In comparison, the amplification applied for bridge design is only 33% or less.</w:t>
      </w:r>
    </w:p>
    <w:p w:rsidR="00E66B97" w:rsidRDefault="00363F1D">
      <w:pPr>
        <w:pStyle w:val="FigureWithCaption"/>
        <w:jc w:val="center"/>
      </w:pPr>
      <w:r>
        <w:rPr>
          <w:noProof/>
        </w:rPr>
        <w:lastRenderedPageBreak/>
        <w:drawing>
          <wp:inline distT="0" distB="0" distL="0" distR="0">
            <wp:extent cx="3886200" cy="2724820"/>
            <wp:effectExtent l="0" t="0" r="0" b="0"/>
            <wp:docPr id="18" name="img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886200" cy="2724820"/>
                    </a:xfrm>
                    <a:prstGeom prst="rect">
                      <a:avLst/>
                    </a:prstGeom>
                  </pic:spPr>
                </pic:pic>
              </a:graphicData>
            </a:graphic>
          </wp:inline>
        </w:drawing>
      </w:r>
    </w:p>
    <w:p w:rsidR="00E66B97" w:rsidRDefault="00363F1D">
      <w:pPr>
        <w:pStyle w:val="FigureCaption"/>
        <w:jc w:val="center"/>
      </w:pPr>
      <w:r>
        <w:t>Dynamic Amplification of Strain</w:t>
      </w:r>
    </w:p>
    <w:p w:rsidR="00E66B97" w:rsidRDefault="00363F1D">
      <w:pPr>
        <w:pStyle w:val="Textbody"/>
      </w:pPr>
      <w:r>
        <w:t>This level of amplification is on the upper end of w</w:t>
      </w:r>
      <w:r>
        <w:t xml:space="preserve">hat researchers and transportation organizations have measured. </w:t>
      </w:r>
      <w:proofErr w:type="gramStart"/>
      <w:r>
        <w:t>However, the fact that the high amplification occurs regularly and even with large events, makes the nature of this bridge's response quite novel.</w:t>
      </w:r>
      <w:proofErr w:type="gramEnd"/>
    </w:p>
    <w:p w:rsidR="00E66B97" w:rsidRDefault="00363F1D" w:rsidP="00900F74">
      <w:pPr>
        <w:pStyle w:val="Heading2"/>
      </w:pPr>
      <w:r>
        <w:t>Calculated Fatigue Life</w:t>
      </w:r>
    </w:p>
    <w:p w:rsidR="00E66B97" w:rsidRDefault="00363F1D">
      <w:pPr>
        <w:pStyle w:val="Firstparagraph"/>
      </w:pPr>
      <w:r>
        <w:t xml:space="preserve">As the magnitude and </w:t>
      </w:r>
      <w:r>
        <w:t>frequency of strain responses were quite high, a fatigue life analysis was performed to investigate whether the components at the sensor locations were in danger of fatigue failure. A Rain Flow analysis with subsequent application of Miner's Rule was perfo</w:t>
      </w:r>
      <w:r>
        <w:t>rmed on the strain data collected to obtain estimates of fatigue life based on the cycles of strain measured. These fatigue life estimates are not for the entire structure, but only for those components that were instrumented and at the location of the ins</w:t>
      </w:r>
      <w:r>
        <w:t>talled gauge. Furthermore, the fatigue lives were based on the operational response of the structure during the two days of testing. This level of response, while expected to be representative of the typical response, is not guaranteed to be constant throu</w:t>
      </w:r>
      <w:r>
        <w:t>ghout the life of the bridge. Therefore, the quantities presented below serve to demonstrate the level of the structure's resistance to fatigue. They do not predict the time until fatigue failure.</w:t>
      </w:r>
    </w:p>
    <w:p w:rsidR="00E66B97" w:rsidRDefault="00363F1D">
      <w:pPr>
        <w:pStyle w:val="Heading4"/>
        <w:jc w:val="center"/>
        <w:rPr>
          <w:rFonts w:ascii="Times New Roman" w:hAnsi="Times New Roman"/>
          <w:b w:val="0"/>
          <w:bCs w:val="0"/>
          <w:sz w:val="24"/>
          <w:szCs w:val="24"/>
        </w:rPr>
      </w:pPr>
      <w:r>
        <w:rPr>
          <w:rFonts w:ascii="Times New Roman" w:hAnsi="Times New Roman"/>
          <w:b w:val="0"/>
          <w:bCs w:val="0"/>
          <w:sz w:val="24"/>
          <w:szCs w:val="24"/>
        </w:rPr>
        <w:t>Fatigue Life (years)</w:t>
      </w:r>
    </w:p>
    <w:tbl>
      <w:tblPr>
        <w:tblW w:w="7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75"/>
        <w:gridCol w:w="1080"/>
        <w:gridCol w:w="990"/>
        <w:gridCol w:w="990"/>
        <w:gridCol w:w="810"/>
        <w:gridCol w:w="810"/>
        <w:gridCol w:w="810"/>
        <w:gridCol w:w="990"/>
      </w:tblGrid>
      <w:tr w:rsidR="00E66B97" w:rsidTr="00900F74">
        <w:tblPrEx>
          <w:tblCellMar>
            <w:top w:w="0" w:type="dxa"/>
            <w:bottom w:w="0" w:type="dxa"/>
          </w:tblCellMar>
        </w:tblPrEx>
        <w:trPr>
          <w:tblHeader/>
          <w:jc w:val="center"/>
        </w:trPr>
        <w:tc>
          <w:tcPr>
            <w:tcW w:w="1175" w:type="dxa"/>
            <w:tcMar>
              <w:top w:w="0" w:type="dxa"/>
              <w:left w:w="0" w:type="dxa"/>
              <w:bottom w:w="0" w:type="dxa"/>
              <w:right w:w="0" w:type="dxa"/>
            </w:tcMar>
          </w:tcPr>
          <w:p w:rsidR="00E66B97" w:rsidRDefault="00363F1D">
            <w:pPr>
              <w:pStyle w:val="TableHeading"/>
              <w:rPr>
                <w:b w:val="0"/>
                <w:bCs w:val="0"/>
              </w:rPr>
            </w:pPr>
            <w:r>
              <w:rPr>
                <w:b w:val="0"/>
                <w:bCs w:val="0"/>
              </w:rPr>
              <w:t>Fatigue Category</w:t>
            </w:r>
          </w:p>
        </w:tc>
        <w:tc>
          <w:tcPr>
            <w:tcW w:w="1080" w:type="dxa"/>
            <w:tcMar>
              <w:top w:w="0" w:type="dxa"/>
              <w:left w:w="0" w:type="dxa"/>
              <w:bottom w:w="0" w:type="dxa"/>
              <w:right w:w="0" w:type="dxa"/>
            </w:tcMar>
          </w:tcPr>
          <w:p w:rsidR="00E66B97" w:rsidRDefault="00363F1D">
            <w:pPr>
              <w:pStyle w:val="TableHeading"/>
              <w:rPr>
                <w:b w:val="0"/>
                <w:bCs w:val="0"/>
              </w:rPr>
            </w:pPr>
            <w:r>
              <w:rPr>
                <w:b w:val="0"/>
                <w:bCs w:val="0"/>
              </w:rPr>
              <w:t>BF MID G1</w:t>
            </w:r>
          </w:p>
        </w:tc>
        <w:tc>
          <w:tcPr>
            <w:tcW w:w="990" w:type="dxa"/>
            <w:tcMar>
              <w:top w:w="0" w:type="dxa"/>
              <w:left w:w="0" w:type="dxa"/>
              <w:bottom w:w="0" w:type="dxa"/>
              <w:right w:w="0" w:type="dxa"/>
            </w:tcMar>
          </w:tcPr>
          <w:p w:rsidR="00E66B97" w:rsidRDefault="00363F1D">
            <w:pPr>
              <w:pStyle w:val="TableHeading"/>
              <w:rPr>
                <w:b w:val="0"/>
                <w:bCs w:val="0"/>
              </w:rPr>
            </w:pPr>
            <w:r>
              <w:rPr>
                <w:b w:val="0"/>
                <w:bCs w:val="0"/>
              </w:rPr>
              <w:t>BF MID G4</w:t>
            </w:r>
          </w:p>
        </w:tc>
        <w:tc>
          <w:tcPr>
            <w:tcW w:w="990" w:type="dxa"/>
            <w:tcMar>
              <w:top w:w="0" w:type="dxa"/>
              <w:left w:w="0" w:type="dxa"/>
              <w:bottom w:w="0" w:type="dxa"/>
              <w:right w:w="0" w:type="dxa"/>
            </w:tcMar>
          </w:tcPr>
          <w:p w:rsidR="00E66B97" w:rsidRDefault="00363F1D">
            <w:pPr>
              <w:pStyle w:val="TableHeading"/>
              <w:rPr>
                <w:b w:val="0"/>
                <w:bCs w:val="0"/>
              </w:rPr>
            </w:pPr>
            <w:r>
              <w:rPr>
                <w:b w:val="0"/>
                <w:bCs w:val="0"/>
              </w:rPr>
              <w:t>BF MID G5</w:t>
            </w:r>
          </w:p>
        </w:tc>
        <w:tc>
          <w:tcPr>
            <w:tcW w:w="810" w:type="dxa"/>
            <w:tcMar>
              <w:top w:w="0" w:type="dxa"/>
              <w:left w:w="0" w:type="dxa"/>
              <w:bottom w:w="0" w:type="dxa"/>
              <w:right w:w="0" w:type="dxa"/>
            </w:tcMar>
          </w:tcPr>
          <w:p w:rsidR="00E66B97" w:rsidRDefault="00363F1D">
            <w:pPr>
              <w:pStyle w:val="TableHeading"/>
              <w:rPr>
                <w:b w:val="0"/>
                <w:bCs w:val="0"/>
              </w:rPr>
            </w:pPr>
            <w:r>
              <w:rPr>
                <w:b w:val="0"/>
                <w:bCs w:val="0"/>
              </w:rPr>
              <w:t>BF 3/4 G4</w:t>
            </w:r>
          </w:p>
        </w:tc>
        <w:tc>
          <w:tcPr>
            <w:tcW w:w="810" w:type="dxa"/>
            <w:tcMar>
              <w:top w:w="0" w:type="dxa"/>
              <w:left w:w="0" w:type="dxa"/>
              <w:bottom w:w="0" w:type="dxa"/>
              <w:right w:w="0" w:type="dxa"/>
            </w:tcMar>
          </w:tcPr>
          <w:p w:rsidR="00E66B97" w:rsidRDefault="00363F1D">
            <w:pPr>
              <w:pStyle w:val="TableHeading"/>
              <w:rPr>
                <w:b w:val="0"/>
                <w:bCs w:val="0"/>
              </w:rPr>
            </w:pPr>
            <w:r>
              <w:rPr>
                <w:b w:val="0"/>
                <w:bCs w:val="0"/>
              </w:rPr>
              <w:t>RIGHT BF</w:t>
            </w:r>
          </w:p>
        </w:tc>
        <w:tc>
          <w:tcPr>
            <w:tcW w:w="810" w:type="dxa"/>
            <w:tcMar>
              <w:top w:w="0" w:type="dxa"/>
              <w:left w:w="0" w:type="dxa"/>
              <w:bottom w:w="0" w:type="dxa"/>
              <w:right w:w="0" w:type="dxa"/>
            </w:tcMar>
          </w:tcPr>
          <w:p w:rsidR="00E66B97" w:rsidRDefault="00363F1D">
            <w:pPr>
              <w:pStyle w:val="TableHeading"/>
              <w:rPr>
                <w:b w:val="0"/>
                <w:bCs w:val="0"/>
              </w:rPr>
            </w:pPr>
            <w:r>
              <w:rPr>
                <w:b w:val="0"/>
                <w:bCs w:val="0"/>
              </w:rPr>
              <w:t>LEFT BF</w:t>
            </w:r>
          </w:p>
        </w:tc>
        <w:tc>
          <w:tcPr>
            <w:tcW w:w="990" w:type="dxa"/>
            <w:tcMar>
              <w:top w:w="0" w:type="dxa"/>
              <w:left w:w="0" w:type="dxa"/>
              <w:bottom w:w="0" w:type="dxa"/>
              <w:right w:w="0" w:type="dxa"/>
            </w:tcMar>
          </w:tcPr>
          <w:p w:rsidR="00E66B97" w:rsidRDefault="00363F1D">
            <w:pPr>
              <w:pStyle w:val="TableHeading"/>
              <w:rPr>
                <w:b w:val="0"/>
                <w:bCs w:val="0"/>
              </w:rPr>
            </w:pPr>
            <w:r>
              <w:rPr>
                <w:b w:val="0"/>
                <w:bCs w:val="0"/>
              </w:rPr>
              <w:t>XG MID BOT</w:t>
            </w:r>
          </w:p>
        </w:tc>
      </w:tr>
      <w:tr w:rsidR="00E66B97" w:rsidTr="00900F74">
        <w:tblPrEx>
          <w:tblCellMar>
            <w:top w:w="0" w:type="dxa"/>
            <w:bottom w:w="0" w:type="dxa"/>
          </w:tblCellMar>
        </w:tblPrEx>
        <w:trPr>
          <w:jc w:val="center"/>
        </w:trPr>
        <w:tc>
          <w:tcPr>
            <w:tcW w:w="1175" w:type="dxa"/>
            <w:tcMar>
              <w:top w:w="0" w:type="dxa"/>
              <w:left w:w="0" w:type="dxa"/>
              <w:bottom w:w="0" w:type="dxa"/>
              <w:right w:w="0" w:type="dxa"/>
            </w:tcMar>
          </w:tcPr>
          <w:p w:rsidR="00E66B97" w:rsidRDefault="00363F1D">
            <w:pPr>
              <w:pStyle w:val="TableContents"/>
            </w:pPr>
            <w:r>
              <w:t>A</w:t>
            </w:r>
          </w:p>
        </w:tc>
        <w:tc>
          <w:tcPr>
            <w:tcW w:w="1080" w:type="dxa"/>
            <w:tcMar>
              <w:top w:w="0" w:type="dxa"/>
              <w:left w:w="0" w:type="dxa"/>
              <w:bottom w:w="0" w:type="dxa"/>
              <w:right w:w="0" w:type="dxa"/>
            </w:tcMar>
          </w:tcPr>
          <w:p w:rsidR="00E66B97" w:rsidRDefault="00363F1D">
            <w:pPr>
              <w:pStyle w:val="TableContents"/>
            </w:pPr>
            <w:r>
              <w:t>25042</w:t>
            </w:r>
          </w:p>
        </w:tc>
        <w:tc>
          <w:tcPr>
            <w:tcW w:w="990" w:type="dxa"/>
            <w:tcMar>
              <w:top w:w="0" w:type="dxa"/>
              <w:left w:w="0" w:type="dxa"/>
              <w:bottom w:w="0" w:type="dxa"/>
              <w:right w:w="0" w:type="dxa"/>
            </w:tcMar>
          </w:tcPr>
          <w:p w:rsidR="00E66B97" w:rsidRDefault="00363F1D">
            <w:pPr>
              <w:pStyle w:val="TableContents"/>
            </w:pPr>
            <w:r>
              <w:t>9290.6</w:t>
            </w:r>
          </w:p>
        </w:tc>
        <w:tc>
          <w:tcPr>
            <w:tcW w:w="990" w:type="dxa"/>
            <w:tcMar>
              <w:top w:w="0" w:type="dxa"/>
              <w:left w:w="0" w:type="dxa"/>
              <w:bottom w:w="0" w:type="dxa"/>
              <w:right w:w="0" w:type="dxa"/>
            </w:tcMar>
          </w:tcPr>
          <w:p w:rsidR="00E66B97" w:rsidRDefault="00363F1D">
            <w:pPr>
              <w:pStyle w:val="TableContents"/>
            </w:pPr>
            <w:r>
              <w:t>6513.8</w:t>
            </w:r>
          </w:p>
        </w:tc>
        <w:tc>
          <w:tcPr>
            <w:tcW w:w="810" w:type="dxa"/>
            <w:tcMar>
              <w:top w:w="0" w:type="dxa"/>
              <w:left w:w="0" w:type="dxa"/>
              <w:bottom w:w="0" w:type="dxa"/>
              <w:right w:w="0" w:type="dxa"/>
            </w:tcMar>
          </w:tcPr>
          <w:p w:rsidR="00E66B97" w:rsidRDefault="00363F1D">
            <w:pPr>
              <w:pStyle w:val="TableContents"/>
            </w:pPr>
            <w:r>
              <w:t>49420</w:t>
            </w:r>
          </w:p>
        </w:tc>
        <w:tc>
          <w:tcPr>
            <w:tcW w:w="810" w:type="dxa"/>
            <w:tcMar>
              <w:top w:w="0" w:type="dxa"/>
              <w:left w:w="0" w:type="dxa"/>
              <w:bottom w:w="0" w:type="dxa"/>
              <w:right w:w="0" w:type="dxa"/>
            </w:tcMar>
          </w:tcPr>
          <w:p w:rsidR="00E66B97" w:rsidRDefault="00363F1D">
            <w:pPr>
              <w:pStyle w:val="TableContents"/>
            </w:pPr>
            <w:r>
              <w:t>34513</w:t>
            </w:r>
          </w:p>
        </w:tc>
        <w:tc>
          <w:tcPr>
            <w:tcW w:w="810" w:type="dxa"/>
            <w:tcMar>
              <w:top w:w="0" w:type="dxa"/>
              <w:left w:w="0" w:type="dxa"/>
              <w:bottom w:w="0" w:type="dxa"/>
              <w:right w:w="0" w:type="dxa"/>
            </w:tcMar>
          </w:tcPr>
          <w:p w:rsidR="00E66B97" w:rsidRDefault="00363F1D">
            <w:pPr>
              <w:pStyle w:val="TableContents"/>
            </w:pPr>
            <w:r>
              <w:t>32594</w:t>
            </w:r>
          </w:p>
        </w:tc>
        <w:tc>
          <w:tcPr>
            <w:tcW w:w="990" w:type="dxa"/>
            <w:tcMar>
              <w:top w:w="0" w:type="dxa"/>
              <w:left w:w="0" w:type="dxa"/>
              <w:bottom w:w="0" w:type="dxa"/>
              <w:right w:w="0" w:type="dxa"/>
            </w:tcMar>
          </w:tcPr>
          <w:p w:rsidR="00E66B97" w:rsidRDefault="00363F1D">
            <w:pPr>
              <w:pStyle w:val="TableContents"/>
            </w:pPr>
            <w:r>
              <w:t>115360</w:t>
            </w:r>
          </w:p>
        </w:tc>
      </w:tr>
      <w:tr w:rsidR="00E66B97" w:rsidTr="00900F74">
        <w:tblPrEx>
          <w:tblCellMar>
            <w:top w:w="0" w:type="dxa"/>
            <w:bottom w:w="0" w:type="dxa"/>
          </w:tblCellMar>
        </w:tblPrEx>
        <w:trPr>
          <w:jc w:val="center"/>
        </w:trPr>
        <w:tc>
          <w:tcPr>
            <w:tcW w:w="1175" w:type="dxa"/>
            <w:tcMar>
              <w:top w:w="0" w:type="dxa"/>
              <w:left w:w="0" w:type="dxa"/>
              <w:bottom w:w="0" w:type="dxa"/>
              <w:right w:w="0" w:type="dxa"/>
            </w:tcMar>
          </w:tcPr>
          <w:p w:rsidR="00E66B97" w:rsidRDefault="00363F1D">
            <w:pPr>
              <w:pStyle w:val="TableContents"/>
            </w:pPr>
            <w:r>
              <w:t>B</w:t>
            </w:r>
          </w:p>
        </w:tc>
        <w:tc>
          <w:tcPr>
            <w:tcW w:w="1080" w:type="dxa"/>
            <w:tcMar>
              <w:top w:w="0" w:type="dxa"/>
              <w:left w:w="0" w:type="dxa"/>
              <w:bottom w:w="0" w:type="dxa"/>
              <w:right w:w="0" w:type="dxa"/>
            </w:tcMar>
          </w:tcPr>
          <w:p w:rsidR="00E66B97" w:rsidRDefault="00363F1D">
            <w:pPr>
              <w:pStyle w:val="TableContents"/>
            </w:pPr>
            <w:r>
              <w:t>12020</w:t>
            </w:r>
          </w:p>
        </w:tc>
        <w:tc>
          <w:tcPr>
            <w:tcW w:w="990" w:type="dxa"/>
            <w:tcMar>
              <w:top w:w="0" w:type="dxa"/>
              <w:left w:w="0" w:type="dxa"/>
              <w:bottom w:w="0" w:type="dxa"/>
              <w:right w:w="0" w:type="dxa"/>
            </w:tcMar>
          </w:tcPr>
          <w:p w:rsidR="00E66B97" w:rsidRDefault="00363F1D">
            <w:pPr>
              <w:pStyle w:val="TableContents"/>
            </w:pPr>
            <w:r>
              <w:t>4459.5</w:t>
            </w:r>
          </w:p>
        </w:tc>
        <w:tc>
          <w:tcPr>
            <w:tcW w:w="990" w:type="dxa"/>
            <w:tcMar>
              <w:top w:w="0" w:type="dxa"/>
              <w:left w:w="0" w:type="dxa"/>
              <w:bottom w:w="0" w:type="dxa"/>
              <w:right w:w="0" w:type="dxa"/>
            </w:tcMar>
          </w:tcPr>
          <w:p w:rsidR="00E66B97" w:rsidRDefault="00363F1D">
            <w:pPr>
              <w:pStyle w:val="TableContents"/>
            </w:pPr>
            <w:r>
              <w:t>3126.6</w:t>
            </w:r>
          </w:p>
        </w:tc>
        <w:tc>
          <w:tcPr>
            <w:tcW w:w="810" w:type="dxa"/>
            <w:tcMar>
              <w:top w:w="0" w:type="dxa"/>
              <w:left w:w="0" w:type="dxa"/>
              <w:bottom w:w="0" w:type="dxa"/>
              <w:right w:w="0" w:type="dxa"/>
            </w:tcMar>
          </w:tcPr>
          <w:p w:rsidR="00E66B97" w:rsidRDefault="00363F1D">
            <w:pPr>
              <w:pStyle w:val="TableContents"/>
            </w:pPr>
            <w:r>
              <w:t>23722</w:t>
            </w:r>
          </w:p>
        </w:tc>
        <w:tc>
          <w:tcPr>
            <w:tcW w:w="810" w:type="dxa"/>
            <w:tcMar>
              <w:top w:w="0" w:type="dxa"/>
              <w:left w:w="0" w:type="dxa"/>
              <w:bottom w:w="0" w:type="dxa"/>
              <w:right w:w="0" w:type="dxa"/>
            </w:tcMar>
          </w:tcPr>
          <w:p w:rsidR="00E66B97" w:rsidRDefault="00363F1D">
            <w:pPr>
              <w:pStyle w:val="TableContents"/>
            </w:pPr>
            <w:r>
              <w:t>16566</w:t>
            </w:r>
          </w:p>
        </w:tc>
        <w:tc>
          <w:tcPr>
            <w:tcW w:w="810" w:type="dxa"/>
            <w:tcMar>
              <w:top w:w="0" w:type="dxa"/>
              <w:left w:w="0" w:type="dxa"/>
              <w:bottom w:w="0" w:type="dxa"/>
              <w:right w:w="0" w:type="dxa"/>
            </w:tcMar>
          </w:tcPr>
          <w:p w:rsidR="00E66B97" w:rsidRDefault="00363F1D">
            <w:pPr>
              <w:pStyle w:val="TableContents"/>
            </w:pPr>
            <w:r>
              <w:t>15645</w:t>
            </w:r>
          </w:p>
        </w:tc>
        <w:tc>
          <w:tcPr>
            <w:tcW w:w="990" w:type="dxa"/>
            <w:tcMar>
              <w:top w:w="0" w:type="dxa"/>
              <w:left w:w="0" w:type="dxa"/>
              <w:bottom w:w="0" w:type="dxa"/>
              <w:right w:w="0" w:type="dxa"/>
            </w:tcMar>
          </w:tcPr>
          <w:p w:rsidR="00E66B97" w:rsidRDefault="00363F1D">
            <w:pPr>
              <w:pStyle w:val="TableContents"/>
            </w:pPr>
            <w:r>
              <w:t>55372</w:t>
            </w:r>
          </w:p>
        </w:tc>
      </w:tr>
      <w:tr w:rsidR="00E66B97" w:rsidTr="00900F74">
        <w:tblPrEx>
          <w:tblCellMar>
            <w:top w:w="0" w:type="dxa"/>
            <w:bottom w:w="0" w:type="dxa"/>
          </w:tblCellMar>
        </w:tblPrEx>
        <w:trPr>
          <w:jc w:val="center"/>
        </w:trPr>
        <w:tc>
          <w:tcPr>
            <w:tcW w:w="1175" w:type="dxa"/>
            <w:tcMar>
              <w:top w:w="0" w:type="dxa"/>
              <w:left w:w="0" w:type="dxa"/>
              <w:bottom w:w="0" w:type="dxa"/>
              <w:right w:w="0" w:type="dxa"/>
            </w:tcMar>
          </w:tcPr>
          <w:p w:rsidR="00E66B97" w:rsidRDefault="00363F1D">
            <w:pPr>
              <w:pStyle w:val="TableContents"/>
            </w:pPr>
            <w:r>
              <w:t>C</w:t>
            </w:r>
          </w:p>
        </w:tc>
        <w:tc>
          <w:tcPr>
            <w:tcW w:w="1080" w:type="dxa"/>
            <w:tcMar>
              <w:top w:w="0" w:type="dxa"/>
              <w:left w:w="0" w:type="dxa"/>
              <w:bottom w:w="0" w:type="dxa"/>
              <w:right w:w="0" w:type="dxa"/>
            </w:tcMar>
          </w:tcPr>
          <w:p w:rsidR="00E66B97" w:rsidRDefault="00363F1D">
            <w:pPr>
              <w:pStyle w:val="TableContents"/>
            </w:pPr>
            <w:r>
              <w:t>4407.4</w:t>
            </w:r>
          </w:p>
        </w:tc>
        <w:tc>
          <w:tcPr>
            <w:tcW w:w="990" w:type="dxa"/>
            <w:tcMar>
              <w:top w:w="0" w:type="dxa"/>
              <w:left w:w="0" w:type="dxa"/>
              <w:bottom w:w="0" w:type="dxa"/>
              <w:right w:w="0" w:type="dxa"/>
            </w:tcMar>
          </w:tcPr>
          <w:p w:rsidR="00E66B97" w:rsidRDefault="00363F1D">
            <w:pPr>
              <w:pStyle w:val="TableContents"/>
            </w:pPr>
            <w:r>
              <w:t>1635.1</w:t>
            </w:r>
          </w:p>
        </w:tc>
        <w:tc>
          <w:tcPr>
            <w:tcW w:w="990" w:type="dxa"/>
            <w:tcMar>
              <w:top w:w="0" w:type="dxa"/>
              <w:left w:w="0" w:type="dxa"/>
              <w:bottom w:w="0" w:type="dxa"/>
              <w:right w:w="0" w:type="dxa"/>
            </w:tcMar>
          </w:tcPr>
          <w:p w:rsidR="00E66B97" w:rsidRDefault="00363F1D">
            <w:pPr>
              <w:pStyle w:val="TableContents"/>
            </w:pPr>
            <w:r>
              <w:t>1146.4</w:t>
            </w:r>
          </w:p>
        </w:tc>
        <w:tc>
          <w:tcPr>
            <w:tcW w:w="810" w:type="dxa"/>
            <w:tcMar>
              <w:top w:w="0" w:type="dxa"/>
              <w:left w:w="0" w:type="dxa"/>
              <w:bottom w:w="0" w:type="dxa"/>
              <w:right w:w="0" w:type="dxa"/>
            </w:tcMar>
          </w:tcPr>
          <w:p w:rsidR="00E66B97" w:rsidRDefault="00363F1D">
            <w:pPr>
              <w:pStyle w:val="TableContents"/>
            </w:pPr>
            <w:r>
              <w:t>8697.9</w:t>
            </w:r>
          </w:p>
        </w:tc>
        <w:tc>
          <w:tcPr>
            <w:tcW w:w="810" w:type="dxa"/>
            <w:tcMar>
              <w:top w:w="0" w:type="dxa"/>
              <w:left w:w="0" w:type="dxa"/>
              <w:bottom w:w="0" w:type="dxa"/>
              <w:right w:w="0" w:type="dxa"/>
            </w:tcMar>
          </w:tcPr>
          <w:p w:rsidR="00E66B97" w:rsidRDefault="00363F1D">
            <w:pPr>
              <w:pStyle w:val="TableContents"/>
            </w:pPr>
            <w:r>
              <w:t>6074.2</w:t>
            </w:r>
          </w:p>
        </w:tc>
        <w:tc>
          <w:tcPr>
            <w:tcW w:w="810" w:type="dxa"/>
            <w:tcMar>
              <w:top w:w="0" w:type="dxa"/>
              <w:left w:w="0" w:type="dxa"/>
              <w:bottom w:w="0" w:type="dxa"/>
              <w:right w:w="0" w:type="dxa"/>
            </w:tcMar>
          </w:tcPr>
          <w:p w:rsidR="00E66B97" w:rsidRDefault="00363F1D">
            <w:pPr>
              <w:pStyle w:val="TableContents"/>
            </w:pPr>
            <w:r>
              <w:t>5736.6</w:t>
            </w:r>
          </w:p>
        </w:tc>
        <w:tc>
          <w:tcPr>
            <w:tcW w:w="990" w:type="dxa"/>
            <w:tcMar>
              <w:top w:w="0" w:type="dxa"/>
              <w:left w:w="0" w:type="dxa"/>
              <w:bottom w:w="0" w:type="dxa"/>
              <w:right w:w="0" w:type="dxa"/>
            </w:tcMar>
          </w:tcPr>
          <w:p w:rsidR="00E66B97" w:rsidRDefault="00363F1D">
            <w:pPr>
              <w:pStyle w:val="TableContents"/>
            </w:pPr>
            <w:r>
              <w:t>20303</w:t>
            </w:r>
          </w:p>
        </w:tc>
      </w:tr>
    </w:tbl>
    <w:p w:rsidR="00E66B97" w:rsidRDefault="00E66B97">
      <w:pPr>
        <w:pStyle w:val="Firstparagraph"/>
      </w:pPr>
    </w:p>
    <w:p w:rsidR="00E66B97" w:rsidRDefault="00363F1D">
      <w:pPr>
        <w:pStyle w:val="Firstparagraph"/>
      </w:pPr>
      <w:r>
        <w:t xml:space="preserve">These results suggest that in spite of high operational </w:t>
      </w:r>
      <w:r>
        <w:t>stress, these components are not vulnerable to fatigue.</w:t>
      </w:r>
    </w:p>
    <w:p w:rsidR="00E66B97" w:rsidRPr="00900F74" w:rsidRDefault="00363F1D">
      <w:pPr>
        <w:pStyle w:val="Heading1"/>
        <w:rPr>
          <w:b w:val="0"/>
          <w:sz w:val="32"/>
          <w:szCs w:val="32"/>
        </w:rPr>
      </w:pPr>
      <w:r w:rsidRPr="00900F74">
        <w:rPr>
          <w:b w:val="0"/>
          <w:sz w:val="32"/>
          <w:szCs w:val="32"/>
        </w:rPr>
        <w:lastRenderedPageBreak/>
        <w:t>Conclusions and Future Work</w:t>
      </w:r>
    </w:p>
    <w:p w:rsidR="00E66B97" w:rsidRDefault="00363F1D">
      <w:pPr>
        <w:pStyle w:val="Firstparagraph"/>
      </w:pPr>
      <w:r>
        <w:t xml:space="preserve">Preliminary analysis of acceleration and strain data </w:t>
      </w:r>
      <w:r w:rsidR="00900F74">
        <w:t>has</w:t>
      </w:r>
      <w:r>
        <w:t xml:space="preserve"> provided the magnitude and nature of vibration being experienced by the structure. The magnitudes measured are sig</w:t>
      </w:r>
      <w:r>
        <w:t>nificantly larger than what is usually measured under operational loading.</w:t>
      </w:r>
    </w:p>
    <w:p w:rsidR="00E66B97" w:rsidRDefault="00363F1D">
      <w:pPr>
        <w:pStyle w:val="Textbody"/>
      </w:pPr>
      <w:r>
        <w:t>The cause for this elevated response has not yet been determined. There are many mechanisms that may be responsible for or contribute to the phenomenon, including unique bridge geom</w:t>
      </w:r>
      <w:r>
        <w:t>etry, specific traffic patterns, or dynamic amplification with unusual vehicle/bridge interaction.</w:t>
      </w:r>
    </w:p>
    <w:p w:rsidR="00E66B97" w:rsidRDefault="00363F1D">
      <w:pPr>
        <w:pStyle w:val="Textbody"/>
      </w:pPr>
      <w:r>
        <w:t>Investigation to identify and understand the mechanism or mechanisms at play will continue over the coming months. If action is deemed advisable, recommendat</w:t>
      </w:r>
      <w:r>
        <w:t>ion will be delivered.</w:t>
      </w:r>
    </w:p>
    <w:p w:rsidR="00E66B97" w:rsidRDefault="00E66B97">
      <w:pPr>
        <w:pStyle w:val="Heading1"/>
      </w:pPr>
    </w:p>
    <w:sectPr w:rsidR="00E66B97" w:rsidSect="00900F74">
      <w:footerReference w:type="default" r:id="rId26"/>
      <w:footerReference w:type="first" r:id="rId27"/>
      <w:pgSz w:w="12240" w:h="15840"/>
      <w:pgMar w:top="1440" w:right="1440" w:bottom="1440" w:left="1440" w:header="720" w:footer="144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F1D" w:rsidRDefault="00363F1D">
      <w:r>
        <w:separator/>
      </w:r>
    </w:p>
  </w:endnote>
  <w:endnote w:type="continuationSeparator" w:id="0">
    <w:p w:rsidR="00363F1D" w:rsidRDefault="0036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tarSymbol">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316219"/>
      <w:docPartObj>
        <w:docPartGallery w:val="Page Numbers (Bottom of Page)"/>
        <w:docPartUnique/>
      </w:docPartObj>
    </w:sdtPr>
    <w:sdtEndPr>
      <w:rPr>
        <w:noProof/>
      </w:rPr>
    </w:sdtEndPr>
    <w:sdtContent>
      <w:p w:rsidR="00900F74" w:rsidRDefault="00900F74">
        <w:pPr>
          <w:pStyle w:val="Footer"/>
          <w:jc w:val="center"/>
        </w:pPr>
        <w:r>
          <w:fldChar w:fldCharType="begin"/>
        </w:r>
        <w:r>
          <w:instrText xml:space="preserve"> PAGE   \* MERGEFORMAT </w:instrText>
        </w:r>
        <w:r>
          <w:fldChar w:fldCharType="separate"/>
        </w:r>
        <w:r w:rsidR="00E10317">
          <w:rPr>
            <w:noProof/>
          </w:rPr>
          <w:t>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F74" w:rsidRDefault="00900F74" w:rsidP="00900F74">
    <w:pPr>
      <w:pStyle w:val="Footer"/>
      <w:jc w:val="right"/>
    </w:pPr>
    <w:r>
      <w:t>August 2016</w:t>
    </w:r>
  </w:p>
  <w:p w:rsidR="00900F74" w:rsidRDefault="00900F74" w:rsidP="00900F7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F1D" w:rsidRDefault="00363F1D">
      <w:r>
        <w:rPr>
          <w:color w:val="000000"/>
        </w:rPr>
        <w:ptab w:relativeTo="margin" w:alignment="center" w:leader="none"/>
      </w:r>
    </w:p>
  </w:footnote>
  <w:footnote w:type="continuationSeparator" w:id="0">
    <w:p w:rsidR="00363F1D" w:rsidRDefault="00363F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A09B9"/>
    <w:multiLevelType w:val="multilevel"/>
    <w:tmpl w:val="7CDC6B88"/>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1">
    <w:nsid w:val="13F1448C"/>
    <w:multiLevelType w:val="multilevel"/>
    <w:tmpl w:val="CD222FC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1DD9405F"/>
    <w:multiLevelType w:val="multilevel"/>
    <w:tmpl w:val="6F7A01C8"/>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StarSymbol" w:hAnsi="StarSymbol"/>
      </w:rPr>
    </w:lvl>
    <w:lvl w:ilvl="4">
      <w:numFmt w:val="bullet"/>
      <w:lvlText w:val="•"/>
      <w:lvlJc w:val="left"/>
      <w:pPr>
        <w:ind w:left="1358" w:hanging="224"/>
      </w:pPr>
      <w:rPr>
        <w:rFonts w:ascii="StarSymbol" w:hAnsi="StarSymbol"/>
      </w:rPr>
    </w:lvl>
    <w:lvl w:ilvl="5">
      <w:numFmt w:val="bullet"/>
      <w:lvlText w:val="•"/>
      <w:lvlJc w:val="left"/>
      <w:pPr>
        <w:ind w:left="1582" w:hanging="224"/>
      </w:pPr>
      <w:rPr>
        <w:rFonts w:ascii="StarSymbol" w:hAnsi="StarSymbol"/>
      </w:rPr>
    </w:lvl>
    <w:lvl w:ilvl="6">
      <w:numFmt w:val="bullet"/>
      <w:lvlText w:val="•"/>
      <w:lvlJc w:val="left"/>
      <w:pPr>
        <w:ind w:left="1806" w:hanging="224"/>
      </w:pPr>
      <w:rPr>
        <w:rFonts w:ascii="StarSymbol" w:hAnsi="StarSymbol"/>
      </w:rPr>
    </w:lvl>
    <w:lvl w:ilvl="7">
      <w:numFmt w:val="bullet"/>
      <w:lvlText w:val="•"/>
      <w:lvlJc w:val="left"/>
      <w:pPr>
        <w:ind w:left="2030" w:hanging="224"/>
      </w:pPr>
      <w:rPr>
        <w:rFonts w:ascii="StarSymbol" w:hAnsi="StarSymbol"/>
      </w:rPr>
    </w:lvl>
    <w:lvl w:ilvl="8">
      <w:numFmt w:val="bullet"/>
      <w:lvlText w:val="•"/>
      <w:lvlJc w:val="left"/>
      <w:pPr>
        <w:ind w:left="2254" w:hanging="224"/>
      </w:pPr>
      <w:rPr>
        <w:rFonts w:ascii="StarSymbol" w:hAnsi="StarSymbol"/>
      </w:rPr>
    </w:lvl>
  </w:abstractNum>
  <w:abstractNum w:abstractNumId="3">
    <w:nsid w:val="267810E9"/>
    <w:multiLevelType w:val="multilevel"/>
    <w:tmpl w:val="FA0EB034"/>
    <w:styleLink w:val="Numbering4"/>
    <w:lvl w:ilvl="0">
      <w:start w:val="1"/>
      <w:numFmt w:val="upperRoman"/>
      <w:lvlText w:val="%1."/>
      <w:lvlJc w:val="left"/>
      <w:pPr>
        <w:ind w:left="283" w:hanging="283"/>
      </w:pPr>
    </w:lvl>
    <w:lvl w:ilvl="1">
      <w:start w:val="2"/>
      <w:numFmt w:val="upperRoman"/>
      <w:lvlText w:val="%2."/>
      <w:lvlJc w:val="left"/>
      <w:pPr>
        <w:ind w:left="567" w:hanging="283"/>
      </w:pPr>
    </w:lvl>
    <w:lvl w:ilvl="2">
      <w:start w:val="3"/>
      <w:numFmt w:val="upperRoman"/>
      <w:lvlText w:val="%3."/>
      <w:lvlJc w:val="left"/>
      <w:pPr>
        <w:ind w:left="850" w:hanging="283"/>
      </w:pPr>
    </w:lvl>
    <w:lvl w:ilvl="3">
      <w:start w:val="4"/>
      <w:numFmt w:val="upperRoman"/>
      <w:lvlText w:val="%4."/>
      <w:lvlJc w:val="left"/>
      <w:pPr>
        <w:ind w:left="1134" w:hanging="283"/>
      </w:pPr>
    </w:lvl>
    <w:lvl w:ilvl="4">
      <w:start w:val="5"/>
      <w:numFmt w:val="upperRoman"/>
      <w:lvlText w:val="%5."/>
      <w:lvlJc w:val="left"/>
      <w:pPr>
        <w:ind w:left="1417" w:hanging="283"/>
      </w:pPr>
    </w:lvl>
    <w:lvl w:ilvl="5">
      <w:start w:val="6"/>
      <w:numFmt w:val="upperRoman"/>
      <w:lvlText w:val="%6."/>
      <w:lvlJc w:val="left"/>
      <w:pPr>
        <w:ind w:left="1701" w:hanging="283"/>
      </w:pPr>
    </w:lvl>
    <w:lvl w:ilvl="6">
      <w:start w:val="7"/>
      <w:numFmt w:val="upperRoman"/>
      <w:lvlText w:val="%7."/>
      <w:lvlJc w:val="left"/>
      <w:pPr>
        <w:ind w:left="1984" w:hanging="283"/>
      </w:pPr>
    </w:lvl>
    <w:lvl w:ilvl="7">
      <w:start w:val="8"/>
      <w:numFmt w:val="upperRoman"/>
      <w:lvlText w:val="%8."/>
      <w:lvlJc w:val="left"/>
      <w:pPr>
        <w:ind w:left="2268" w:hanging="283"/>
      </w:pPr>
    </w:lvl>
    <w:lvl w:ilvl="8">
      <w:start w:val="9"/>
      <w:numFmt w:val="upperRoman"/>
      <w:lvlText w:val="%9."/>
      <w:lvlJc w:val="left"/>
      <w:pPr>
        <w:ind w:left="2551" w:hanging="283"/>
      </w:pPr>
    </w:lvl>
  </w:abstractNum>
  <w:abstractNum w:abstractNumId="4">
    <w:nsid w:val="2FD1228B"/>
    <w:multiLevelType w:val="multilevel"/>
    <w:tmpl w:val="CC9ABB52"/>
    <w:styleLink w:val="List5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5">
    <w:nsid w:val="4CE3696E"/>
    <w:multiLevelType w:val="multilevel"/>
    <w:tmpl w:val="ED883668"/>
    <w:styleLink w:val="List3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224" w:hanging="224"/>
      </w:pPr>
      <w:rPr>
        <w:rFonts w:ascii="StarSymbol" w:hAnsi="StarSymbol"/>
      </w:rPr>
    </w:lvl>
    <w:lvl w:ilvl="3">
      <w:numFmt w:val="bullet"/>
      <w:lvlText w:val="□"/>
      <w:lvlJc w:val="left"/>
      <w:pPr>
        <w:ind w:left="448" w:hanging="224"/>
      </w:pPr>
      <w:rPr>
        <w:rFonts w:ascii="StarSymbol" w:hAnsi="StarSymbol"/>
      </w:rPr>
    </w:lvl>
    <w:lvl w:ilvl="4">
      <w:numFmt w:val="bullet"/>
      <w:lvlText w:val="☑"/>
      <w:lvlJc w:val="left"/>
      <w:pPr>
        <w:ind w:left="224" w:hanging="224"/>
      </w:pPr>
      <w:rPr>
        <w:rFonts w:ascii="StarSymbol" w:hAnsi="StarSymbol"/>
      </w:rPr>
    </w:lvl>
    <w:lvl w:ilvl="5">
      <w:numFmt w:val="bullet"/>
      <w:lvlText w:val="□"/>
      <w:lvlJc w:val="left"/>
      <w:pPr>
        <w:ind w:left="448" w:hanging="224"/>
      </w:pPr>
      <w:rPr>
        <w:rFonts w:ascii="StarSymbol" w:hAnsi="StarSymbol"/>
      </w:rPr>
    </w:lvl>
    <w:lvl w:ilvl="6">
      <w:numFmt w:val="bullet"/>
      <w:lvlText w:val="☑"/>
      <w:lvlJc w:val="left"/>
      <w:pPr>
        <w:ind w:left="224" w:hanging="224"/>
      </w:pPr>
      <w:rPr>
        <w:rFonts w:ascii="StarSymbol" w:hAnsi="StarSymbol"/>
      </w:rPr>
    </w:lvl>
    <w:lvl w:ilvl="7">
      <w:numFmt w:val="bullet"/>
      <w:lvlText w:val="□"/>
      <w:lvlJc w:val="left"/>
      <w:pPr>
        <w:ind w:left="448" w:hanging="224"/>
      </w:pPr>
      <w:rPr>
        <w:rFonts w:ascii="StarSymbol" w:hAnsi="StarSymbol"/>
      </w:rPr>
    </w:lvl>
    <w:lvl w:ilvl="8">
      <w:numFmt w:val="bullet"/>
      <w:lvlText w:val="☑"/>
      <w:lvlJc w:val="left"/>
      <w:pPr>
        <w:ind w:left="224" w:hanging="224"/>
      </w:pPr>
      <w:rPr>
        <w:rFonts w:ascii="StarSymbol" w:hAnsi="StarSymbol"/>
      </w:rPr>
    </w:lvl>
  </w:abstractNum>
  <w:abstractNum w:abstractNumId="6">
    <w:nsid w:val="50742AFC"/>
    <w:multiLevelType w:val="multilevel"/>
    <w:tmpl w:val="74A8C3A6"/>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5"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7">
    <w:nsid w:val="591D00A5"/>
    <w:multiLevelType w:val="multilevel"/>
    <w:tmpl w:val="AD089E78"/>
    <w:styleLink w:val="List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8">
    <w:nsid w:val="613F08A4"/>
    <w:multiLevelType w:val="multilevel"/>
    <w:tmpl w:val="54385E1A"/>
    <w:styleLink w:val="List4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9">
    <w:nsid w:val="695E1672"/>
    <w:multiLevelType w:val="multilevel"/>
    <w:tmpl w:val="79C048A6"/>
    <w:styleLink w:val="List21"/>
    <w:lvl w:ilvl="0">
      <w:numFmt w:val="bullet"/>
      <w:lvlText w:val="–"/>
      <w:lvlJc w:val="left"/>
      <w:pPr>
        <w:ind w:left="170" w:hanging="170"/>
      </w:pPr>
      <w:rPr>
        <w:rFonts w:ascii="StarSymbol" w:hAnsi="StarSymbol"/>
      </w:rPr>
    </w:lvl>
    <w:lvl w:ilvl="1">
      <w:numFmt w:val="bullet"/>
      <w:lvlText w:val="–"/>
      <w:lvlJc w:val="left"/>
      <w:pPr>
        <w:ind w:left="340" w:hanging="170"/>
      </w:pPr>
      <w:rPr>
        <w:rFonts w:ascii="StarSymbol" w:hAnsi="StarSymbol"/>
      </w:rPr>
    </w:lvl>
    <w:lvl w:ilvl="2">
      <w:numFmt w:val="bullet"/>
      <w:lvlText w:val="–"/>
      <w:lvlJc w:val="left"/>
      <w:pPr>
        <w:ind w:left="510" w:hanging="170"/>
      </w:pPr>
      <w:rPr>
        <w:rFonts w:ascii="StarSymbol" w:hAnsi="StarSymbol"/>
      </w:rPr>
    </w:lvl>
    <w:lvl w:ilvl="3">
      <w:numFmt w:val="bullet"/>
      <w:lvlText w:val="–"/>
      <w:lvlJc w:val="left"/>
      <w:pPr>
        <w:ind w:left="680" w:hanging="170"/>
      </w:pPr>
      <w:rPr>
        <w:rFonts w:ascii="StarSymbol" w:hAnsi="StarSymbol"/>
      </w:rPr>
    </w:lvl>
    <w:lvl w:ilvl="4">
      <w:numFmt w:val="bullet"/>
      <w:lvlText w:val="–"/>
      <w:lvlJc w:val="left"/>
      <w:pPr>
        <w:ind w:left="850" w:hanging="170"/>
      </w:pPr>
      <w:rPr>
        <w:rFonts w:ascii="StarSymbol" w:hAnsi="StarSymbol"/>
      </w:rPr>
    </w:lvl>
    <w:lvl w:ilvl="5">
      <w:numFmt w:val="bullet"/>
      <w:lvlText w:val="–"/>
      <w:lvlJc w:val="left"/>
      <w:pPr>
        <w:ind w:left="1020" w:hanging="170"/>
      </w:pPr>
      <w:rPr>
        <w:rFonts w:ascii="StarSymbol" w:hAnsi="StarSymbol"/>
      </w:rPr>
    </w:lvl>
    <w:lvl w:ilvl="6">
      <w:numFmt w:val="bullet"/>
      <w:lvlText w:val="–"/>
      <w:lvlJc w:val="left"/>
      <w:pPr>
        <w:ind w:left="1191" w:hanging="170"/>
      </w:pPr>
      <w:rPr>
        <w:rFonts w:ascii="StarSymbol" w:hAnsi="StarSymbol"/>
      </w:rPr>
    </w:lvl>
    <w:lvl w:ilvl="7">
      <w:numFmt w:val="bullet"/>
      <w:lvlText w:val="–"/>
      <w:lvlJc w:val="left"/>
      <w:pPr>
        <w:ind w:left="1361" w:hanging="170"/>
      </w:pPr>
      <w:rPr>
        <w:rFonts w:ascii="StarSymbol" w:hAnsi="StarSymbol"/>
      </w:rPr>
    </w:lvl>
    <w:lvl w:ilvl="8">
      <w:numFmt w:val="bullet"/>
      <w:lvlText w:val="–"/>
      <w:lvlJc w:val="left"/>
      <w:pPr>
        <w:ind w:left="1531" w:hanging="170"/>
      </w:pPr>
      <w:rPr>
        <w:rFonts w:ascii="StarSymbol" w:hAnsi="StarSymbol"/>
      </w:rPr>
    </w:lvl>
  </w:abstractNum>
  <w:num w:numId="1">
    <w:abstractNumId w:val="1"/>
  </w:num>
  <w:num w:numId="2">
    <w:abstractNumId w:val="0"/>
  </w:num>
  <w:num w:numId="3">
    <w:abstractNumId w:val="6"/>
  </w:num>
  <w:num w:numId="4">
    <w:abstractNumId w:val="3"/>
  </w:num>
  <w:num w:numId="5">
    <w:abstractNumId w:val="2"/>
  </w:num>
  <w:num w:numId="6">
    <w:abstractNumId w:val="7"/>
  </w:num>
  <w:num w:numId="7">
    <w:abstractNumId w:val="9"/>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66B97"/>
    <w:rsid w:val="001214E8"/>
    <w:rsid w:val="00363F1D"/>
    <w:rsid w:val="00900F74"/>
    <w:rsid w:val="00B92D99"/>
    <w:rsid w:val="00E10317"/>
    <w:rsid w:val="00E66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Heading"/>
    <w:next w:val="Textbody"/>
    <w:pPr>
      <w:outlineLvl w:val="5"/>
    </w:pPr>
    <w:rPr>
      <w:b/>
      <w:bCs/>
    </w:rPr>
  </w:style>
  <w:style w:type="paragraph" w:styleId="Heading7">
    <w:name w:val="heading 7"/>
    <w:basedOn w:val="Normal"/>
    <w:next w:val="Normal"/>
    <w:link w:val="Heading7Char"/>
    <w:uiPriority w:val="9"/>
    <w:unhideWhenUsed/>
    <w:qFormat/>
    <w:rsid w:val="001214E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214E8"/>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before="86" w:after="86"/>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TableCaption">
    <w:name w:val="TableCaption"/>
    <w:basedOn w:val="Caption"/>
  </w:style>
  <w:style w:type="paragraph" w:customStyle="1" w:styleId="FigureCaption">
    <w:name w:val="FigureCaption"/>
    <w:basedOn w:val="Caption"/>
  </w:style>
  <w:style w:type="paragraph" w:customStyle="1" w:styleId="Figure">
    <w:name w:val="Figure"/>
    <w:basedOn w:val="Standard"/>
    <w:pPr>
      <w:suppressLineNumbers/>
    </w:pPr>
  </w:style>
  <w:style w:type="paragraph" w:customStyle="1" w:styleId="FigureWithCaption">
    <w:name w:val="FigureWithCaption"/>
    <w:basedOn w:val="Figure"/>
    <w:pPr>
      <w:keepNext/>
    </w:pPr>
  </w:style>
  <w:style w:type="paragraph" w:customStyle="1" w:styleId="Index">
    <w:name w:val="Index"/>
    <w:basedOn w:val="Standard"/>
    <w:pPr>
      <w:suppressLineNumbers/>
    </w:pPr>
  </w:style>
  <w:style w:type="paragraph" w:customStyle="1" w:styleId="Quotations">
    <w:name w:val="Quotations"/>
    <w:basedOn w:val="Standard"/>
    <w:pPr>
      <w:spacing w:before="144" w:after="144"/>
      <w:ind w:left="567" w:right="567"/>
    </w:p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DefinitionTerm">
    <w:name w:val="Definition Term"/>
    <w:basedOn w:val="Standard"/>
    <w:next w:val="DefinitionDefinition"/>
    <w:pPr>
      <w:spacing w:before="86" w:after="86"/>
    </w:pPr>
  </w:style>
  <w:style w:type="paragraph" w:customStyle="1" w:styleId="DefinitionDefinition">
    <w:name w:val="Definition Definition"/>
    <w:basedOn w:val="Standard"/>
    <w:next w:val="Textbody"/>
    <w:pPr>
      <w:ind w:left="720"/>
    </w:pPr>
  </w:style>
  <w:style w:type="paragraph" w:customStyle="1" w:styleId="TableContents">
    <w:name w:val="Table Contents"/>
    <w:basedOn w:val="Standard"/>
    <w:pPr>
      <w:suppressLineNumbers/>
      <w:ind w:left="43" w:right="43"/>
    </w:pPr>
  </w:style>
  <w:style w:type="paragraph" w:customStyle="1" w:styleId="TableHeading">
    <w:name w:val="Table Heading"/>
    <w:basedOn w:val="TableContents"/>
    <w:rPr>
      <w:b/>
      <w:bCs/>
    </w:rPr>
  </w:style>
  <w:style w:type="paragraph" w:customStyle="1" w:styleId="Footnote">
    <w:name w:val="Footnote"/>
    <w:basedOn w:val="Standard"/>
    <w:pPr>
      <w:suppressLineNumbers/>
      <w:ind w:left="283" w:hanging="283"/>
    </w:pPr>
    <w:rPr>
      <w:sz w:val="20"/>
      <w:szCs w:val="20"/>
    </w:rPr>
  </w:style>
  <w:style w:type="paragraph" w:styleId="Footer">
    <w:name w:val="footer"/>
    <w:basedOn w:val="Standard"/>
    <w:link w:val="FooterChar"/>
    <w:uiPriority w:val="99"/>
    <w:pPr>
      <w:suppressLineNumbers/>
      <w:tabs>
        <w:tab w:val="center" w:pos="4680"/>
        <w:tab w:val="right" w:pos="9360"/>
      </w:tabs>
    </w:pPr>
  </w:style>
  <w:style w:type="paragraph" w:customStyle="1" w:styleId="DefinitionTermTight">
    <w:name w:val="Definition Term Tight"/>
    <w:basedOn w:val="Standard"/>
    <w:next w:val="DefinitionDefinitionTight"/>
    <w:pPr>
      <w:spacing w:before="115" w:after="115"/>
    </w:pPr>
  </w:style>
  <w:style w:type="paragraph" w:customStyle="1" w:styleId="DefinitionDefinitionTight">
    <w:name w:val="Definition Definition Tight"/>
    <w:basedOn w:val="Standard"/>
    <w:pPr>
      <w:ind w:left="720"/>
    </w:pPr>
  </w:style>
  <w:style w:type="paragraph" w:styleId="Date">
    <w:name w:val="Date"/>
    <w:basedOn w:val="Standard"/>
    <w:next w:val="Textbody"/>
    <w:rPr>
      <w:i/>
    </w:rPr>
  </w:style>
  <w:style w:type="paragraph" w:customStyle="1" w:styleId="Author">
    <w:name w:val="Author"/>
    <w:basedOn w:val="Standard"/>
    <w:next w:val="Date"/>
    <w:rPr>
      <w:i/>
    </w:rPr>
  </w:style>
  <w:style w:type="paragraph" w:customStyle="1" w:styleId="HorizontalLine">
    <w:name w:val="Horizontal Line"/>
    <w:basedOn w:val="Standard"/>
    <w:next w:val="Textbody"/>
    <w:pPr>
      <w:suppressLineNumbers/>
      <w:spacing w:after="283"/>
    </w:pPr>
    <w:rPr>
      <w:sz w:val="12"/>
      <w:szCs w:val="12"/>
    </w:rPr>
  </w:style>
  <w:style w:type="paragraph" w:customStyle="1" w:styleId="Firstparagraph">
    <w:name w:val="First paragraph"/>
    <w:basedOn w:val="Standard"/>
    <w:next w:val="Textbody"/>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styleId="Emphasis">
    <w:name w:val="Emphasis"/>
    <w:rPr>
      <w:i/>
      <w:iCs/>
    </w:rPr>
  </w:style>
  <w:style w:type="character" w:customStyle="1" w:styleId="StrongEmphasis">
    <w:name w:val="Strong Emphasis"/>
    <w:rPr>
      <w:b/>
      <w:bCs/>
    </w:rPr>
  </w:style>
  <w:style w:type="character" w:customStyle="1" w:styleId="Strikeout">
    <w:name w:val="Strikeout"/>
    <w:rPr>
      <w:strike/>
    </w:rPr>
  </w:style>
  <w:style w:type="character" w:customStyle="1" w:styleId="Superscript">
    <w:name w:val="Superscript"/>
    <w:rPr>
      <w:position w:val="0"/>
      <w:vertAlign w:val="superscript"/>
    </w:rPr>
  </w:style>
  <w:style w:type="character" w:customStyle="1" w:styleId="Subscript">
    <w:name w:val="Subscript"/>
    <w:rPr>
      <w:position w:val="0"/>
      <w:vertAlign w:val="subscript"/>
    </w:rPr>
  </w:style>
  <w:style w:type="character" w:customStyle="1" w:styleId="Citation">
    <w:name w:val="Citation"/>
    <w:rPr>
      <w:i/>
      <w:iCs/>
    </w:rPr>
  </w:style>
  <w:style w:type="character" w:customStyle="1" w:styleId="Teletype">
    <w:name w:val="Teletype"/>
    <w:rPr>
      <w:rFonts w:ascii="Courier New" w:eastAsia="Courier New" w:hAnsi="Courier New" w:cs="Courier New"/>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Definition">
    <w:name w:val="Definition"/>
  </w:style>
  <w:style w:type="numbering" w:customStyle="1" w:styleId="Numbering1">
    <w:name w:val="Numbering 1"/>
    <w:basedOn w:val="NoList"/>
    <w:pPr>
      <w:numPr>
        <w:numId w:val="1"/>
      </w:numPr>
    </w:pPr>
  </w:style>
  <w:style w:type="numbering" w:customStyle="1" w:styleId="Numbering2">
    <w:name w:val="Numbering 2"/>
    <w:basedOn w:val="NoList"/>
    <w:pPr>
      <w:numPr>
        <w:numId w:val="2"/>
      </w:numPr>
    </w:pPr>
  </w:style>
  <w:style w:type="numbering" w:customStyle="1" w:styleId="Numbering3">
    <w:name w:val="Numbering 3"/>
    <w:basedOn w:val="NoList"/>
    <w:pPr>
      <w:numPr>
        <w:numId w:val="3"/>
      </w:numPr>
    </w:pPr>
  </w:style>
  <w:style w:type="numbering" w:customStyle="1" w:styleId="Numbering4">
    <w:name w:val="Numbering 4"/>
    <w:basedOn w:val="NoList"/>
    <w:pPr>
      <w:numPr>
        <w:numId w:val="4"/>
      </w:numPr>
    </w:pPr>
  </w:style>
  <w:style w:type="numbering" w:customStyle="1" w:styleId="Numbering5">
    <w:name w:val="Numbering 5"/>
    <w:basedOn w:val="NoList"/>
    <w:pPr>
      <w:numPr>
        <w:numId w:val="5"/>
      </w:numPr>
    </w:pPr>
  </w:style>
  <w:style w:type="numbering" w:customStyle="1" w:styleId="List1">
    <w:name w:val="List 1"/>
    <w:basedOn w:val="NoList"/>
    <w:pPr>
      <w:numPr>
        <w:numId w:val="6"/>
      </w:numPr>
    </w:pPr>
  </w:style>
  <w:style w:type="numbering" w:customStyle="1" w:styleId="List21">
    <w:name w:val="List 21"/>
    <w:basedOn w:val="NoList"/>
    <w:pPr>
      <w:numPr>
        <w:numId w:val="7"/>
      </w:numPr>
    </w:pPr>
  </w:style>
  <w:style w:type="numbering" w:customStyle="1" w:styleId="List31">
    <w:name w:val="List 31"/>
    <w:basedOn w:val="NoList"/>
    <w:pPr>
      <w:numPr>
        <w:numId w:val="8"/>
      </w:numPr>
    </w:pPr>
  </w:style>
  <w:style w:type="numbering" w:customStyle="1" w:styleId="List41">
    <w:name w:val="List 41"/>
    <w:basedOn w:val="NoList"/>
    <w:pPr>
      <w:numPr>
        <w:numId w:val="9"/>
      </w:numPr>
    </w:pPr>
  </w:style>
  <w:style w:type="numbering" w:customStyle="1" w:styleId="List51">
    <w:name w:val="List 51"/>
    <w:basedOn w:val="NoList"/>
    <w:pPr>
      <w:numPr>
        <w:numId w:val="10"/>
      </w:numPr>
    </w:pPr>
  </w:style>
  <w:style w:type="paragraph" w:styleId="BalloonText">
    <w:name w:val="Balloon Text"/>
    <w:basedOn w:val="Normal"/>
    <w:link w:val="BalloonTextChar"/>
    <w:uiPriority w:val="99"/>
    <w:semiHidden/>
    <w:unhideWhenUsed/>
    <w:rsid w:val="00B92D99"/>
    <w:rPr>
      <w:rFonts w:ascii="Tahoma" w:hAnsi="Tahoma"/>
      <w:sz w:val="16"/>
      <w:szCs w:val="16"/>
    </w:rPr>
  </w:style>
  <w:style w:type="character" w:customStyle="1" w:styleId="BalloonTextChar">
    <w:name w:val="Balloon Text Char"/>
    <w:basedOn w:val="DefaultParagraphFont"/>
    <w:link w:val="BalloonText"/>
    <w:uiPriority w:val="99"/>
    <w:semiHidden/>
    <w:rsid w:val="00B92D99"/>
    <w:rPr>
      <w:rFonts w:ascii="Tahoma" w:hAnsi="Tahoma"/>
      <w:sz w:val="16"/>
      <w:szCs w:val="16"/>
    </w:rPr>
  </w:style>
  <w:style w:type="paragraph" w:styleId="Title">
    <w:name w:val="Title"/>
    <w:basedOn w:val="Normal"/>
    <w:next w:val="Normal"/>
    <w:link w:val="TitleChar"/>
    <w:uiPriority w:val="10"/>
    <w:qFormat/>
    <w:rsid w:val="001214E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4E8"/>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1214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214E8"/>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unhideWhenUsed/>
    <w:rsid w:val="001214E8"/>
    <w:pPr>
      <w:tabs>
        <w:tab w:val="center" w:pos="4680"/>
        <w:tab w:val="right" w:pos="9360"/>
      </w:tabs>
    </w:pPr>
  </w:style>
  <w:style w:type="character" w:customStyle="1" w:styleId="HeaderChar">
    <w:name w:val="Header Char"/>
    <w:basedOn w:val="DefaultParagraphFont"/>
    <w:link w:val="Header"/>
    <w:uiPriority w:val="99"/>
    <w:rsid w:val="001214E8"/>
  </w:style>
  <w:style w:type="character" w:customStyle="1" w:styleId="FooterChar">
    <w:name w:val="Footer Char"/>
    <w:basedOn w:val="DefaultParagraphFont"/>
    <w:link w:val="Footer"/>
    <w:uiPriority w:val="99"/>
    <w:rsid w:val="00900F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Heading"/>
    <w:next w:val="Textbody"/>
    <w:pPr>
      <w:outlineLvl w:val="5"/>
    </w:pPr>
    <w:rPr>
      <w:b/>
      <w:bCs/>
    </w:rPr>
  </w:style>
  <w:style w:type="paragraph" w:styleId="Heading7">
    <w:name w:val="heading 7"/>
    <w:basedOn w:val="Normal"/>
    <w:next w:val="Normal"/>
    <w:link w:val="Heading7Char"/>
    <w:uiPriority w:val="9"/>
    <w:unhideWhenUsed/>
    <w:qFormat/>
    <w:rsid w:val="001214E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214E8"/>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before="86" w:after="86"/>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TableCaption">
    <w:name w:val="TableCaption"/>
    <w:basedOn w:val="Caption"/>
  </w:style>
  <w:style w:type="paragraph" w:customStyle="1" w:styleId="FigureCaption">
    <w:name w:val="FigureCaption"/>
    <w:basedOn w:val="Caption"/>
  </w:style>
  <w:style w:type="paragraph" w:customStyle="1" w:styleId="Figure">
    <w:name w:val="Figure"/>
    <w:basedOn w:val="Standard"/>
    <w:pPr>
      <w:suppressLineNumbers/>
    </w:pPr>
  </w:style>
  <w:style w:type="paragraph" w:customStyle="1" w:styleId="FigureWithCaption">
    <w:name w:val="FigureWithCaption"/>
    <w:basedOn w:val="Figure"/>
    <w:pPr>
      <w:keepNext/>
    </w:pPr>
  </w:style>
  <w:style w:type="paragraph" w:customStyle="1" w:styleId="Index">
    <w:name w:val="Index"/>
    <w:basedOn w:val="Standard"/>
    <w:pPr>
      <w:suppressLineNumbers/>
    </w:pPr>
  </w:style>
  <w:style w:type="paragraph" w:customStyle="1" w:styleId="Quotations">
    <w:name w:val="Quotations"/>
    <w:basedOn w:val="Standard"/>
    <w:pPr>
      <w:spacing w:before="144" w:after="144"/>
      <w:ind w:left="567" w:right="567"/>
    </w:p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DefinitionTerm">
    <w:name w:val="Definition Term"/>
    <w:basedOn w:val="Standard"/>
    <w:next w:val="DefinitionDefinition"/>
    <w:pPr>
      <w:spacing w:before="86" w:after="86"/>
    </w:pPr>
  </w:style>
  <w:style w:type="paragraph" w:customStyle="1" w:styleId="DefinitionDefinition">
    <w:name w:val="Definition Definition"/>
    <w:basedOn w:val="Standard"/>
    <w:next w:val="Textbody"/>
    <w:pPr>
      <w:ind w:left="720"/>
    </w:pPr>
  </w:style>
  <w:style w:type="paragraph" w:customStyle="1" w:styleId="TableContents">
    <w:name w:val="Table Contents"/>
    <w:basedOn w:val="Standard"/>
    <w:pPr>
      <w:suppressLineNumbers/>
      <w:ind w:left="43" w:right="43"/>
    </w:pPr>
  </w:style>
  <w:style w:type="paragraph" w:customStyle="1" w:styleId="TableHeading">
    <w:name w:val="Table Heading"/>
    <w:basedOn w:val="TableContents"/>
    <w:rPr>
      <w:b/>
      <w:bCs/>
    </w:rPr>
  </w:style>
  <w:style w:type="paragraph" w:customStyle="1" w:styleId="Footnote">
    <w:name w:val="Footnote"/>
    <w:basedOn w:val="Standard"/>
    <w:pPr>
      <w:suppressLineNumbers/>
      <w:ind w:left="283" w:hanging="283"/>
    </w:pPr>
    <w:rPr>
      <w:sz w:val="20"/>
      <w:szCs w:val="20"/>
    </w:rPr>
  </w:style>
  <w:style w:type="paragraph" w:styleId="Footer">
    <w:name w:val="footer"/>
    <w:basedOn w:val="Standard"/>
    <w:link w:val="FooterChar"/>
    <w:uiPriority w:val="99"/>
    <w:pPr>
      <w:suppressLineNumbers/>
      <w:tabs>
        <w:tab w:val="center" w:pos="4680"/>
        <w:tab w:val="right" w:pos="9360"/>
      </w:tabs>
    </w:pPr>
  </w:style>
  <w:style w:type="paragraph" w:customStyle="1" w:styleId="DefinitionTermTight">
    <w:name w:val="Definition Term Tight"/>
    <w:basedOn w:val="Standard"/>
    <w:next w:val="DefinitionDefinitionTight"/>
    <w:pPr>
      <w:spacing w:before="115" w:after="115"/>
    </w:pPr>
  </w:style>
  <w:style w:type="paragraph" w:customStyle="1" w:styleId="DefinitionDefinitionTight">
    <w:name w:val="Definition Definition Tight"/>
    <w:basedOn w:val="Standard"/>
    <w:pPr>
      <w:ind w:left="720"/>
    </w:pPr>
  </w:style>
  <w:style w:type="paragraph" w:styleId="Date">
    <w:name w:val="Date"/>
    <w:basedOn w:val="Standard"/>
    <w:next w:val="Textbody"/>
    <w:rPr>
      <w:i/>
    </w:rPr>
  </w:style>
  <w:style w:type="paragraph" w:customStyle="1" w:styleId="Author">
    <w:name w:val="Author"/>
    <w:basedOn w:val="Standard"/>
    <w:next w:val="Date"/>
    <w:rPr>
      <w:i/>
    </w:rPr>
  </w:style>
  <w:style w:type="paragraph" w:customStyle="1" w:styleId="HorizontalLine">
    <w:name w:val="Horizontal Line"/>
    <w:basedOn w:val="Standard"/>
    <w:next w:val="Textbody"/>
    <w:pPr>
      <w:suppressLineNumbers/>
      <w:spacing w:after="283"/>
    </w:pPr>
    <w:rPr>
      <w:sz w:val="12"/>
      <w:szCs w:val="12"/>
    </w:rPr>
  </w:style>
  <w:style w:type="paragraph" w:customStyle="1" w:styleId="Firstparagraph">
    <w:name w:val="First paragraph"/>
    <w:basedOn w:val="Standard"/>
    <w:next w:val="Textbody"/>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styleId="Emphasis">
    <w:name w:val="Emphasis"/>
    <w:rPr>
      <w:i/>
      <w:iCs/>
    </w:rPr>
  </w:style>
  <w:style w:type="character" w:customStyle="1" w:styleId="StrongEmphasis">
    <w:name w:val="Strong Emphasis"/>
    <w:rPr>
      <w:b/>
      <w:bCs/>
    </w:rPr>
  </w:style>
  <w:style w:type="character" w:customStyle="1" w:styleId="Strikeout">
    <w:name w:val="Strikeout"/>
    <w:rPr>
      <w:strike/>
    </w:rPr>
  </w:style>
  <w:style w:type="character" w:customStyle="1" w:styleId="Superscript">
    <w:name w:val="Superscript"/>
    <w:rPr>
      <w:position w:val="0"/>
      <w:vertAlign w:val="superscript"/>
    </w:rPr>
  </w:style>
  <w:style w:type="character" w:customStyle="1" w:styleId="Subscript">
    <w:name w:val="Subscript"/>
    <w:rPr>
      <w:position w:val="0"/>
      <w:vertAlign w:val="subscript"/>
    </w:rPr>
  </w:style>
  <w:style w:type="character" w:customStyle="1" w:styleId="Citation">
    <w:name w:val="Citation"/>
    <w:rPr>
      <w:i/>
      <w:iCs/>
    </w:rPr>
  </w:style>
  <w:style w:type="character" w:customStyle="1" w:styleId="Teletype">
    <w:name w:val="Teletype"/>
    <w:rPr>
      <w:rFonts w:ascii="Courier New" w:eastAsia="Courier New" w:hAnsi="Courier New" w:cs="Courier New"/>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Definition">
    <w:name w:val="Definition"/>
  </w:style>
  <w:style w:type="numbering" w:customStyle="1" w:styleId="Numbering1">
    <w:name w:val="Numbering 1"/>
    <w:basedOn w:val="NoList"/>
    <w:pPr>
      <w:numPr>
        <w:numId w:val="1"/>
      </w:numPr>
    </w:pPr>
  </w:style>
  <w:style w:type="numbering" w:customStyle="1" w:styleId="Numbering2">
    <w:name w:val="Numbering 2"/>
    <w:basedOn w:val="NoList"/>
    <w:pPr>
      <w:numPr>
        <w:numId w:val="2"/>
      </w:numPr>
    </w:pPr>
  </w:style>
  <w:style w:type="numbering" w:customStyle="1" w:styleId="Numbering3">
    <w:name w:val="Numbering 3"/>
    <w:basedOn w:val="NoList"/>
    <w:pPr>
      <w:numPr>
        <w:numId w:val="3"/>
      </w:numPr>
    </w:pPr>
  </w:style>
  <w:style w:type="numbering" w:customStyle="1" w:styleId="Numbering4">
    <w:name w:val="Numbering 4"/>
    <w:basedOn w:val="NoList"/>
    <w:pPr>
      <w:numPr>
        <w:numId w:val="4"/>
      </w:numPr>
    </w:pPr>
  </w:style>
  <w:style w:type="numbering" w:customStyle="1" w:styleId="Numbering5">
    <w:name w:val="Numbering 5"/>
    <w:basedOn w:val="NoList"/>
    <w:pPr>
      <w:numPr>
        <w:numId w:val="5"/>
      </w:numPr>
    </w:pPr>
  </w:style>
  <w:style w:type="numbering" w:customStyle="1" w:styleId="List1">
    <w:name w:val="List 1"/>
    <w:basedOn w:val="NoList"/>
    <w:pPr>
      <w:numPr>
        <w:numId w:val="6"/>
      </w:numPr>
    </w:pPr>
  </w:style>
  <w:style w:type="numbering" w:customStyle="1" w:styleId="List21">
    <w:name w:val="List 21"/>
    <w:basedOn w:val="NoList"/>
    <w:pPr>
      <w:numPr>
        <w:numId w:val="7"/>
      </w:numPr>
    </w:pPr>
  </w:style>
  <w:style w:type="numbering" w:customStyle="1" w:styleId="List31">
    <w:name w:val="List 31"/>
    <w:basedOn w:val="NoList"/>
    <w:pPr>
      <w:numPr>
        <w:numId w:val="8"/>
      </w:numPr>
    </w:pPr>
  </w:style>
  <w:style w:type="numbering" w:customStyle="1" w:styleId="List41">
    <w:name w:val="List 41"/>
    <w:basedOn w:val="NoList"/>
    <w:pPr>
      <w:numPr>
        <w:numId w:val="9"/>
      </w:numPr>
    </w:pPr>
  </w:style>
  <w:style w:type="numbering" w:customStyle="1" w:styleId="List51">
    <w:name w:val="List 51"/>
    <w:basedOn w:val="NoList"/>
    <w:pPr>
      <w:numPr>
        <w:numId w:val="10"/>
      </w:numPr>
    </w:pPr>
  </w:style>
  <w:style w:type="paragraph" w:styleId="BalloonText">
    <w:name w:val="Balloon Text"/>
    <w:basedOn w:val="Normal"/>
    <w:link w:val="BalloonTextChar"/>
    <w:uiPriority w:val="99"/>
    <w:semiHidden/>
    <w:unhideWhenUsed/>
    <w:rsid w:val="00B92D99"/>
    <w:rPr>
      <w:rFonts w:ascii="Tahoma" w:hAnsi="Tahoma"/>
      <w:sz w:val="16"/>
      <w:szCs w:val="16"/>
    </w:rPr>
  </w:style>
  <w:style w:type="character" w:customStyle="1" w:styleId="BalloonTextChar">
    <w:name w:val="Balloon Text Char"/>
    <w:basedOn w:val="DefaultParagraphFont"/>
    <w:link w:val="BalloonText"/>
    <w:uiPriority w:val="99"/>
    <w:semiHidden/>
    <w:rsid w:val="00B92D99"/>
    <w:rPr>
      <w:rFonts w:ascii="Tahoma" w:hAnsi="Tahoma"/>
      <w:sz w:val="16"/>
      <w:szCs w:val="16"/>
    </w:rPr>
  </w:style>
  <w:style w:type="paragraph" w:styleId="Title">
    <w:name w:val="Title"/>
    <w:basedOn w:val="Normal"/>
    <w:next w:val="Normal"/>
    <w:link w:val="TitleChar"/>
    <w:uiPriority w:val="10"/>
    <w:qFormat/>
    <w:rsid w:val="001214E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4E8"/>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1214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214E8"/>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unhideWhenUsed/>
    <w:rsid w:val="001214E8"/>
    <w:pPr>
      <w:tabs>
        <w:tab w:val="center" w:pos="4680"/>
        <w:tab w:val="right" w:pos="9360"/>
      </w:tabs>
    </w:pPr>
  </w:style>
  <w:style w:type="character" w:customStyle="1" w:styleId="HeaderChar">
    <w:name w:val="Header Char"/>
    <w:basedOn w:val="DefaultParagraphFont"/>
    <w:link w:val="Header"/>
    <w:uiPriority w:val="99"/>
    <w:rsid w:val="001214E8"/>
  </w:style>
  <w:style w:type="character" w:customStyle="1" w:styleId="FooterChar">
    <w:name w:val="Footer Char"/>
    <w:basedOn w:val="DefaultParagraphFont"/>
    <w:link w:val="Footer"/>
    <w:uiPriority w:val="99"/>
    <w:rsid w:val="00900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12512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Braley</cp:lastModifiedBy>
  <cp:revision>2</cp:revision>
  <dcterms:created xsi:type="dcterms:W3CDTF">2016-08-17T14:44:00Z</dcterms:created>
  <dcterms:modified xsi:type="dcterms:W3CDTF">2016-08-17T15:10:00Z</dcterms:modified>
</cp:coreProperties>
</file>