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BCE" w:rsidRDefault="001E2057" w:rsidP="001E2057">
      <w:pPr>
        <w:pStyle w:val="Heading1"/>
      </w:pPr>
      <w:r>
        <w:t>Appendix</w:t>
      </w:r>
    </w:p>
    <w:p w:rsidR="001E2057" w:rsidRDefault="001E2057" w:rsidP="001E2057">
      <w:pPr>
        <w:pStyle w:val="Heading2"/>
      </w:pPr>
      <w:r>
        <w:t>Case Study Bridge Description</w:t>
      </w:r>
    </w:p>
    <w:p w:rsidR="00862D11" w:rsidRPr="00862D11" w:rsidRDefault="00862D11" w:rsidP="00862D11">
      <w:r>
        <w:rPr>
          <w:noProof/>
        </w:rPr>
        <w:drawing>
          <wp:inline distT="0" distB="0" distL="0" distR="0" wp14:anchorId="7DD866B7" wp14:editId="71E97F1A">
            <wp:extent cx="5486400" cy="1664169"/>
            <wp:effectExtent l="0" t="0" r="0" b="0"/>
            <wp:docPr id="1" name="img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486400" cy="1664169"/>
                    </a:xfrm>
                    <a:prstGeom prst="rect">
                      <a:avLst/>
                    </a:prstGeom>
                  </pic:spPr>
                </pic:pic>
              </a:graphicData>
            </a:graphic>
          </wp:inline>
        </w:drawing>
      </w:r>
    </w:p>
    <w:p w:rsidR="001E2057" w:rsidRDefault="001E2057" w:rsidP="001E2057">
      <w:pPr>
        <w:pStyle w:val="Heading4"/>
      </w:pPr>
      <w:r>
        <w:t>Superstructure</w:t>
      </w:r>
    </w:p>
    <w:p w:rsidR="001E2057" w:rsidRDefault="001E2057" w:rsidP="001E2057">
      <w:r>
        <w:t>The structural type is steel multi-girder. Eight girders run longitudinally, resting on steel box girders that span transversely and are supported by the concrete piers. A reinforced concrete composite deck was cast in place, with a “raked” finish and no overlay. There is no skew. The bridge has eleven spans. The maximum span length is 140’-0”. The out-to-out width is 76’-6”. Three spans are simply supported, while the remaining eight are two-span continuous. Each span has five interior rows of X-framed diaphragms and chevron diaphragms over the piers.</w:t>
      </w:r>
    </w:p>
    <w:p w:rsidR="00862D11" w:rsidRDefault="00862D11" w:rsidP="001E2057">
      <w:r>
        <w:rPr>
          <w:noProof/>
        </w:rPr>
        <w:drawing>
          <wp:inline distT="0" distB="0" distL="0" distR="0" wp14:anchorId="4D6AC8B3" wp14:editId="14A253D2">
            <wp:extent cx="5486400" cy="1113692"/>
            <wp:effectExtent l="0" t="0" r="0" b="0"/>
            <wp:docPr id="2" name="img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86400" cy="1113692"/>
                    </a:xfrm>
                    <a:prstGeom prst="rect">
                      <a:avLst/>
                    </a:prstGeom>
                  </pic:spPr>
                </pic:pic>
              </a:graphicData>
            </a:graphic>
          </wp:inline>
        </w:drawing>
      </w:r>
    </w:p>
    <w:p w:rsidR="001E2057" w:rsidRDefault="001E2057" w:rsidP="001E2057">
      <w:pPr>
        <w:pStyle w:val="Heading4"/>
      </w:pPr>
      <w:r>
        <w:t>Substructure and Bearings</w:t>
      </w:r>
    </w:p>
    <w:p w:rsidR="001E2057" w:rsidRDefault="001E2057" w:rsidP="001E2057">
      <w:r>
        <w:t xml:space="preserve">The concrete piers and abutments were constructed in 1952 and are all that remains of the original structure. They are supported by driven piles. Elastomeric bearing pads are installed on top of the piers and support the transverse box girders. Rocker bearings or pedestals are installed between the box girders and longitudinal girders at those locations which are in the </w:t>
      </w:r>
      <w:r>
        <w:lastRenderedPageBreak/>
        <w:t>center of continuous spans. Elastomeric bearings are installed between the box girder and the longitudinal girders at the remaining locations.</w:t>
      </w:r>
    </w:p>
    <w:p w:rsidR="00862D11" w:rsidRPr="0048509D" w:rsidRDefault="00862D11" w:rsidP="00862D11">
      <w:pPr>
        <w:jc w:val="center"/>
      </w:pPr>
      <w:r>
        <w:rPr>
          <w:noProof/>
        </w:rPr>
        <w:drawing>
          <wp:inline distT="0" distB="0" distL="0" distR="0" wp14:anchorId="7C82D4F6" wp14:editId="4230E923">
            <wp:extent cx="4160519" cy="1627540"/>
            <wp:effectExtent l="0" t="0" r="0" b="0"/>
            <wp:docPr id="3" name="img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160519" cy="1627540"/>
                    </a:xfrm>
                    <a:prstGeom prst="rect">
                      <a:avLst/>
                    </a:prstGeom>
                  </pic:spPr>
                </pic:pic>
              </a:graphicData>
            </a:graphic>
          </wp:inline>
        </w:drawing>
      </w:r>
    </w:p>
    <w:p w:rsidR="00862D11" w:rsidRDefault="00862D11" w:rsidP="00862D11">
      <w:pPr>
        <w:pStyle w:val="Heading3"/>
      </w:pPr>
      <w:r>
        <w:t>Condition</w:t>
      </w:r>
    </w:p>
    <w:p w:rsidR="00862D11" w:rsidRDefault="00862D11" w:rsidP="00862D11">
      <w:r>
        <w:t>Visually, the deck appears to be in good condition, with no major cracking visible. Minor damage was observed in some regions of the center concrete barrier. The girders appeared in excellent condition. No major rusting was observed, and the girders appeared well maintained. The access hatches on many of the box girders had been left open. Any ill effects from this could not be immediately observed. The piers exhibited very little efflorescence and virtually no spalling. Repairs had been performed on several piers, where an embedded drainage pipe had rusted and caused a portion of concrete to spall off.</w:t>
      </w:r>
    </w:p>
    <w:p w:rsidR="00862D11" w:rsidRDefault="00862D11" w:rsidP="00862D11">
      <w:pPr>
        <w:pStyle w:val="FigureCaption"/>
        <w:jc w:val="center"/>
      </w:pPr>
      <w:r>
        <w:t>NBI Details</w:t>
      </w:r>
    </w:p>
    <w:tbl>
      <w:tblPr>
        <w:tblW w:w="4680"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left w:w="10" w:type="dxa"/>
          <w:right w:w="10" w:type="dxa"/>
        </w:tblCellMar>
        <w:tblLook w:val="0000" w:firstRow="0" w:lastRow="0" w:firstColumn="0" w:lastColumn="0" w:noHBand="0" w:noVBand="0"/>
      </w:tblPr>
      <w:tblGrid>
        <w:gridCol w:w="2604"/>
        <w:gridCol w:w="2076"/>
      </w:tblGrid>
      <w:tr w:rsidR="00862D11" w:rsidTr="00862D11">
        <w:trPr>
          <w:tblHeader/>
          <w:jc w:val="center"/>
        </w:trPr>
        <w:tc>
          <w:tcPr>
            <w:tcW w:w="2604" w:type="dxa"/>
            <w:tcMar>
              <w:top w:w="0" w:type="dxa"/>
              <w:left w:w="0" w:type="dxa"/>
              <w:bottom w:w="0" w:type="dxa"/>
              <w:right w:w="0" w:type="dxa"/>
            </w:tcMar>
          </w:tcPr>
          <w:p w:rsidR="00862D11" w:rsidRDefault="00862D11" w:rsidP="00F21613">
            <w:pPr>
              <w:pStyle w:val="TableHeading"/>
            </w:pPr>
            <w:r>
              <w:t>NBI Structure Number</w:t>
            </w:r>
          </w:p>
        </w:tc>
        <w:tc>
          <w:tcPr>
            <w:tcW w:w="2076" w:type="dxa"/>
            <w:tcMar>
              <w:top w:w="0" w:type="dxa"/>
              <w:left w:w="0" w:type="dxa"/>
              <w:bottom w:w="0" w:type="dxa"/>
              <w:right w:w="0" w:type="dxa"/>
            </w:tcMar>
          </w:tcPr>
          <w:p w:rsidR="00862D11" w:rsidRDefault="00862D11" w:rsidP="00F21613">
            <w:pPr>
              <w:pStyle w:val="TableHeading"/>
            </w:pPr>
            <w:r>
              <w:t>000000000027280</w:t>
            </w:r>
          </w:p>
        </w:tc>
      </w:tr>
      <w:tr w:rsidR="00862D11" w:rsidTr="00862D11">
        <w:trPr>
          <w:jc w:val="center"/>
        </w:trPr>
        <w:tc>
          <w:tcPr>
            <w:tcW w:w="2604" w:type="dxa"/>
            <w:tcMar>
              <w:top w:w="0" w:type="dxa"/>
              <w:left w:w="0" w:type="dxa"/>
              <w:bottom w:w="0" w:type="dxa"/>
              <w:right w:w="0" w:type="dxa"/>
            </w:tcMar>
          </w:tcPr>
          <w:p w:rsidR="00862D11" w:rsidRDefault="00862D11" w:rsidP="00F21613">
            <w:pPr>
              <w:pStyle w:val="TableContents"/>
            </w:pPr>
            <w:r>
              <w:t>Year Reconstructed</w:t>
            </w:r>
          </w:p>
        </w:tc>
        <w:tc>
          <w:tcPr>
            <w:tcW w:w="2076" w:type="dxa"/>
            <w:tcMar>
              <w:top w:w="0" w:type="dxa"/>
              <w:left w:w="0" w:type="dxa"/>
              <w:bottom w:w="0" w:type="dxa"/>
              <w:right w:w="0" w:type="dxa"/>
            </w:tcMar>
          </w:tcPr>
          <w:p w:rsidR="00862D11" w:rsidRDefault="00862D11" w:rsidP="00F21613">
            <w:pPr>
              <w:pStyle w:val="TableContents"/>
            </w:pPr>
            <w:r>
              <w:t>1986</w:t>
            </w:r>
          </w:p>
        </w:tc>
      </w:tr>
      <w:tr w:rsidR="00862D11" w:rsidTr="00862D11">
        <w:trPr>
          <w:jc w:val="center"/>
        </w:trPr>
        <w:tc>
          <w:tcPr>
            <w:tcW w:w="2604" w:type="dxa"/>
            <w:tcMar>
              <w:top w:w="0" w:type="dxa"/>
              <w:left w:w="0" w:type="dxa"/>
              <w:bottom w:w="0" w:type="dxa"/>
              <w:right w:w="0" w:type="dxa"/>
            </w:tcMar>
          </w:tcPr>
          <w:p w:rsidR="00862D11" w:rsidRDefault="00862D11" w:rsidP="00F21613">
            <w:pPr>
              <w:pStyle w:val="TableContents"/>
            </w:pPr>
            <w:r>
              <w:t>Owner</w:t>
            </w:r>
          </w:p>
        </w:tc>
        <w:tc>
          <w:tcPr>
            <w:tcW w:w="2076" w:type="dxa"/>
            <w:tcMar>
              <w:top w:w="0" w:type="dxa"/>
              <w:left w:w="0" w:type="dxa"/>
              <w:bottom w:w="0" w:type="dxa"/>
              <w:right w:w="0" w:type="dxa"/>
            </w:tcMar>
          </w:tcPr>
          <w:p w:rsidR="00862D11" w:rsidRDefault="00862D11" w:rsidP="00F21613">
            <w:pPr>
              <w:pStyle w:val="TableContents"/>
            </w:pPr>
            <w:r>
              <w:t>PennDOT</w:t>
            </w:r>
          </w:p>
        </w:tc>
      </w:tr>
      <w:tr w:rsidR="00862D11" w:rsidTr="00862D11">
        <w:trPr>
          <w:jc w:val="center"/>
        </w:trPr>
        <w:tc>
          <w:tcPr>
            <w:tcW w:w="2604" w:type="dxa"/>
            <w:tcMar>
              <w:top w:w="0" w:type="dxa"/>
              <w:left w:w="0" w:type="dxa"/>
              <w:bottom w:w="0" w:type="dxa"/>
              <w:right w:w="0" w:type="dxa"/>
            </w:tcMar>
          </w:tcPr>
          <w:p w:rsidR="00862D11" w:rsidRDefault="00862D11" w:rsidP="00F21613">
            <w:pPr>
              <w:pStyle w:val="TableContents"/>
            </w:pPr>
            <w:r>
              <w:t>Skew</w:t>
            </w:r>
          </w:p>
        </w:tc>
        <w:tc>
          <w:tcPr>
            <w:tcW w:w="2076" w:type="dxa"/>
            <w:tcMar>
              <w:top w:w="0" w:type="dxa"/>
              <w:left w:w="0" w:type="dxa"/>
              <w:bottom w:w="0" w:type="dxa"/>
              <w:right w:w="0" w:type="dxa"/>
            </w:tcMar>
          </w:tcPr>
          <w:p w:rsidR="00862D11" w:rsidRDefault="00862D11" w:rsidP="00F21613">
            <w:pPr>
              <w:pStyle w:val="TableContents"/>
            </w:pPr>
            <w:r>
              <w:t>0 degrees</w:t>
            </w:r>
          </w:p>
        </w:tc>
      </w:tr>
      <w:tr w:rsidR="00862D11" w:rsidTr="00862D11">
        <w:trPr>
          <w:jc w:val="center"/>
        </w:trPr>
        <w:tc>
          <w:tcPr>
            <w:tcW w:w="2604" w:type="dxa"/>
            <w:tcMar>
              <w:top w:w="0" w:type="dxa"/>
              <w:left w:w="0" w:type="dxa"/>
              <w:bottom w:w="0" w:type="dxa"/>
              <w:right w:w="0" w:type="dxa"/>
            </w:tcMar>
          </w:tcPr>
          <w:p w:rsidR="00862D11" w:rsidRDefault="00862D11" w:rsidP="00F21613">
            <w:pPr>
              <w:pStyle w:val="TableContents"/>
            </w:pPr>
            <w:r>
              <w:t>Deck Width</w:t>
            </w:r>
          </w:p>
        </w:tc>
        <w:tc>
          <w:tcPr>
            <w:tcW w:w="2076" w:type="dxa"/>
            <w:tcMar>
              <w:top w:w="0" w:type="dxa"/>
              <w:left w:w="0" w:type="dxa"/>
              <w:bottom w:w="0" w:type="dxa"/>
              <w:right w:w="0" w:type="dxa"/>
            </w:tcMar>
          </w:tcPr>
          <w:p w:rsidR="00862D11" w:rsidRDefault="00862D11" w:rsidP="00F21613">
            <w:pPr>
              <w:pStyle w:val="TableContents"/>
            </w:pPr>
            <w:r>
              <w:t>76’-6”</w:t>
            </w:r>
          </w:p>
        </w:tc>
      </w:tr>
      <w:tr w:rsidR="00862D11" w:rsidTr="00862D11">
        <w:trPr>
          <w:jc w:val="center"/>
        </w:trPr>
        <w:tc>
          <w:tcPr>
            <w:tcW w:w="2604" w:type="dxa"/>
            <w:tcMar>
              <w:top w:w="0" w:type="dxa"/>
              <w:left w:w="0" w:type="dxa"/>
              <w:bottom w:w="0" w:type="dxa"/>
              <w:right w:w="0" w:type="dxa"/>
            </w:tcMar>
          </w:tcPr>
          <w:p w:rsidR="00862D11" w:rsidRDefault="00862D11" w:rsidP="00F21613">
            <w:pPr>
              <w:pStyle w:val="TableContents"/>
            </w:pPr>
            <w:r>
              <w:t>Maximum Span Length</w:t>
            </w:r>
          </w:p>
        </w:tc>
        <w:tc>
          <w:tcPr>
            <w:tcW w:w="2076" w:type="dxa"/>
            <w:tcMar>
              <w:top w:w="0" w:type="dxa"/>
              <w:left w:w="0" w:type="dxa"/>
              <w:bottom w:w="0" w:type="dxa"/>
              <w:right w:w="0" w:type="dxa"/>
            </w:tcMar>
          </w:tcPr>
          <w:p w:rsidR="00862D11" w:rsidRDefault="00862D11" w:rsidP="00F21613">
            <w:pPr>
              <w:pStyle w:val="TableContents"/>
            </w:pPr>
            <w:r>
              <w:t>140’-0”</w:t>
            </w:r>
          </w:p>
        </w:tc>
      </w:tr>
      <w:tr w:rsidR="00862D11" w:rsidTr="00862D11">
        <w:trPr>
          <w:jc w:val="center"/>
        </w:trPr>
        <w:tc>
          <w:tcPr>
            <w:tcW w:w="2604" w:type="dxa"/>
            <w:tcMar>
              <w:top w:w="0" w:type="dxa"/>
              <w:left w:w="0" w:type="dxa"/>
              <w:bottom w:w="0" w:type="dxa"/>
              <w:right w:w="0" w:type="dxa"/>
            </w:tcMar>
          </w:tcPr>
          <w:p w:rsidR="00862D11" w:rsidRDefault="00862D11" w:rsidP="00F21613">
            <w:pPr>
              <w:pStyle w:val="TableContents"/>
            </w:pPr>
            <w:r>
              <w:t>ADT</w:t>
            </w:r>
          </w:p>
        </w:tc>
        <w:tc>
          <w:tcPr>
            <w:tcW w:w="2076" w:type="dxa"/>
            <w:tcMar>
              <w:top w:w="0" w:type="dxa"/>
              <w:left w:w="0" w:type="dxa"/>
              <w:bottom w:w="0" w:type="dxa"/>
              <w:right w:w="0" w:type="dxa"/>
            </w:tcMar>
          </w:tcPr>
          <w:p w:rsidR="00862D11" w:rsidRDefault="00862D11" w:rsidP="00F21613">
            <w:pPr>
              <w:pStyle w:val="TableContents"/>
            </w:pPr>
            <w:r>
              <w:t>57410 (2013)</w:t>
            </w:r>
          </w:p>
        </w:tc>
      </w:tr>
      <w:tr w:rsidR="00862D11" w:rsidTr="00862D11">
        <w:trPr>
          <w:jc w:val="center"/>
        </w:trPr>
        <w:tc>
          <w:tcPr>
            <w:tcW w:w="2604" w:type="dxa"/>
            <w:tcMar>
              <w:top w:w="0" w:type="dxa"/>
              <w:left w:w="0" w:type="dxa"/>
              <w:bottom w:w="0" w:type="dxa"/>
              <w:right w:w="0" w:type="dxa"/>
            </w:tcMar>
          </w:tcPr>
          <w:p w:rsidR="00862D11" w:rsidRDefault="00862D11" w:rsidP="00F21613">
            <w:pPr>
              <w:pStyle w:val="TableContents"/>
            </w:pPr>
            <w:r>
              <w:t>Deck Condition</w:t>
            </w:r>
          </w:p>
        </w:tc>
        <w:tc>
          <w:tcPr>
            <w:tcW w:w="2076" w:type="dxa"/>
            <w:tcMar>
              <w:top w:w="0" w:type="dxa"/>
              <w:left w:w="0" w:type="dxa"/>
              <w:bottom w:w="0" w:type="dxa"/>
              <w:right w:w="0" w:type="dxa"/>
            </w:tcMar>
          </w:tcPr>
          <w:p w:rsidR="00862D11" w:rsidRDefault="00862D11" w:rsidP="00F21613">
            <w:pPr>
              <w:pStyle w:val="TableContents"/>
            </w:pPr>
            <w:r>
              <w:t>6 (Satisfactory Condition)</w:t>
            </w:r>
          </w:p>
        </w:tc>
      </w:tr>
      <w:tr w:rsidR="00862D11" w:rsidTr="00862D11">
        <w:trPr>
          <w:jc w:val="center"/>
        </w:trPr>
        <w:tc>
          <w:tcPr>
            <w:tcW w:w="2604" w:type="dxa"/>
            <w:tcMar>
              <w:top w:w="0" w:type="dxa"/>
              <w:left w:w="0" w:type="dxa"/>
              <w:bottom w:w="0" w:type="dxa"/>
              <w:right w:w="0" w:type="dxa"/>
            </w:tcMar>
          </w:tcPr>
          <w:p w:rsidR="00862D11" w:rsidRDefault="00862D11" w:rsidP="00F21613">
            <w:pPr>
              <w:pStyle w:val="TableContents"/>
            </w:pPr>
            <w:r>
              <w:t>Superstructure Condition</w:t>
            </w:r>
          </w:p>
        </w:tc>
        <w:tc>
          <w:tcPr>
            <w:tcW w:w="2076" w:type="dxa"/>
            <w:tcMar>
              <w:top w:w="0" w:type="dxa"/>
              <w:left w:w="0" w:type="dxa"/>
              <w:bottom w:w="0" w:type="dxa"/>
              <w:right w:w="0" w:type="dxa"/>
            </w:tcMar>
          </w:tcPr>
          <w:p w:rsidR="00862D11" w:rsidRDefault="00862D11" w:rsidP="00F21613">
            <w:pPr>
              <w:pStyle w:val="TableContents"/>
            </w:pPr>
            <w:r>
              <w:t>7 (Good Condition)</w:t>
            </w:r>
          </w:p>
        </w:tc>
      </w:tr>
      <w:tr w:rsidR="00862D11" w:rsidTr="00862D11">
        <w:trPr>
          <w:jc w:val="center"/>
        </w:trPr>
        <w:tc>
          <w:tcPr>
            <w:tcW w:w="2604" w:type="dxa"/>
            <w:tcMar>
              <w:top w:w="0" w:type="dxa"/>
              <w:left w:w="0" w:type="dxa"/>
              <w:bottom w:w="0" w:type="dxa"/>
              <w:right w:w="0" w:type="dxa"/>
            </w:tcMar>
          </w:tcPr>
          <w:p w:rsidR="00862D11" w:rsidRDefault="00862D11" w:rsidP="00F21613">
            <w:pPr>
              <w:pStyle w:val="TableContents"/>
            </w:pPr>
            <w:r>
              <w:t>Substructure Condition</w:t>
            </w:r>
          </w:p>
        </w:tc>
        <w:tc>
          <w:tcPr>
            <w:tcW w:w="2076" w:type="dxa"/>
            <w:tcMar>
              <w:top w:w="0" w:type="dxa"/>
              <w:left w:w="0" w:type="dxa"/>
              <w:bottom w:w="0" w:type="dxa"/>
              <w:right w:w="0" w:type="dxa"/>
            </w:tcMar>
          </w:tcPr>
          <w:p w:rsidR="00862D11" w:rsidRDefault="00862D11" w:rsidP="00F21613">
            <w:pPr>
              <w:pStyle w:val="TableContents"/>
            </w:pPr>
            <w:r>
              <w:t>5 (Fair Condition)</w:t>
            </w:r>
          </w:p>
        </w:tc>
      </w:tr>
      <w:tr w:rsidR="00862D11" w:rsidTr="00862D11">
        <w:trPr>
          <w:jc w:val="center"/>
        </w:trPr>
        <w:tc>
          <w:tcPr>
            <w:tcW w:w="2604" w:type="dxa"/>
            <w:tcMar>
              <w:top w:w="0" w:type="dxa"/>
              <w:left w:w="0" w:type="dxa"/>
              <w:bottom w:w="0" w:type="dxa"/>
              <w:right w:w="0" w:type="dxa"/>
            </w:tcMar>
          </w:tcPr>
          <w:p w:rsidR="00862D11" w:rsidRDefault="00862D11" w:rsidP="00F21613">
            <w:pPr>
              <w:pStyle w:val="TableContents"/>
            </w:pPr>
            <w:r>
              <w:t>Sufficiency Rating</w:t>
            </w:r>
          </w:p>
        </w:tc>
        <w:tc>
          <w:tcPr>
            <w:tcW w:w="2076" w:type="dxa"/>
            <w:tcMar>
              <w:top w:w="0" w:type="dxa"/>
              <w:left w:w="0" w:type="dxa"/>
              <w:bottom w:w="0" w:type="dxa"/>
              <w:right w:w="0" w:type="dxa"/>
            </w:tcMar>
          </w:tcPr>
          <w:p w:rsidR="00862D11" w:rsidRDefault="00862D11" w:rsidP="00F21613">
            <w:pPr>
              <w:pStyle w:val="TableContents"/>
            </w:pPr>
            <w:r>
              <w:t>70</w:t>
            </w:r>
          </w:p>
        </w:tc>
      </w:tr>
    </w:tbl>
    <w:p w:rsidR="001E2057" w:rsidRDefault="00B31467" w:rsidP="00B31467">
      <w:pPr>
        <w:pStyle w:val="Heading2"/>
      </w:pPr>
      <w:r>
        <w:lastRenderedPageBreak/>
        <w:t>FE Model Creation</w:t>
      </w:r>
    </w:p>
    <w:p w:rsidR="00B31467" w:rsidRDefault="00B31467" w:rsidP="00B31467">
      <w:pPr>
        <w:pStyle w:val="Heading3"/>
      </w:pPr>
      <w:r>
        <w:t>3D Element-based model</w:t>
      </w:r>
    </w:p>
    <w:p w:rsidR="00B31467" w:rsidRDefault="00B31467" w:rsidP="00B31467">
      <w:r>
        <w:t xml:space="preserve">This model type employs </w:t>
      </w:r>
    </w:p>
    <w:p w:rsidR="00B31467" w:rsidRPr="00B31467" w:rsidRDefault="00B31467" w:rsidP="00B31467">
      <w:pPr>
        <w:pStyle w:val="Heading3"/>
      </w:pPr>
      <w:r>
        <w:t>Plate Eccentric-Beam (PEB) model</w:t>
      </w:r>
    </w:p>
    <w:p w:rsidR="00B31467" w:rsidRPr="00B31467" w:rsidRDefault="00B31467" w:rsidP="00B31467">
      <w:bookmarkStart w:id="0" w:name="_GoBack"/>
      <w:bookmarkEnd w:id="0"/>
    </w:p>
    <w:sectPr w:rsidR="00B31467" w:rsidRPr="00B31467" w:rsidSect="00ED3428">
      <w:headerReference w:type="default" r:id="rId11"/>
      <w:footerReference w:type="default" r:id="rId12"/>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114" w:rsidRDefault="000C1114" w:rsidP="004C7F36">
      <w:pPr>
        <w:spacing w:before="0" w:line="240" w:lineRule="auto"/>
      </w:pPr>
      <w:r>
        <w:separator/>
      </w:r>
    </w:p>
  </w:endnote>
  <w:endnote w:type="continuationSeparator" w:id="0">
    <w:p w:rsidR="000C1114" w:rsidRDefault="000C1114"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689" w:rsidRDefault="00895689">
    <w:pPr>
      <w:pStyle w:val="Footer"/>
      <w:jc w:val="right"/>
    </w:pPr>
  </w:p>
  <w:p w:rsidR="00895689" w:rsidRDefault="00895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114" w:rsidRDefault="000C1114" w:rsidP="004C7F36">
      <w:pPr>
        <w:spacing w:before="0" w:line="240" w:lineRule="auto"/>
      </w:pPr>
      <w:r>
        <w:separator/>
      </w:r>
    </w:p>
  </w:footnote>
  <w:footnote w:type="continuationSeparator" w:id="0">
    <w:p w:rsidR="000C1114" w:rsidRDefault="000C1114"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rsidR="00895689" w:rsidRDefault="00895689">
        <w:pPr>
          <w:pStyle w:val="Header"/>
          <w:jc w:val="right"/>
        </w:pPr>
        <w:r>
          <w:fldChar w:fldCharType="begin"/>
        </w:r>
        <w:r>
          <w:instrText xml:space="preserve"> PAGE   \* MERGEFORMAT </w:instrText>
        </w:r>
        <w:r>
          <w:fldChar w:fldCharType="separate"/>
        </w:r>
        <w:r w:rsidR="00862D11">
          <w:rPr>
            <w:noProof/>
          </w:rPr>
          <w:t>2</w:t>
        </w:r>
        <w:r>
          <w:rPr>
            <w:noProof/>
          </w:rPr>
          <w:fldChar w:fldCharType="end"/>
        </w:r>
      </w:p>
    </w:sdtContent>
  </w:sdt>
  <w:p w:rsidR="00895689" w:rsidRDefault="00895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16E8D"/>
    <w:rsid w:val="000C1114"/>
    <w:rsid w:val="000C649C"/>
    <w:rsid w:val="000E334A"/>
    <w:rsid w:val="000F6CE4"/>
    <w:rsid w:val="001076AD"/>
    <w:rsid w:val="00121D48"/>
    <w:rsid w:val="00170A6F"/>
    <w:rsid w:val="0019670A"/>
    <w:rsid w:val="001C4A01"/>
    <w:rsid w:val="001E2057"/>
    <w:rsid w:val="00204F71"/>
    <w:rsid w:val="00266CAE"/>
    <w:rsid w:val="00282282"/>
    <w:rsid w:val="002D3414"/>
    <w:rsid w:val="00345155"/>
    <w:rsid w:val="00391015"/>
    <w:rsid w:val="003D3FEB"/>
    <w:rsid w:val="003D487C"/>
    <w:rsid w:val="003F1CBD"/>
    <w:rsid w:val="00401DCD"/>
    <w:rsid w:val="00471215"/>
    <w:rsid w:val="0048509D"/>
    <w:rsid w:val="00496B8E"/>
    <w:rsid w:val="004C7F36"/>
    <w:rsid w:val="005116D6"/>
    <w:rsid w:val="00524D63"/>
    <w:rsid w:val="00532AF1"/>
    <w:rsid w:val="00535CE5"/>
    <w:rsid w:val="00550D12"/>
    <w:rsid w:val="00563D23"/>
    <w:rsid w:val="00594561"/>
    <w:rsid w:val="005A3C9A"/>
    <w:rsid w:val="005C4DA1"/>
    <w:rsid w:val="005D275C"/>
    <w:rsid w:val="005D609C"/>
    <w:rsid w:val="00614E65"/>
    <w:rsid w:val="00641A32"/>
    <w:rsid w:val="00663571"/>
    <w:rsid w:val="00670995"/>
    <w:rsid w:val="00680431"/>
    <w:rsid w:val="006C0FDB"/>
    <w:rsid w:val="006D2AEE"/>
    <w:rsid w:val="0070381E"/>
    <w:rsid w:val="007501B9"/>
    <w:rsid w:val="007D4F85"/>
    <w:rsid w:val="00800104"/>
    <w:rsid w:val="00832FCD"/>
    <w:rsid w:val="00862D11"/>
    <w:rsid w:val="00864BCE"/>
    <w:rsid w:val="00880CB6"/>
    <w:rsid w:val="00882542"/>
    <w:rsid w:val="00895689"/>
    <w:rsid w:val="008A062F"/>
    <w:rsid w:val="008C78FF"/>
    <w:rsid w:val="008C798D"/>
    <w:rsid w:val="008D03E8"/>
    <w:rsid w:val="008D5D73"/>
    <w:rsid w:val="00924885"/>
    <w:rsid w:val="00967B9D"/>
    <w:rsid w:val="009B20B7"/>
    <w:rsid w:val="009C6572"/>
    <w:rsid w:val="009C73C9"/>
    <w:rsid w:val="009F510F"/>
    <w:rsid w:val="00A31AAB"/>
    <w:rsid w:val="00AC535D"/>
    <w:rsid w:val="00AE2838"/>
    <w:rsid w:val="00B132EE"/>
    <w:rsid w:val="00B14A85"/>
    <w:rsid w:val="00B31467"/>
    <w:rsid w:val="00B35392"/>
    <w:rsid w:val="00B64DB8"/>
    <w:rsid w:val="00B76B18"/>
    <w:rsid w:val="00B93A95"/>
    <w:rsid w:val="00BB19CD"/>
    <w:rsid w:val="00BF1DF6"/>
    <w:rsid w:val="00C24BD9"/>
    <w:rsid w:val="00C62BD1"/>
    <w:rsid w:val="00CA1B24"/>
    <w:rsid w:val="00CD3ED8"/>
    <w:rsid w:val="00CE0102"/>
    <w:rsid w:val="00D275D4"/>
    <w:rsid w:val="00D328AB"/>
    <w:rsid w:val="00D353C7"/>
    <w:rsid w:val="00E077D1"/>
    <w:rsid w:val="00E26DF5"/>
    <w:rsid w:val="00E41109"/>
    <w:rsid w:val="00E42662"/>
    <w:rsid w:val="00EC77AC"/>
    <w:rsid w:val="00ED1DB4"/>
    <w:rsid w:val="00ED3428"/>
    <w:rsid w:val="00F20819"/>
    <w:rsid w:val="00F20E06"/>
    <w:rsid w:val="00F478B0"/>
    <w:rsid w:val="00F8034A"/>
    <w:rsid w:val="00F808A6"/>
    <w:rsid w:val="00FA2211"/>
    <w:rsid w:val="00FE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A531"/>
  <w15:docId w15:val="{B770FB1E-EAA6-4D2B-AF4F-78814A46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paragraph" w:styleId="Title">
    <w:name w:val="Title"/>
    <w:basedOn w:val="Normal"/>
    <w:next w:val="Normal"/>
    <w:link w:val="TitleChar"/>
    <w:uiPriority w:val="10"/>
    <w:qFormat/>
    <w:rsid w:val="001E20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057"/>
    <w:rPr>
      <w:rFonts w:asciiTheme="majorHAnsi" w:eastAsiaTheme="majorEastAsia" w:hAnsiTheme="majorHAnsi" w:cstheme="majorBidi"/>
      <w:color w:val="17365D" w:themeColor="text2" w:themeShade="BF"/>
      <w:spacing w:val="5"/>
      <w:kern w:val="28"/>
      <w:sz w:val="52"/>
      <w:szCs w:val="52"/>
    </w:rPr>
  </w:style>
  <w:style w:type="paragraph" w:customStyle="1" w:styleId="FigureCaption">
    <w:name w:val="FigureCaption"/>
    <w:basedOn w:val="Caption"/>
    <w:rsid w:val="00862D11"/>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862D11"/>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862D11"/>
    <w:rPr>
      <w:b/>
      <w:bCs/>
    </w:rPr>
  </w:style>
  <w:style w:type="paragraph" w:customStyle="1" w:styleId="Firstparagraph">
    <w:name w:val="First paragraph"/>
    <w:basedOn w:val="Normal"/>
    <w:next w:val="Normal"/>
    <w:rsid w:val="00862D11"/>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B44136B-9F37-4876-8854-CD133745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cp:lastModifiedBy>
  <cp:revision>4</cp:revision>
  <dcterms:created xsi:type="dcterms:W3CDTF">2019-01-09T19:10:00Z</dcterms:created>
  <dcterms:modified xsi:type="dcterms:W3CDTF">2019-01-24T14:06:00Z</dcterms:modified>
</cp:coreProperties>
</file>