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783" w:rsidRDefault="003C3783" w:rsidP="003C3783">
      <w:pPr>
        <w:pStyle w:val="Heading1"/>
      </w:pPr>
      <w:bookmarkStart w:id="0" w:name="_Toc505275138"/>
      <w:r>
        <w:t>State of the Art</w:t>
      </w:r>
      <w:bookmarkEnd w:id="0"/>
      <w:r>
        <w:t xml:space="preserve"> Review</w:t>
      </w:r>
    </w:p>
    <w:p w:rsidR="003C3783" w:rsidRDefault="003C3783"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w:t>
      </w:r>
      <w:proofErr w:type="gramStart"/>
      <w:r>
        <w:t>actually due</w:t>
      </w:r>
      <w:proofErr w:type="gramEnd"/>
      <w:r>
        <w:t xml:space="preserve"> to the interaction of the two dynamic systems. The industry accounts for this disparity by applying a </w:t>
      </w:r>
      <w:r w:rsidR="00260569">
        <w:t xml:space="preserve">“dynamic amplification” </w:t>
      </w:r>
      <w:r>
        <w:t xml:space="preserve">factor to the static load or response, thereby attempting to increase the calculated response to match that which the bridge may </w:t>
      </w:r>
      <w:proofErr w:type="gramStart"/>
      <w:r>
        <w:t>actually experience</w:t>
      </w:r>
      <w:proofErr w:type="gramEnd"/>
      <w:r>
        <w:t xml:space="preserve"> under moving vehicles. </w:t>
      </w:r>
    </w:p>
    <w:p w:rsidR="003C3783" w:rsidRDefault="003C3783" w:rsidP="003C3783">
      <w:r>
        <w:t xml:space="preserve">The magnitude of this factor (IM or DAF) differs depending on the reference code being used, but in many cases, has been developed from extensive surveying of existing structures and the amplifications they experience. </w:t>
      </w:r>
    </w:p>
    <w:p w:rsidR="003C3783" w:rsidRDefault="003C3783" w:rsidP="003C3783">
      <w:pPr>
        <w:pStyle w:val="Heading2"/>
      </w:pPr>
      <w:bookmarkStart w:id="1" w:name="_Toc505275139"/>
      <w:r>
        <w:t>Dynamic Amplification in Bridge Codes</w:t>
      </w:r>
      <w:bookmarkEnd w:id="1"/>
    </w:p>
    <w:p w:rsidR="003C3783" w:rsidRDefault="003C3783" w:rsidP="003C3783">
      <w:r>
        <w:t xml:space="preserve">The various design and evaluation codes handle dynamic amplification in slightly different ways, but they all specify a factor that is to be applied to the loading model. In the current AASHTO </w:t>
      </w:r>
      <w:r w:rsidR="00260569">
        <w:fldChar w:fldCharType="begin"/>
      </w:r>
      <w:r w:rsidR="00260569">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rsidR="00260569">
        <w:fldChar w:fldCharType="separate"/>
      </w:r>
      <w:r w:rsidR="00260569" w:rsidRPr="00260569">
        <w:rPr>
          <w:rFonts w:ascii="Calibri" w:hAnsi="Calibri" w:cs="Calibri"/>
        </w:rPr>
        <w:t>(2014)</w:t>
      </w:r>
      <w:r w:rsidR="00260569">
        <w:fldChar w:fldCharType="end"/>
      </w:r>
      <w:r>
        <w:t xml:space="preserve"> </w:t>
      </w:r>
      <w:r>
        <w:rPr>
          <w:i/>
        </w:rPr>
        <w:t>LRFD Bridge Design Specification</w:t>
      </w:r>
      <w:r>
        <w:t xml:space="preserve"> the impact factor is dependent on road surface roughness, ranging from 0.1 to 0.3. The AASHTO </w:t>
      </w:r>
      <w:r w:rsidR="00855CE3">
        <w:fldChar w:fldCharType="begin"/>
      </w:r>
      <w:r w:rsidR="00855CE3">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rsidR="00855CE3">
        <w:fldChar w:fldCharType="separate"/>
      </w:r>
      <w:r w:rsidR="00855CE3" w:rsidRPr="00855CE3">
        <w:rPr>
          <w:rFonts w:ascii="Calibri" w:hAnsi="Calibri" w:cs="Calibri"/>
        </w:rPr>
        <w:t>(2018)</w:t>
      </w:r>
      <w:r w:rsidR="00855CE3">
        <w:fldChar w:fldCharType="end"/>
      </w:r>
      <w:r>
        <w:t xml:space="preserve"> </w:t>
      </w:r>
      <w:r>
        <w:rPr>
          <w:i/>
        </w:rPr>
        <w:t>Manual for Bridge Evaluation</w:t>
      </w:r>
      <w:r>
        <w:t xml:space="preserve"> specifies an impact factor of 0.33</w:t>
      </w:r>
      <w:r w:rsidR="00BF2132">
        <w:t xml:space="preserve"> (0.15 for fatigue limit states, 0.75 for joints)</w:t>
      </w:r>
      <w:r>
        <w:t>. The British code includes an IM of 0.25 in its two design load models.</w:t>
      </w:r>
    </w:p>
    <w:p w:rsidR="003C3783" w:rsidRDefault="003C3783"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w:t>
      </w:r>
      <w:r>
        <w:lastRenderedPageBreak/>
        <w:t xml:space="preserve">An impact factor of 0.4 is specified for wheel and axle loads, and 0.35 for triaxle truck and lane load. </w:t>
      </w:r>
      <w:r w:rsidR="000120EB">
        <w:fldChar w:fldCharType="begin"/>
      </w:r>
      <w:r w:rsidR="000120EB">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rsidR="000120EB">
        <w:fldChar w:fldCharType="separate"/>
      </w:r>
      <w:r w:rsidR="000120EB" w:rsidRPr="000120EB">
        <w:rPr>
          <w:rFonts w:ascii="Calibri" w:hAnsi="Calibri" w:cs="Calibri"/>
        </w:rPr>
        <w:t>(Canadian Standards Association, 2006)</w:t>
      </w:r>
      <w:r w:rsidR="000120EB">
        <w:fldChar w:fldCharType="end"/>
      </w:r>
    </w:p>
    <w:p w:rsidR="003C3783" w:rsidRDefault="003C3783" w:rsidP="003C3783">
      <w:r>
        <w:t xml:space="preserve">The Chinese code’s factors are a function of bridge’s first natural frequency, with a lower bound of 0.05 and an upper bound of 0.45. A bridge with a first natural frequency below 5 Hz would have a specified impact factor less than 0.25. </w:t>
      </w:r>
      <w:r w:rsidR="000120EB">
        <w:fldChar w:fldCharType="begin"/>
      </w:r>
      <w:r w:rsidR="000120EB">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rsidR="000120EB">
        <w:fldChar w:fldCharType="separate"/>
      </w:r>
      <w:r w:rsidR="000120EB" w:rsidRPr="000120EB">
        <w:rPr>
          <w:rFonts w:ascii="Calibri" w:hAnsi="Calibri" w:cs="Calibri"/>
          <w:szCs w:val="24"/>
        </w:rPr>
        <w:t>(Ministry of Transport of the People’s Republic of China (MTPRC), 2004)</w:t>
      </w:r>
      <w:r w:rsidR="000120EB">
        <w:fldChar w:fldCharType="end"/>
      </w:r>
    </w:p>
    <w:p w:rsidR="003C3783" w:rsidRDefault="003C3783" w:rsidP="003C3783">
      <w:r>
        <w:t>The New Zealand, European, and Japanese codes all specify factors as a function of bridge span length with the factors decreasing with increased span length. The New Zealand code has a maximum IM of 0.30 for span lengths less than 12 meters</w:t>
      </w:r>
      <w:r w:rsidR="000120EB">
        <w:t xml:space="preserve"> </w:t>
      </w:r>
      <w:r w:rsidR="000120EB">
        <w:fldChar w:fldCharType="begin"/>
      </w:r>
      <w:r w:rsidR="000120EB">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rsidR="000120EB">
        <w:fldChar w:fldCharType="separate"/>
      </w:r>
      <w:r w:rsidR="000120EB" w:rsidRPr="000120EB">
        <w:rPr>
          <w:rFonts w:ascii="Calibri" w:hAnsi="Calibri" w:cs="Calibri"/>
        </w:rPr>
        <w:t>(New Zealand Transport Agency (NZTA), 2013)</w:t>
      </w:r>
      <w:r w:rsidR="000120EB">
        <w:fldChar w:fldCharType="end"/>
      </w:r>
      <w:r>
        <w:t>. The equation for IM specified by the Japanese code is different for different bridge types</w:t>
      </w:r>
      <w:r w:rsidR="000120EB">
        <w:t xml:space="preserve"> </w:t>
      </w:r>
      <w:r w:rsidR="000120EB">
        <w:fldChar w:fldCharType="begin"/>
      </w:r>
      <w:r w:rsidR="000120EB">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rsidR="000120EB">
        <w:fldChar w:fldCharType="separate"/>
      </w:r>
      <w:r w:rsidR="000120EB" w:rsidRPr="000120EB">
        <w:rPr>
          <w:rFonts w:ascii="Calibri" w:hAnsi="Calibri" w:cs="Calibri"/>
        </w:rPr>
        <w:t>(Japan Road Association (JRA), 1996)</w:t>
      </w:r>
      <w:r w:rsidR="000120EB">
        <w:fldChar w:fldCharType="end"/>
      </w:r>
      <w:r>
        <w:t xml:space="preserve">. A steel or RC bridge with a span length of 40 feet for instance would be assigned an IM equal to 0.32. </w:t>
      </w:r>
    </w:p>
    <w:p w:rsidR="003C3783" w:rsidRPr="001C2F8E" w:rsidRDefault="003C3783" w:rsidP="003C3783">
      <w:r>
        <w:t xml:space="preserve">The equation specified by the European code differs dependent on the number of lanes. For a single-lane bridge, the impact factor may range from 0.4 to 0.7, while that for a two-lane bridge </w:t>
      </w:r>
      <w:proofErr w:type="gramStart"/>
      <w:r>
        <w:t>ranges</w:t>
      </w:r>
      <w:proofErr w:type="gramEnd"/>
      <w:r>
        <w:t xml:space="preserve"> from 0.1 to 0.3. </w:t>
      </w:r>
      <w:r w:rsidR="000120EB">
        <w:fldChar w:fldCharType="begin"/>
      </w:r>
      <w:r w:rsidR="000120EB">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rsidR="000120EB">
        <w:fldChar w:fldCharType="separate"/>
      </w:r>
      <w:r w:rsidR="000120EB" w:rsidRPr="000120EB">
        <w:rPr>
          <w:rFonts w:ascii="Calibri" w:hAnsi="Calibri" w:cs="Calibri"/>
        </w:rPr>
        <w:t>(European Committee for Standardization (CEN), 2003)</w:t>
      </w:r>
      <w:r w:rsidR="000120EB">
        <w:fldChar w:fldCharType="end"/>
      </w:r>
      <w:bookmarkStart w:id="2" w:name="_GoBack"/>
      <w:bookmarkEnd w:id="2"/>
    </w:p>
    <w:p w:rsidR="003C3783" w:rsidRDefault="003C3783" w:rsidP="003C3783">
      <w:pPr>
        <w:pStyle w:val="Heading2"/>
      </w:pPr>
      <w:bookmarkStart w:id="3" w:name="_Toc505275140"/>
      <w:r>
        <w:t>Experimental Evaluation of Amplification Factors</w:t>
      </w:r>
      <w:bookmarkEnd w:id="3"/>
    </w:p>
    <w:p w:rsidR="003C3783" w:rsidRDefault="003C3783" w:rsidP="003C3783">
      <w:proofErr w:type="gramStart"/>
      <w:r>
        <w:t>A large number of</w:t>
      </w:r>
      <w:proofErr w:type="gramEnd"/>
      <w:r>
        <w:t xml:space="preserve"> field tests were carried out in various countries over the years, in-part, for the development of bridge design codes. In the 1950’s, AASHTO sponsored a major investigation, for which 18 newly constructed bridges were selected </w:t>
      </w:r>
      <w:proofErr w:type="gramStart"/>
      <w:r>
        <w:t>for the purpose of</w:t>
      </w:r>
      <w:proofErr w:type="gramEnd"/>
      <w:r>
        <w:t xml:space="preserve">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w:t>
      </w:r>
      <w:r>
        <w:lastRenderedPageBreak/>
        <w:t xml:space="preserve">recorded from these tests was 1.63 for displacements and 1.41 for strains, however, 95% of the measured amplification factors fell below the value specified by the current code at the time. </w:t>
      </w:r>
      <w:r>
        <w:fldChar w:fldCharType="begin"/>
      </w:r>
      <w:r w:rsidR="00260569">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Paultre</w:t>
      </w:r>
      <w:proofErr w:type="spellEnd"/>
      <w:r w:rsidR="00260569" w:rsidRPr="00260569">
        <w:rPr>
          <w:rFonts w:ascii="Calibri" w:hAnsi="Calibri" w:cs="Calibri"/>
        </w:rPr>
        <w:t xml:space="preserve"> et al., 1992)</w:t>
      </w:r>
      <w:r>
        <w:fldChar w:fldCharType="end"/>
      </w:r>
    </w:p>
    <w:p w:rsidR="003C3783" w:rsidRDefault="003C3783" w:rsidP="003C3783">
      <w:r>
        <w:t>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w:t>
      </w:r>
      <w:r w:rsidR="00AC7D99">
        <w:t xml:space="preserve"> </w:t>
      </w:r>
      <w:r w:rsidR="00AC7D99">
        <w:fldChar w:fldCharType="begin"/>
      </w:r>
      <w:r w:rsidR="00AC7D99">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rsidR="00AC7D99">
        <w:fldChar w:fldCharType="separate"/>
      </w:r>
      <w:r w:rsidR="00AC7D99" w:rsidRPr="00AC7D99">
        <w:rPr>
          <w:rFonts w:ascii="Calibri" w:hAnsi="Calibri" w:cs="Calibri"/>
        </w:rPr>
        <w:t>(Wright and Green, 1964)</w:t>
      </w:r>
      <w:r w:rsidR="00AC7D99">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rsidR="00260569">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Paultre</w:t>
      </w:r>
      <w:proofErr w:type="spellEnd"/>
      <w:r w:rsidR="00260569" w:rsidRPr="00260569">
        <w:rPr>
          <w:rFonts w:ascii="Calibri" w:hAnsi="Calibri" w:cs="Calibri"/>
        </w:rPr>
        <w:t xml:space="preserve"> et al., 1992)</w:t>
      </w:r>
      <w:r>
        <w:fldChar w:fldCharType="end"/>
      </w:r>
      <w:r>
        <w:t>. Additional tests were carried out in Canada in the 1970s and 1980s. Amplifications factors were obtained as high as 1.85 with higher factors obtained from bridges with first fundamental frequencies of 2 to 5 Hz</w:t>
      </w:r>
      <w:r w:rsidR="00AC7D99">
        <w:t xml:space="preserve"> </w:t>
      </w:r>
      <w:r w:rsidR="00AC7D99">
        <w:fldChar w:fldCharType="begin"/>
      </w:r>
      <w:r w:rsidR="00AC7D99">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rsidR="00AC7D99">
        <w:fldChar w:fldCharType="separate"/>
      </w:r>
      <w:r w:rsidR="00AC7D99" w:rsidRPr="00AC7D99">
        <w:rPr>
          <w:rFonts w:ascii="Calibri" w:hAnsi="Calibri" w:cs="Calibri"/>
        </w:rPr>
        <w:t>(Billing, 1984)</w:t>
      </w:r>
      <w:r w:rsidR="00AC7D99">
        <w:fldChar w:fldCharType="end"/>
      </w:r>
      <w:r>
        <w:t>. Similar results were obtained from field tests of more than 200 bridges in Switzerland, with amplification factors as high as 1.7 for bridges with a first fundamental frequency between 2 and 4 Hz</w:t>
      </w:r>
      <w:r w:rsidR="00AC7D99">
        <w:t xml:space="preserve"> </w:t>
      </w:r>
      <w:r w:rsidR="00AC7D99">
        <w:fldChar w:fldCharType="begin"/>
      </w:r>
      <w:r w:rsidR="00AC7D99">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rsidR="00AC7D99">
        <w:fldChar w:fldCharType="separate"/>
      </w:r>
      <w:r w:rsidR="00AC7D99" w:rsidRPr="00AC7D99">
        <w:rPr>
          <w:rFonts w:ascii="Calibri" w:hAnsi="Calibri" w:cs="Calibri"/>
        </w:rPr>
        <w:t>(</w:t>
      </w:r>
      <w:proofErr w:type="spellStart"/>
      <w:r w:rsidR="00AC7D99" w:rsidRPr="00AC7D99">
        <w:rPr>
          <w:rFonts w:ascii="Calibri" w:hAnsi="Calibri" w:cs="Calibri"/>
        </w:rPr>
        <w:t>Cantieni</w:t>
      </w:r>
      <w:proofErr w:type="spellEnd"/>
      <w:r w:rsidR="00AC7D99" w:rsidRPr="00AC7D99">
        <w:rPr>
          <w:rFonts w:ascii="Calibri" w:hAnsi="Calibri" w:cs="Calibri"/>
        </w:rPr>
        <w:t>, 1983)</w:t>
      </w:r>
      <w:r w:rsidR="00AC7D99">
        <w:fldChar w:fldCharType="end"/>
      </w:r>
      <w:r>
        <w:t xml:space="preserve">. </w:t>
      </w:r>
      <w:r>
        <w:fldChar w:fldCharType="begin"/>
      </w:r>
      <w:r w:rsidR="00260569">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00260569" w:rsidRPr="00260569">
        <w:rPr>
          <w:rFonts w:ascii="Calibri" w:hAnsi="Calibri" w:cs="Calibri"/>
        </w:rPr>
        <w:t>(Deng et al., 2015)</w:t>
      </w:r>
      <w:r>
        <w:fldChar w:fldCharType="end"/>
      </w:r>
    </w:p>
    <w:p w:rsidR="003C3783" w:rsidRDefault="003C3783"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w:t>
      </w:r>
      <w:r>
        <w:lastRenderedPageBreak/>
        <w:t xml:space="preserve">responses with and without road profile, the authors were able to show that road surface irregularities have a significant impact on dynamic amplification. </w:t>
      </w:r>
      <w:r>
        <w:fldChar w:fldCharType="begin"/>
      </w:r>
      <w:r w:rsidR="00260569">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00260569" w:rsidRPr="00260569">
        <w:rPr>
          <w:rFonts w:ascii="Calibri" w:hAnsi="Calibri" w:cs="Calibri"/>
        </w:rPr>
        <w:t>(Kwasniewski et al., 2006b)</w:t>
      </w:r>
      <w:r>
        <w:fldChar w:fldCharType="end"/>
      </w:r>
    </w:p>
    <w:p w:rsidR="003C3783" w:rsidRPr="004E14BA" w:rsidRDefault="003C3783" w:rsidP="003C3783">
      <w:pPr>
        <w:pStyle w:val="Heading2"/>
      </w:pPr>
      <w:bookmarkStart w:id="4" w:name="_Toc505275141"/>
      <w:r>
        <w:t>Modeling Vehicle-Bridge Interaction</w:t>
      </w:r>
      <w:bookmarkEnd w:id="4"/>
    </w:p>
    <w:p w:rsidR="003C3783" w:rsidRDefault="003C3783" w:rsidP="003C3783">
      <w:r>
        <w:t xml:space="preserve">While much can be gleaned from experimental investigations, they are often expensive, and require a large amount of resources and time. For this reason, analytical methods are often employed, especially where </w:t>
      </w:r>
      <w:proofErr w:type="gramStart"/>
      <w:r>
        <w:t>a large number of</w:t>
      </w:r>
      <w:proofErr w:type="gramEnd"/>
      <w:r>
        <w:t xml:space="preserve"> situations need to be investigated (i.e. parametric studies). </w:t>
      </w:r>
    </w:p>
    <w:p w:rsidR="00D84430" w:rsidRPr="00EA215F" w:rsidRDefault="00D84430" w:rsidP="00D84430">
      <w:pPr>
        <w:pStyle w:val="Heading3"/>
      </w:pPr>
      <w:r>
        <w:t>Model Forms</w:t>
      </w:r>
    </w:p>
    <w:p w:rsidR="003C3783" w:rsidRDefault="003C3783" w:rsidP="003C3783">
      <w:r>
        <w:t xml:space="preserve">In early studies, vehicle-bridge interaction was analyzed by representing the bridge as a beam, and the vehicles as point forces or point masses moving across the beam </w:t>
      </w:r>
      <w:r>
        <w:fldChar w:fldCharType="begin"/>
      </w:r>
      <w:r w:rsidR="00260569">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00260569"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rsidR="00260569">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Ashebo</w:t>
      </w:r>
      <w:proofErr w:type="spellEnd"/>
      <w:r w:rsidR="00260569" w:rsidRPr="00260569">
        <w:rPr>
          <w:rFonts w:ascii="Calibri" w:hAnsi="Calibri" w:cs="Calibri"/>
        </w:rPr>
        <w:t xml:space="preserve"> et al., 2007)</w:t>
      </w:r>
      <w:r>
        <w:fldChar w:fldCharType="end"/>
      </w:r>
      <w:r>
        <w:t xml:space="preserve"> or full 3D FE models </w:t>
      </w:r>
      <w:r>
        <w:fldChar w:fldCharType="begin"/>
      </w:r>
      <w:r w:rsidR="00260569">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00260569"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rsidR="00260569">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00260569" w:rsidRPr="00260569">
        <w:rPr>
          <w:rFonts w:ascii="Calibri" w:hAnsi="Calibri" w:cs="Calibri"/>
        </w:rPr>
        <w:t>(Yang et al., 2004)</w:t>
      </w:r>
      <w:r>
        <w:fldChar w:fldCharType="end"/>
      </w:r>
      <w:r>
        <w:t xml:space="preserve">. It often consists of a single </w:t>
      </w:r>
      <w:r w:rsidR="00855CE3">
        <w:t>DOF but</w:t>
      </w:r>
      <w:r>
        <w:t xml:space="preserve">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rsidR="00260569">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00260569"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rsidR="00260569">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OBrien</w:t>
      </w:r>
      <w:proofErr w:type="spellEnd"/>
      <w:r w:rsidR="00260569" w:rsidRPr="00260569">
        <w:rPr>
          <w:rFonts w:ascii="Calibri" w:hAnsi="Calibri" w:cs="Calibri"/>
        </w:rPr>
        <w:t xml:space="preserve"> et al., 2010)</w:t>
      </w:r>
      <w:r>
        <w:fldChar w:fldCharType="end"/>
      </w:r>
      <w:r>
        <w:t xml:space="preserve">. </w:t>
      </w:r>
    </w:p>
    <w:p w:rsidR="00D84430" w:rsidRDefault="00D84430" w:rsidP="00D84430">
      <w:pPr>
        <w:pStyle w:val="Heading3"/>
      </w:pPr>
      <w:r>
        <w:lastRenderedPageBreak/>
        <w:t>Traffic Models</w:t>
      </w:r>
    </w:p>
    <w:p w:rsidR="003C3783" w:rsidRDefault="003C3783"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rsidR="00260569">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Caprani</w:t>
      </w:r>
      <w:proofErr w:type="spellEnd"/>
      <w:r w:rsidR="00260569" w:rsidRPr="00260569">
        <w:rPr>
          <w:rFonts w:ascii="Calibri" w:hAnsi="Calibri" w:cs="Calibri"/>
        </w:rPr>
        <w:t>, 2012; Zhang et al., 2001)</w:t>
      </w:r>
      <w:r>
        <w:fldChar w:fldCharType="end"/>
      </w:r>
      <w:r>
        <w:t xml:space="preserve"> </w:t>
      </w:r>
    </w:p>
    <w:p w:rsidR="00D84430" w:rsidRDefault="00D84430" w:rsidP="00D84430">
      <w:pPr>
        <w:pStyle w:val="Heading3"/>
      </w:pPr>
      <w:r>
        <w:t>Profile Generation</w:t>
      </w:r>
    </w:p>
    <w:p w:rsidR="003C3783" w:rsidRDefault="003C3783"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rsidR="00260569">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00260569"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rsidR="00260569">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00260569"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proofErr w:type="spellStart"/>
      <w:r w:rsidRPr="00200F87">
        <w:rPr>
          <w:rFonts w:cs="Times New Roman"/>
        </w:rPr>
        <w:t>Loprencipe</w:t>
      </w:r>
      <w:proofErr w:type="spellEnd"/>
      <w:r w:rsidRPr="00200F87">
        <w:rPr>
          <w:rFonts w:cs="Times New Roman"/>
        </w:rPr>
        <w:t xml:space="preserv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rsidR="00260569">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855CE3" w:rsidRDefault="00855CE3" w:rsidP="00855CE3">
      <w:r>
        <w:t>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w:t>
      </w:r>
      <w:r>
        <w:t xml:space="preserve"> sine functions with amplitudes set according to PSD parameters</w:t>
      </w:r>
      <w:r w:rsidR="005F7971">
        <w:t xml:space="preserve"> </w:t>
      </w:r>
      <w:r w:rsidR="00D84430">
        <w:fldChar w:fldCharType="begin"/>
      </w:r>
      <w:r w:rsidR="00D84430">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rsidR="00D84430">
        <w:fldChar w:fldCharType="separate"/>
      </w:r>
      <w:r w:rsidR="00D84430" w:rsidRPr="00D84430">
        <w:rPr>
          <w:rFonts w:ascii="Calibri" w:hAnsi="Calibri" w:cs="Calibri"/>
        </w:rPr>
        <w:t>(Tyan et al., 2009)</w:t>
      </w:r>
      <w:r w:rsidR="00D84430">
        <w:fldChar w:fldCharType="end"/>
      </w:r>
      <w:r>
        <w:t>. These parameter</w:t>
      </w:r>
      <w:r>
        <w:t>s</w:t>
      </w:r>
      <w:r>
        <w:t xml:space="preserve"> include a waviness value (</w:t>
      </w:r>
      <w:r>
        <w:rPr>
          <w:i/>
        </w:rPr>
        <w:t>w</w:t>
      </w:r>
      <w:r>
        <w:t xml:space="preserve">) and the amplitude of the PSD function at a </w:t>
      </w:r>
      <w:r>
        <w:lastRenderedPageBreak/>
        <w:t>spatial wavelength equal to 10 meters (</w:t>
      </w:r>
      <w:r w:rsidRPr="00F60B64">
        <w:rPr>
          <w:i/>
        </w:rPr>
        <w:t>C</w:t>
      </w:r>
      <w:r w:rsidRPr="00F60B64">
        <w:rPr>
          <w:i/>
          <w:vertAlign w:val="subscript"/>
        </w:rPr>
        <w:t>10</w:t>
      </w:r>
      <w:r>
        <w:t xml:space="preserve">). The PSD amplitude of each </w:t>
      </w:r>
      <w:r w:rsidR="00542657">
        <w:t xml:space="preserve">spatial </w:t>
      </w:r>
      <w:r>
        <w:t xml:space="preserve">frequency band </w:t>
      </w:r>
      <w:r w:rsidR="00542657">
        <w:t>(</w:t>
      </w:r>
      <w:r w:rsidR="00542657" w:rsidRPr="005F7971">
        <w:rPr>
          <w:i/>
        </w:rPr>
        <w:t>n</w:t>
      </w:r>
      <w:r w:rsidR="00542657">
        <w:t xml:space="preserve">) </w:t>
      </w:r>
      <w:r>
        <w:t>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855CE3" w:rsidTr="00643682">
        <w:tc>
          <w:tcPr>
            <w:tcW w:w="7776" w:type="dxa"/>
          </w:tcPr>
          <w:p w:rsidR="00855CE3" w:rsidRPr="00CB0CF3" w:rsidRDefault="00855CE3"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855CE3" w:rsidRPr="00BD6DB7" w:rsidRDefault="00855CE3" w:rsidP="00643682">
            <w:pPr>
              <w:pStyle w:val="EquationCaptions"/>
            </w:pPr>
            <w:r>
              <w:t>(</w:t>
            </w:r>
            <w:r w:rsidR="00643682">
              <w:fldChar w:fldCharType="begin"/>
            </w:r>
            <w:r w:rsidR="00643682">
              <w:instrText xml:space="preserve"> SEQ Equation \* ARABIC </w:instrText>
            </w:r>
            <w:r w:rsidR="00643682">
              <w:fldChar w:fldCharType="separate"/>
            </w:r>
            <w:r w:rsidR="00643682">
              <w:rPr>
                <w:noProof/>
              </w:rPr>
              <w:t>1</w:t>
            </w:r>
            <w:r w:rsidR="00643682">
              <w:fldChar w:fldCharType="end"/>
            </w:r>
            <w:r>
              <w:t>)</w:t>
            </w:r>
          </w:p>
        </w:tc>
      </w:tr>
    </w:tbl>
    <w:p w:rsidR="00724533" w:rsidRDefault="00724533"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5F7971" w:rsidTr="00643682">
        <w:tc>
          <w:tcPr>
            <w:tcW w:w="7776" w:type="dxa"/>
          </w:tcPr>
          <w:p w:rsidR="005F7971" w:rsidRPr="00CB0CF3" w:rsidRDefault="005F7971"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5F7971" w:rsidRPr="00BD6DB7" w:rsidRDefault="005F7971" w:rsidP="00643682">
            <w:pPr>
              <w:pStyle w:val="EquationCaptions"/>
            </w:pPr>
            <w:r>
              <w:t>(</w:t>
            </w:r>
            <w:r w:rsidR="00643682">
              <w:fldChar w:fldCharType="begin"/>
            </w:r>
            <w:r w:rsidR="00643682">
              <w:instrText xml:space="preserve"> SEQ Equation \* ARABIC </w:instrText>
            </w:r>
            <w:r w:rsidR="00643682">
              <w:fldChar w:fldCharType="separate"/>
            </w:r>
            <w:r w:rsidR="00643682">
              <w:rPr>
                <w:noProof/>
              </w:rPr>
              <w:t>2</w:t>
            </w:r>
            <w:r w:rsidR="00643682">
              <w:fldChar w:fldCharType="end"/>
            </w:r>
            <w:r>
              <w:t>)</w:t>
            </w:r>
          </w:p>
        </w:tc>
      </w:tr>
    </w:tbl>
    <w:p w:rsidR="005F7971" w:rsidRDefault="005F7971"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proofErr w:type="spellStart"/>
      <w:r w:rsidRPr="005F7971">
        <w:rPr>
          <w:rFonts w:cstheme="minorHAnsi"/>
          <w:i/>
        </w:rPr>
        <w:t>ϕ</w:t>
      </w:r>
      <w:r w:rsidRPr="005F7971">
        <w:rPr>
          <w:i/>
          <w:vertAlign w:val="subscript"/>
        </w:rPr>
        <w:t>i</w:t>
      </w:r>
      <w:proofErr w:type="spellEnd"/>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5F7971" w:rsidTr="00643682">
        <w:tc>
          <w:tcPr>
            <w:tcW w:w="7776" w:type="dxa"/>
          </w:tcPr>
          <w:p w:rsidR="005F7971" w:rsidRPr="00CB0CF3" w:rsidRDefault="005F7971"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5F7971" w:rsidRPr="00BD6DB7" w:rsidRDefault="005F7971" w:rsidP="00643682">
            <w:pPr>
              <w:pStyle w:val="EquationCaptions"/>
            </w:pPr>
            <w:r>
              <w:t>(</w:t>
            </w:r>
            <w:r w:rsidR="00643682">
              <w:fldChar w:fldCharType="begin"/>
            </w:r>
            <w:r w:rsidR="00643682">
              <w:instrText xml:space="preserve"> SEQ Equation \* ARABIC </w:instrText>
            </w:r>
            <w:r w:rsidR="00643682">
              <w:fldChar w:fldCharType="separate"/>
            </w:r>
            <w:r w:rsidR="00643682">
              <w:rPr>
                <w:noProof/>
              </w:rPr>
              <w:t>3</w:t>
            </w:r>
            <w:r w:rsidR="00643682">
              <w:fldChar w:fldCharType="end"/>
            </w:r>
            <w:r>
              <w:t>)</w:t>
            </w:r>
          </w:p>
        </w:tc>
      </w:tr>
    </w:tbl>
    <w:p w:rsidR="0071045B" w:rsidRDefault="00246460"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 xml:space="preserve">(González et al., 2011; </w:t>
      </w:r>
      <w:proofErr w:type="spellStart"/>
      <w:r w:rsidRPr="00246460">
        <w:rPr>
          <w:rFonts w:ascii="Calibri" w:hAnsi="Calibri" w:cs="Calibri"/>
          <w:szCs w:val="24"/>
        </w:rPr>
        <w:t>McGetrick</w:t>
      </w:r>
      <w:proofErr w:type="spellEnd"/>
      <w:r w:rsidRPr="00246460">
        <w:rPr>
          <w:rFonts w:ascii="Calibri" w:hAnsi="Calibri" w:cs="Calibri"/>
          <w:szCs w:val="24"/>
        </w:rPr>
        <w:t xml:space="preserve"> et al., 2013; O’Brien et al., 2014; </w:t>
      </w:r>
      <w:proofErr w:type="spellStart"/>
      <w:r w:rsidRPr="00246460">
        <w:rPr>
          <w:rFonts w:ascii="Calibri" w:hAnsi="Calibri" w:cs="Calibri"/>
          <w:szCs w:val="24"/>
        </w:rPr>
        <w:t>OBrien</w:t>
      </w:r>
      <w:proofErr w:type="spellEnd"/>
      <w:r w:rsidRPr="00246460">
        <w:rPr>
          <w:rFonts w:ascii="Calibri" w:hAnsi="Calibri" w:cs="Calibri"/>
          <w:szCs w:val="24"/>
        </w:rPr>
        <w:t xml:space="preserve"> and </w:t>
      </w:r>
      <w:proofErr w:type="spellStart"/>
      <w:r w:rsidRPr="00246460">
        <w:rPr>
          <w:rFonts w:ascii="Calibri" w:hAnsi="Calibri" w:cs="Calibri"/>
          <w:szCs w:val="24"/>
        </w:rPr>
        <w:t>Keenahan</w:t>
      </w:r>
      <w:proofErr w:type="spellEnd"/>
      <w:r w:rsidRPr="00246460">
        <w:rPr>
          <w:rFonts w:ascii="Calibri" w:hAnsi="Calibri" w:cs="Calibri"/>
          <w:szCs w:val="24"/>
        </w:rPr>
        <w:t>, 2015)</w:t>
      </w:r>
      <w:r>
        <w:fldChar w:fldCharType="end"/>
      </w:r>
      <w:r>
        <w:t>.</w:t>
      </w:r>
    </w:p>
    <w:p w:rsidR="00D84430" w:rsidRDefault="00D84430" w:rsidP="00D84430">
      <w:pPr>
        <w:pStyle w:val="Heading3"/>
      </w:pPr>
      <w:r>
        <w:t>Solution Methods</w:t>
      </w:r>
    </w:p>
    <w:p w:rsidR="003C3783" w:rsidRDefault="003C3783"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rsidR="00260569">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00260569"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rsidR="00260569">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00260569"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w:t>
      </w:r>
      <w:r>
        <w:lastRenderedPageBreak/>
        <w:t xml:space="preserve">computational burden of solving the bridge response compared to time-step solutions </w:t>
      </w:r>
      <w:r>
        <w:fldChar w:fldCharType="begin"/>
      </w:r>
      <w:r w:rsidR="00260569">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00260569" w:rsidRPr="00260569">
        <w:rPr>
          <w:rFonts w:ascii="Calibri" w:hAnsi="Calibri" w:cs="Calibri"/>
        </w:rPr>
        <w:t>(Au et al., 2001a; Yang and Lin, 2005)</w:t>
      </w:r>
      <w:r>
        <w:fldChar w:fldCharType="end"/>
      </w:r>
      <w:r>
        <w:t xml:space="preserve">. </w:t>
      </w:r>
    </w:p>
    <w:p w:rsidR="003C3783" w:rsidRDefault="003C3783" w:rsidP="003C3783">
      <w:pPr>
        <w:pStyle w:val="Heading2"/>
      </w:pPr>
      <w:bookmarkStart w:id="5" w:name="_Toc505275142"/>
      <w:r>
        <w:t>Influential Parameters for Dynamic Amplification</w:t>
      </w:r>
      <w:bookmarkEnd w:id="5"/>
    </w:p>
    <w:p w:rsidR="00643682" w:rsidRDefault="003C3783"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643682" w:rsidRDefault="00643682" w:rsidP="00643682">
      <w:pPr>
        <w:pStyle w:val="Heading3"/>
      </w:pPr>
      <w:r>
        <w:t>Bridge Parameters</w:t>
      </w:r>
    </w:p>
    <w:p w:rsidR="003C3783" w:rsidRDefault="003C3783" w:rsidP="003C3783">
      <w:r>
        <w:t>Although some codes include span length or first natural frequency in their calculations of IM, studies have shown poor correlation between either of these parameters and dynamic amplification</w:t>
      </w:r>
      <w:r w:rsidR="00643682">
        <w:t xml:space="preserve"> </w:t>
      </w:r>
      <w:r w:rsidR="00643682">
        <w:fldChar w:fldCharType="begin"/>
      </w:r>
      <w:r w:rsidR="00643682">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rsidR="00643682">
        <w:fldChar w:fldCharType="separate"/>
      </w:r>
      <w:r w:rsidR="00643682" w:rsidRPr="00643682">
        <w:rPr>
          <w:rFonts w:ascii="Calibri" w:hAnsi="Calibri" w:cs="Calibri"/>
        </w:rPr>
        <w:t>(</w:t>
      </w:r>
      <w:proofErr w:type="spellStart"/>
      <w:r w:rsidR="00643682" w:rsidRPr="00643682">
        <w:rPr>
          <w:rFonts w:ascii="Calibri" w:hAnsi="Calibri" w:cs="Calibri"/>
        </w:rPr>
        <w:t>Cantieni</w:t>
      </w:r>
      <w:proofErr w:type="spellEnd"/>
      <w:r w:rsidR="00643682" w:rsidRPr="00643682">
        <w:rPr>
          <w:rFonts w:ascii="Calibri" w:hAnsi="Calibri" w:cs="Calibri"/>
        </w:rPr>
        <w:t xml:space="preserve">, 1983; Chang and Lee, 1994; Huang et al., 1993; Schwarz and </w:t>
      </w:r>
      <w:proofErr w:type="spellStart"/>
      <w:r w:rsidR="00643682" w:rsidRPr="00643682">
        <w:rPr>
          <w:rFonts w:ascii="Calibri" w:hAnsi="Calibri" w:cs="Calibri"/>
        </w:rPr>
        <w:t>Laman</w:t>
      </w:r>
      <w:proofErr w:type="spellEnd"/>
      <w:r w:rsidR="00643682" w:rsidRPr="00643682">
        <w:rPr>
          <w:rFonts w:ascii="Calibri" w:hAnsi="Calibri" w:cs="Calibri"/>
        </w:rPr>
        <w:t>, 2001)</w:t>
      </w:r>
      <w:r w:rsidR="00643682">
        <w:fldChar w:fldCharType="end"/>
      </w:r>
      <w:r>
        <w:t>. Furthermore, although bridge type may have a significant impact of the dynamic behavior of a bridge, there are a wide variety of bridge types and even more varied structural characteristics within each type</w:t>
      </w:r>
      <w:r w:rsidR="00643682">
        <w:t xml:space="preserve"> preventing any consistent relationship from being established</w:t>
      </w:r>
      <w:r>
        <w:t xml:space="preserve"> </w:t>
      </w:r>
      <w:r>
        <w:fldChar w:fldCharType="begin"/>
      </w:r>
      <w:r w:rsidR="00260569">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00260569" w:rsidRPr="00260569">
        <w:rPr>
          <w:rFonts w:ascii="Calibri" w:hAnsi="Calibri" w:cs="Calibri"/>
        </w:rPr>
        <w:t>(Deng et al., 2015)</w:t>
      </w:r>
      <w:r>
        <w:fldChar w:fldCharType="end"/>
      </w:r>
      <w:r w:rsidR="00643682">
        <w:t>.</w:t>
      </w:r>
    </w:p>
    <w:p w:rsidR="003C3783" w:rsidRDefault="003C3783" w:rsidP="003C3783">
      <w:pPr>
        <w:pStyle w:val="Heading3"/>
      </w:pPr>
      <w:bookmarkStart w:id="6" w:name="_Toc505275143"/>
      <w:r>
        <w:t>Vehicle Parameters</w:t>
      </w:r>
      <w:bookmarkEnd w:id="6"/>
    </w:p>
    <w:p w:rsidR="003C3783" w:rsidRPr="00C42EE6" w:rsidRDefault="003C3783"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rsidR="00260569">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00260569"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w:t>
      </w:r>
      <w:r>
        <w:lastRenderedPageBreak/>
        <w:t xml:space="preserve">suggesting that this relationship is complicated and dependent on other factors </w:t>
      </w:r>
      <w:r>
        <w:fldChar w:fldCharType="begin"/>
      </w:r>
      <w:r w:rsidR="00260569">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00260569"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rsidR="00260569">
        <w:instrText xml:space="preserve"> ADDIN ZOTERO_ITEM CSL_CITATION {"citationID":"6qilL5me","properties":{"formattedCitation":"(Green et al., 1995; Nassif and Nowak, 1995)","plainCitation":"(Green et al., 1995;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00260569" w:rsidRPr="00260569">
        <w:rPr>
          <w:rFonts w:ascii="Calibri" w:hAnsi="Calibri" w:cs="Calibri"/>
        </w:rPr>
        <w:t>(Green et al., 1995; Nassif and Nowak, 1995)</w:t>
      </w:r>
      <w:r>
        <w:fldChar w:fldCharType="end"/>
      </w:r>
      <w:r>
        <w:t xml:space="preserve">. </w:t>
      </w:r>
    </w:p>
    <w:p w:rsidR="003C3783" w:rsidRDefault="003C3783" w:rsidP="003C3783">
      <w:pPr>
        <w:pStyle w:val="Heading3"/>
      </w:pPr>
      <w:bookmarkStart w:id="7" w:name="_Toc505275144"/>
      <w:r>
        <w:t>Road Surface Roughness</w:t>
      </w:r>
      <w:bookmarkEnd w:id="7"/>
      <w:r>
        <w:t xml:space="preserve"> </w:t>
      </w:r>
    </w:p>
    <w:p w:rsidR="003C3783" w:rsidRDefault="003C3783" w:rsidP="003C3783">
      <w:r>
        <w:t>Previous studies have examined the impact that the road surface has on impact factors. Many analytical studies have shown that a rough road surface may result in higher dynamic amplification</w:t>
      </w:r>
      <w:r w:rsidR="005577FA">
        <w:t xml:space="preserve"> </w:t>
      </w:r>
      <w:r w:rsidR="005577FA">
        <w:fldChar w:fldCharType="begin"/>
      </w:r>
      <w:r w:rsidR="005577FA">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rsidR="005577FA">
        <w:fldChar w:fldCharType="separate"/>
      </w:r>
      <w:r w:rsidR="005577FA" w:rsidRPr="005577FA">
        <w:rPr>
          <w:rFonts w:ascii="Calibri" w:hAnsi="Calibri" w:cs="Calibri"/>
        </w:rPr>
        <w:t>(Deng and Cai, 2010; Huang et al., 1995; Kim et al., 2007; Wang and Huang, 1992)</w:t>
      </w:r>
      <w:r w:rsidR="005577FA">
        <w:fldChar w:fldCharType="end"/>
      </w:r>
      <w:r>
        <w:t>. However, the studies do not agree on the significance of the effect road surface has on dynamic amplification, which is likely due to variety of bridge types and geometry, road profiles, and model types employed.</w:t>
      </w:r>
    </w:p>
    <w:p w:rsidR="003C3783" w:rsidRDefault="003C3783" w:rsidP="003C3783">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rsidR="00260569">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Aramraks</w:t>
      </w:r>
      <w:proofErr w:type="spellEnd"/>
      <w:r w:rsidR="00260569" w:rsidRPr="00260569">
        <w:rPr>
          <w:rFonts w:ascii="Calibri" w:hAnsi="Calibri" w:cs="Calibri"/>
        </w:rPr>
        <w:t>, 1975)</w:t>
      </w:r>
      <w:r>
        <w:fldChar w:fldCharType="end"/>
      </w:r>
      <w:r>
        <w:t>.</w:t>
      </w:r>
    </w:p>
    <w:p w:rsidR="003C3783" w:rsidRDefault="003C3783"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rsidR="00260569">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Inbanathan</w:t>
      </w:r>
      <w:proofErr w:type="spellEnd"/>
      <w:r w:rsidR="00260569" w:rsidRPr="00260569">
        <w:rPr>
          <w:rFonts w:ascii="Calibri" w:hAnsi="Calibri" w:cs="Calibri"/>
        </w:rPr>
        <w:t xml:space="preserve"> and Wieland, 1987)</w:t>
      </w:r>
      <w:r>
        <w:fldChar w:fldCharType="end"/>
      </w:r>
      <w:r>
        <w:t xml:space="preserve">. Simulations of a 3-span continuous box-girder bridge (modeled as a beam) for a rough road surface </w:t>
      </w:r>
      <w:r>
        <w:lastRenderedPageBreak/>
        <w:t xml:space="preserve">generated a maximum DAF of 2.3 </w:t>
      </w:r>
      <w:r>
        <w:fldChar w:fldCharType="begin"/>
      </w:r>
      <w:r w:rsidR="00260569">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00260569"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rsidR="00260569">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00260569"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rsidR="00260569">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00260569" w:rsidRPr="00260569">
        <w:rPr>
          <w:rFonts w:ascii="Calibri" w:hAnsi="Calibri" w:cs="Calibri"/>
        </w:rPr>
        <w:t>(Au et al., 2001b)</w:t>
      </w:r>
      <w:r>
        <w:fldChar w:fldCharType="end"/>
      </w:r>
      <w:r>
        <w:t xml:space="preserve">. </w:t>
      </w:r>
    </w:p>
    <w:p w:rsidR="003C3783" w:rsidRDefault="003C3783"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rsidR="00260569">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00260569"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rsidR="00260569">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00260569" w:rsidRPr="00260569">
        <w:rPr>
          <w:rFonts w:ascii="Calibri" w:hAnsi="Calibri" w:cs="Calibri"/>
        </w:rPr>
        <w:t>(Li et al., 2008)</w:t>
      </w:r>
      <w:r>
        <w:fldChar w:fldCharType="end"/>
      </w:r>
      <w:r>
        <w:t xml:space="preserve">.  </w:t>
      </w:r>
    </w:p>
    <w:p w:rsidR="003C3783" w:rsidRDefault="003C3783"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rsidR="00260569">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00260569"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w:t>
      </w:r>
      <w:r>
        <w:lastRenderedPageBreak/>
        <w:t xml:space="preserve">results clearly showed that the amplification factors increased with the International Roughness Index (IRI) </w:t>
      </w:r>
      <w:r>
        <w:fldChar w:fldCharType="begin"/>
      </w:r>
      <w:r w:rsidR="00260569">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00260569"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rsidR="00260569">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00260569" w:rsidRPr="00260569">
        <w:rPr>
          <w:rFonts w:ascii="Calibri" w:hAnsi="Calibri" w:cs="Calibri"/>
        </w:rPr>
        <w:t xml:space="preserve">(Li et al., 2006; </w:t>
      </w:r>
      <w:proofErr w:type="spellStart"/>
      <w:r w:rsidR="00260569" w:rsidRPr="00260569">
        <w:rPr>
          <w:rFonts w:ascii="Calibri" w:hAnsi="Calibri" w:cs="Calibri"/>
        </w:rPr>
        <w:t>OBrien</w:t>
      </w:r>
      <w:proofErr w:type="spellEnd"/>
      <w:r w:rsidR="00260569" w:rsidRPr="00260569">
        <w:rPr>
          <w:rFonts w:ascii="Calibri" w:hAnsi="Calibri" w:cs="Calibri"/>
        </w:rPr>
        <w:t xml:space="preserve"> et al., 2006)</w:t>
      </w:r>
      <w:r>
        <w:fldChar w:fldCharType="end"/>
      </w:r>
      <w:r>
        <w:t>.</w:t>
      </w:r>
    </w:p>
    <w:p w:rsidR="003C3783" w:rsidRDefault="003C3783" w:rsidP="003C3783">
      <w:pPr>
        <w:pStyle w:val="Heading2"/>
      </w:pPr>
      <w:bookmarkStart w:id="8" w:name="_Toc505275145"/>
      <w:r>
        <w:t>Effects of Platooned Vehicles</w:t>
      </w:r>
      <w:bookmarkEnd w:id="8"/>
    </w:p>
    <w:p w:rsidR="003C3783" w:rsidRDefault="003C3783"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rsidR="00260569">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00260569"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rsidR="00260569">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00260569" w:rsidRPr="00260569">
        <w:rPr>
          <w:rFonts w:ascii="Calibri" w:hAnsi="Calibri" w:cs="Calibri"/>
        </w:rPr>
        <w:t>(Lipari et al., 2017)</w:t>
      </w:r>
      <w:r>
        <w:fldChar w:fldCharType="end"/>
      </w:r>
      <w:r>
        <w:t>, but little work has been done to understand the dynamic effect of platooned trucks on highway bridges.</w:t>
      </w:r>
    </w:p>
    <w:p w:rsidR="003C3783" w:rsidRDefault="003C3783" w:rsidP="003C3783">
      <w:r>
        <w:t xml:space="preserve">In contrast, the problem has been extensively studied for railway bridges, where train cars present regular wheel spacing, vehicle spacing, and weight </w:t>
      </w:r>
      <w:r>
        <w:fldChar w:fldCharType="begin"/>
      </w:r>
      <w:r w:rsidR="00260569">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00260569" w:rsidRPr="00260569">
        <w:rPr>
          <w:rFonts w:ascii="Calibri" w:hAnsi="Calibri" w:cs="Calibri"/>
        </w:rPr>
        <w:t xml:space="preserve">(Bolotin and Armstrong, 1965; </w:t>
      </w:r>
      <w:proofErr w:type="spellStart"/>
      <w:r w:rsidR="00260569" w:rsidRPr="00260569">
        <w:rPr>
          <w:rFonts w:ascii="Calibri" w:hAnsi="Calibri" w:cs="Calibri"/>
        </w:rPr>
        <w:t>Kurihara</w:t>
      </w:r>
      <w:proofErr w:type="spellEnd"/>
      <w:r w:rsidR="00260569" w:rsidRPr="00260569">
        <w:rPr>
          <w:rFonts w:ascii="Calibri" w:hAnsi="Calibri" w:cs="Calibri"/>
        </w:rPr>
        <w:t xml:space="preserve"> and </w:t>
      </w:r>
      <w:proofErr w:type="spellStart"/>
      <w:r w:rsidR="00260569" w:rsidRPr="00260569">
        <w:rPr>
          <w:rFonts w:ascii="Calibri" w:hAnsi="Calibri" w:cs="Calibri"/>
        </w:rPr>
        <w:t>Shimogo</w:t>
      </w:r>
      <w:proofErr w:type="spellEnd"/>
      <w:r w:rsidR="00260569" w:rsidRPr="00260569">
        <w:rPr>
          <w:rFonts w:ascii="Calibri" w:hAnsi="Calibri" w:cs="Calibri"/>
        </w:rPr>
        <w:t xml:space="preserve">, 1978; Li and </w:t>
      </w:r>
      <w:proofErr w:type="spellStart"/>
      <w:r w:rsidR="00260569" w:rsidRPr="00260569">
        <w:rPr>
          <w:rFonts w:ascii="Calibri" w:hAnsi="Calibri" w:cs="Calibri"/>
        </w:rPr>
        <w:t>Su</w:t>
      </w:r>
      <w:proofErr w:type="spellEnd"/>
      <w:r w:rsidR="00260569" w:rsidRPr="00260569">
        <w:rPr>
          <w:rFonts w:ascii="Calibri" w:hAnsi="Calibri" w:cs="Calibri"/>
        </w:rPr>
        <w:t>, 1999; Yang et al., 1997)</w:t>
      </w:r>
      <w:r>
        <w:fldChar w:fldCharType="end"/>
      </w:r>
      <w:r>
        <w:t xml:space="preserve">. Research has shown that railway bridges are susceptible to large dynamic amplifications </w:t>
      </w:r>
      <w:r>
        <w:fldChar w:fldCharType="begin"/>
      </w:r>
      <w:r w:rsidR="00260569">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00260569"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rsidR="00260569">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Kwark</w:t>
      </w:r>
      <w:proofErr w:type="spellEnd"/>
      <w:r w:rsidR="00260569" w:rsidRPr="00260569">
        <w:rPr>
          <w:rFonts w:ascii="Calibri" w:hAnsi="Calibri" w:cs="Calibri"/>
        </w:rPr>
        <w:t xml:space="preserve"> et al., 2004; </w:t>
      </w:r>
      <w:proofErr w:type="spellStart"/>
      <w:r w:rsidR="00260569" w:rsidRPr="00260569">
        <w:rPr>
          <w:rFonts w:ascii="Calibri" w:hAnsi="Calibri" w:cs="Calibri"/>
        </w:rPr>
        <w:t>Majka</w:t>
      </w:r>
      <w:proofErr w:type="spellEnd"/>
      <w:r w:rsidR="00260569" w:rsidRPr="00260569">
        <w:rPr>
          <w:rFonts w:ascii="Calibri" w:hAnsi="Calibri" w:cs="Calibri"/>
        </w:rPr>
        <w:t xml:space="preserve"> and Hartnett, 2008)</w:t>
      </w:r>
      <w:r>
        <w:fldChar w:fldCharType="end"/>
      </w:r>
      <w:r>
        <w:t xml:space="preserve">. </w:t>
      </w:r>
    </w:p>
    <w:p w:rsidR="003C3783" w:rsidRPr="00CB1162" w:rsidRDefault="003C3783" w:rsidP="003C3783">
      <w:r>
        <w:t xml:space="preserve">However, while the loading conditions of railway bridges are </w:t>
      </w:r>
      <w:proofErr w:type="gramStart"/>
      <w:r>
        <w:t>similar to</w:t>
      </w:r>
      <w:proofErr w:type="gramEnd"/>
      <w:r>
        <w:t xml:space="preserve"> that induced by platooned trucks, the structural system is markedly different. The tracks of railway bridges are </w:t>
      </w:r>
      <w:r>
        <w:lastRenderedPageBreak/>
        <w:t xml:space="preserve">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3C3783" w:rsidRDefault="003C3783" w:rsidP="003C3783">
      <w:pPr>
        <w:pStyle w:val="Heading2"/>
      </w:pPr>
      <w:bookmarkStart w:id="9" w:name="_Toc505275146"/>
      <w:r>
        <w:t>Bridge Vibration Limits</w:t>
      </w:r>
      <w:bookmarkEnd w:id="9"/>
    </w:p>
    <w:p w:rsidR="003C3783" w:rsidRDefault="003C3783"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3C3783" w:rsidRDefault="003C3783"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rsidR="00260569">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00260569" w:rsidRPr="00260569">
        <w:rPr>
          <w:rFonts w:ascii="Calibri" w:hAnsi="Calibri" w:cs="Calibri"/>
        </w:rPr>
        <w:t>(Gaunt and Sutton, 1981)</w:t>
      </w:r>
      <w:r>
        <w:fldChar w:fldCharType="end"/>
      </w:r>
      <w:r>
        <w:t xml:space="preserve">. Some of the earliest work on this topic was carried out by </w:t>
      </w:r>
      <w:proofErr w:type="spellStart"/>
      <w:r>
        <w:t>Reiher</w:t>
      </w:r>
      <w:proofErr w:type="spellEnd"/>
      <w:r>
        <w:t xml:space="preserve"> and Meister. They developed sensitivity curves by subjecting people to vertical harmonic vibration </w:t>
      </w:r>
      <w:r>
        <w:fldChar w:fldCharType="begin"/>
      </w:r>
      <w:r w:rsidR="00260569">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Reiher</w:t>
      </w:r>
      <w:proofErr w:type="spellEnd"/>
      <w:r w:rsidR="00260569" w:rsidRPr="00260569">
        <w:rPr>
          <w:rFonts w:ascii="Calibri" w:hAnsi="Calibri" w:cs="Calibri"/>
        </w:rPr>
        <w:t xml:space="preserve"> and Meister, 1931)</w:t>
      </w:r>
      <w:r>
        <w:fldChar w:fldCharType="end"/>
      </w:r>
      <w:r>
        <w:t xml:space="preserve">. These sensitivity curves still provide an acceptable characterization of human perception to vibrations. </w:t>
      </w:r>
    </w:p>
    <w:p w:rsidR="003C3783" w:rsidRDefault="003C3783"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rsidR="00260569">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00260569"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w:t>
      </w:r>
      <w:r>
        <w:lastRenderedPageBreak/>
        <w:t xml:space="preserve">pedestrians by restricting deflections based on the first frequency of the structure </w:t>
      </w:r>
      <w:r>
        <w:fldChar w:fldCharType="begin"/>
      </w:r>
      <w:r w:rsidR="00260569">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00260569" w:rsidRPr="00260569">
        <w:rPr>
          <w:rFonts w:ascii="Calibri" w:hAnsi="Calibri" w:cs="Calibri"/>
        </w:rPr>
        <w:t>(</w:t>
      </w:r>
      <w:proofErr w:type="spellStart"/>
      <w:r w:rsidR="00260569" w:rsidRPr="00260569">
        <w:rPr>
          <w:rFonts w:ascii="Calibri" w:hAnsi="Calibri" w:cs="Calibri"/>
        </w:rPr>
        <w:t>Csagoly</w:t>
      </w:r>
      <w:proofErr w:type="spellEnd"/>
      <w:r w:rsidR="00260569" w:rsidRPr="00260569">
        <w:rPr>
          <w:rFonts w:ascii="Calibri" w:hAnsi="Calibri" w:cs="Calibri"/>
        </w:rPr>
        <w:t xml:space="preserve">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rsidR="00260569">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00260569" w:rsidRPr="00260569">
        <w:rPr>
          <w:rFonts w:ascii="Calibri" w:hAnsi="Calibri" w:cs="Calibri"/>
        </w:rPr>
        <w:t>(BS, 2006)</w:t>
      </w:r>
      <w:r>
        <w:fldChar w:fldCharType="end"/>
      </w:r>
      <w:r>
        <w:t xml:space="preserve">. </w:t>
      </w:r>
    </w:p>
    <w:p w:rsidR="003C3783" w:rsidRDefault="003C3783" w:rsidP="005577FA">
      <w:pPr>
        <w:pStyle w:val="Heading1"/>
      </w:pPr>
      <w:bookmarkStart w:id="10" w:name="_Toc505275147"/>
      <w:r>
        <w:t>Knowledge Gaps</w:t>
      </w:r>
      <w:bookmarkEnd w:id="10"/>
    </w:p>
    <w:p w:rsidR="003C3783" w:rsidRDefault="003C3783"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3C3783" w:rsidRDefault="003C3783" w:rsidP="003C3783">
      <w:r>
        <w:t>Dynamic amplification factors, due to the nature of their formulation, are incapable of applying to all structures. They were developed by applying statistical methods to a population of bridges</w:t>
      </w:r>
      <w:r w:rsidRPr="00492A0E">
        <w:t xml:space="preserve"> </w:t>
      </w:r>
      <w:r>
        <w:t>that were selected for investigation</w:t>
      </w:r>
      <w:r w:rsidR="00BF2132">
        <w:t xml:space="preserve"> </w:t>
      </w:r>
      <w:r w:rsidR="00BF2132">
        <w:fldChar w:fldCharType="begin"/>
      </w:r>
      <w:r w:rsidR="00BF2132">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rsidR="00BF2132">
        <w:fldChar w:fldCharType="separate"/>
      </w:r>
      <w:r w:rsidR="00BF2132" w:rsidRPr="00BF2132">
        <w:rPr>
          <w:rFonts w:ascii="Calibri" w:hAnsi="Calibri" w:cs="Calibri"/>
        </w:rPr>
        <w:t>(Fenves et al., 1962)</w:t>
      </w:r>
      <w:r w:rsidR="00BF2132">
        <w:fldChar w:fldCharType="end"/>
      </w:r>
      <w:r>
        <w:t xml:space="preserve">, and therefore, while applicable to a majority of that population, cannot be expected to remain accurate for every single bridge in the population. Furthermore, there is no assurance that the chosen sample sets are </w:t>
      </w:r>
      <w:r>
        <w:lastRenderedPageBreak/>
        <w:t xml:space="preserve">representative of the entire bridge stock, nor can it be assumed that the characteristics of the entire bridge stock are time invariant. </w:t>
      </w:r>
    </w:p>
    <w:p w:rsidR="003C3783" w:rsidRDefault="003C3783"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w:t>
      </w:r>
      <w:proofErr w:type="gramStart"/>
      <w:r>
        <w:t>in an effort to</w:t>
      </w:r>
      <w:proofErr w:type="gramEnd"/>
      <w:r>
        <w:t xml:space="preserve"> ensure resulting conclusions will continue to be applicable. </w:t>
      </w:r>
    </w:p>
    <w:p w:rsidR="003C3783" w:rsidRPr="00DA3F2A" w:rsidRDefault="003C3783" w:rsidP="003C3783">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9B4D90" w:rsidRPr="003C3783" w:rsidRDefault="00496B8E" w:rsidP="003C3783">
      <w:r w:rsidRPr="003C3783">
        <w:t xml:space="preserve"> </w:t>
      </w:r>
    </w:p>
    <w:sectPr w:rsidR="009B4D90" w:rsidRPr="003C3783"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C94" w:rsidRDefault="00946C94" w:rsidP="004C7F36">
      <w:pPr>
        <w:spacing w:before="0" w:line="240" w:lineRule="auto"/>
      </w:pPr>
      <w:r>
        <w:separator/>
      </w:r>
    </w:p>
  </w:endnote>
  <w:endnote w:type="continuationSeparator" w:id="0">
    <w:p w:rsidR="00946C94" w:rsidRDefault="00946C94"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C94" w:rsidRDefault="00946C94" w:rsidP="004C7F36">
      <w:pPr>
        <w:spacing w:before="0" w:line="240" w:lineRule="auto"/>
      </w:pPr>
      <w:r>
        <w:separator/>
      </w:r>
    </w:p>
  </w:footnote>
  <w:footnote w:type="continuationSeparator" w:id="0">
    <w:p w:rsidR="00946C94" w:rsidRDefault="00946C94"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DBE"/>
    <w:rsid w:val="00170818"/>
    <w:rsid w:val="00170A6F"/>
    <w:rsid w:val="00171EB0"/>
    <w:rsid w:val="00172635"/>
    <w:rsid w:val="0017600A"/>
    <w:rsid w:val="00182439"/>
    <w:rsid w:val="00183813"/>
    <w:rsid w:val="00194824"/>
    <w:rsid w:val="001958A7"/>
    <w:rsid w:val="001C2928"/>
    <w:rsid w:val="001C4A01"/>
    <w:rsid w:val="001D649C"/>
    <w:rsid w:val="001D67B1"/>
    <w:rsid w:val="001E1C9D"/>
    <w:rsid w:val="001E51B5"/>
    <w:rsid w:val="001F5A19"/>
    <w:rsid w:val="002023DC"/>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2773F"/>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A3C9A"/>
    <w:rsid w:val="005B3E1D"/>
    <w:rsid w:val="005C2E49"/>
    <w:rsid w:val="005C4DA1"/>
    <w:rsid w:val="005C568F"/>
    <w:rsid w:val="005D220A"/>
    <w:rsid w:val="005D275C"/>
    <w:rsid w:val="005D48E6"/>
    <w:rsid w:val="005D609C"/>
    <w:rsid w:val="005E3DAD"/>
    <w:rsid w:val="005F208E"/>
    <w:rsid w:val="005F38DD"/>
    <w:rsid w:val="005F595B"/>
    <w:rsid w:val="005F7971"/>
    <w:rsid w:val="00607728"/>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6815"/>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2D8761F-54A8-477E-B74C-DEF8FBC6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12643</Words>
  <Characters>72066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3</cp:revision>
  <dcterms:created xsi:type="dcterms:W3CDTF">2019-04-03T19:56:00Z</dcterms:created>
  <dcterms:modified xsi:type="dcterms:W3CDTF">2019-04-04T17:17:00Z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