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12" w:rsidRDefault="00503514" w:rsidP="0050351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Introduce problem of vehicle-bridge interaction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Introduce case study (I76)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Broader impact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Design criteria are not easily confirmed with bridge response measurements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Need for better understanding of performance and identification of performance metrics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Role of technology and sensing in both understanding and judging performance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Literature Review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Understanding vehicle-bridge interaction and dynamic amplification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Case study of problematic bridge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 xml:space="preserve">Understanding </w:t>
      </w:r>
      <w:r w:rsidR="00D72E00">
        <w:t>the nature of vehicle bridge interaction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Description of the system and energy exchange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Parameter influence</w:t>
      </w:r>
    </w:p>
    <w:p w:rsidR="00D72E00" w:rsidRDefault="00D72E00" w:rsidP="00D72E00">
      <w:pPr>
        <w:pStyle w:val="ListParagraph"/>
        <w:numPr>
          <w:ilvl w:val="0"/>
          <w:numId w:val="1"/>
        </w:numPr>
      </w:pPr>
      <w:r>
        <w:t>Estimating Dynamic Amplification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Design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Acceptable cases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Assumed parameters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Estimation methodology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Vulnerability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Alternative methods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Evaluation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Acceptable Cases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Required information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Estimation methodology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Vulnerability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Alternative methods</w:t>
      </w:r>
    </w:p>
    <w:p w:rsidR="00D72E00" w:rsidRDefault="00D72E00" w:rsidP="00D72E00">
      <w:pPr>
        <w:pStyle w:val="ListParagraph"/>
        <w:numPr>
          <w:ilvl w:val="0"/>
          <w:numId w:val="1"/>
        </w:numPr>
      </w:pPr>
      <w:r>
        <w:t>Other cases of vehicle-bridge interaction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Case study: Rail-splice effect of bridge response and deterioration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 xml:space="preserve">Truck-trains: </w:t>
      </w:r>
      <w:r w:rsidR="00A24465">
        <w:t>Bridge response and dynamic amplification</w:t>
      </w:r>
      <w:bookmarkStart w:id="0" w:name="_GoBack"/>
      <w:bookmarkEnd w:id="0"/>
    </w:p>
    <w:sectPr w:rsidR="00D7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95"/>
    <w:rsid w:val="00503514"/>
    <w:rsid w:val="00550D12"/>
    <w:rsid w:val="00A24465"/>
    <w:rsid w:val="00A60295"/>
    <w:rsid w:val="00BF1DF6"/>
    <w:rsid w:val="00D7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2</cp:revision>
  <dcterms:created xsi:type="dcterms:W3CDTF">2018-09-06T14:51:00Z</dcterms:created>
  <dcterms:modified xsi:type="dcterms:W3CDTF">2018-09-06T15:17:00Z</dcterms:modified>
</cp:coreProperties>
</file>