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720" w:footer="720" w:gutter="0"/>
    </w:sectPr>
    <w:p>
      <w:pPr>
        <w:spacing w:lineRule="auto"/>
      </w:pPr>
      <w:r>
        <w:rPr/>
        <w:t xml:space="preserve"/>
      </w:r>
    </w:p>
    <w:p>
      <w:pPr>
        <w:jc w:val="center"/>
        <w:spacing w:after="40" w:lineRule="auto"/>
      </w:pPr>
      <w:r>
        <w:rPr>
          <w:rFonts w:ascii="Georgia" w:hAnsi="Georgia"/>
          <w:color w:val="0B0D14"/>
          <w:sz w:val="44"/>
        </w:rPr>
        <w:t xml:space="preserve">Jon Bogaty</w:t>
      </w:r>
    </w:p>
    <w:p>
      <w:pPr>
        <w:jc w:val="center"/>
        <w:spacing w:line="280" w:after="60" w:lineRule="auto"/>
      </w:pPr>
      <w:r>
        <w:rPr>
          <w:rFonts w:ascii="Calibri" w:hAnsi="Calibri"/>
          <w:b/>
          <w:color w:val="996B1D"/>
          <w:sz w:val="20"/>
        </w:rPr>
        <w:t xml:space="preserve">Staff Platform &amp; DevOps Engineer</w:t>
      </w:r>
    </w:p>
    <w:p>
      <w:pPr>
        <w:jc w:val="center"/>
        <w:spacing w:line="238" w:after="200" w:lineRule="auto"/>
      </w:pPr>
      <w:r>
        <w:rPr>
          <w:rFonts w:ascii="Calibri" w:hAnsi="Calibri"/>
          <w:color w:val="555555"/>
          <w:sz w:val="17"/>
        </w:rPr>
        <w:t xml:space="preserve">Lincoln, NE  ·  </w:t>
      </w:r>
      <w:hyperlink r:id="rId6">
        <w:r>
          <w:rPr>
            <w:rStyle w:val="Hyperlink"/>
            <w:rFonts w:ascii="Calibri" w:hAnsi="Calibri"/>
            <w:color w:val="555555"/>
            <w:sz w:val="17"/>
          </w:rPr>
          <w:t xml:space="preserve">jon@jonbogaty.com</w:t>
        </w:r>
      </w:hyperlink>
      <w:r>
        <w:rPr>
          <w:rFonts w:ascii="Calibri" w:hAnsi="Calibri"/>
          <w:color w:val="555555"/>
          <w:sz w:val="17"/>
        </w:rPr>
        <w:t xml:space="preserve">  ·  </w:t>
      </w:r>
      <w:hyperlink r:id="rId7">
        <w:r>
          <w:rPr>
            <w:rStyle w:val="Hyperlink"/>
            <w:rFonts w:ascii="Calibri" w:hAnsi="Calibri"/>
            <w:color w:val="555555"/>
            <w:sz w:val="17"/>
          </w:rPr>
          <w:t xml:space="preserve">www.jonbogaty.com</w:t>
        </w:r>
      </w:hyperlink>
      <w:r>
        <w:rPr>
          <w:rFonts w:ascii="Calibri" w:hAnsi="Calibri"/>
          <w:color w:val="555555"/>
          <w:sz w:val="17"/>
        </w:rPr>
        <w:t xml:space="preserve">  ·  </w:t>
      </w:r>
      <w:hyperlink r:id="rId8">
        <w:r>
          <w:rPr>
            <w:rStyle w:val="Hyperlink"/>
            <w:rFonts w:ascii="Calibri" w:hAnsi="Calibri"/>
            <w:color w:val="555555"/>
            <w:sz w:val="17"/>
          </w:rPr>
          <w:t xml:space="preserve">linkedin.com/in/jonbogaty</w:t>
        </w:r>
      </w:hyperlink>
      <w:r>
        <w:rPr>
          <w:rFonts w:ascii="Calibri" w:hAnsi="Calibri"/>
          <w:color w:val="555555"/>
          <w:sz w:val="17"/>
        </w:rPr>
        <w:t xml:space="preserve">  ·  </w:t>
      </w:r>
      <w:hyperlink r:id="rId9">
        <w:r>
          <w:rPr>
            <w:rStyle w:val="Hyperlink"/>
            <w:rFonts w:ascii="Calibri" w:hAnsi="Calibri"/>
            <w:color w:val="555555"/>
            <w:sz w:val="17"/>
          </w:rPr>
          <w:t xml:space="preserve">github.com/jbcom</w:t>
        </w:r>
      </w:hyperlink>
      <w:r>
        <w:rPr>
          <w:rFonts w:ascii="Calibri" w:hAnsi="Calibri"/>
          <w:color w:val="555555"/>
          <w:sz w:val="17"/>
        </w:rPr>
        <w:t xml:space="preserve">  ·  </w:t>
      </w:r>
      <w:hyperlink r:id="rId10">
        <w:r>
          <w:rPr>
            <w:rStyle w:val="Hyperlink"/>
            <w:rFonts w:ascii="Calibri" w:hAnsi="Calibri"/>
            <w:color w:val="555555"/>
            <w:sz w:val="17"/>
          </w:rPr>
          <w:t xml:space="preserve">t.me/jbpersonaldev</w:t>
        </w:r>
      </w:hyperlink>
    </w:p>
    <w:tbl>
      <w:tblPr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0"/>
      </w:tblGrid>
      <w:tr>
        <w:trPr>
          <w:cantSplit/>
        </w:trPr>
        <w:tc>
          <w:tcPr>
            <w:tcBorders>
              <w:bottom w:val="single" w:sz="12" w:space="0" w:color="996B1D"/>
            </w:tcBorders>
          </w:tcPr>
          <w:p>
            <w:pPr>
              <w:spacing w:lineRule="auto"/>
            </w:pPr>
            <w:r>
              <w:rPr>
                <w:rFonts w:ascii="Georgia" w:hAnsi="Georgia"/>
                <w:b/>
                <w:color w:val="0B0D14"/>
                <w:sz w:val="22"/>
              </w:rPr>
              <w:t xml:space="preserve">PROFESSIONAL SUMMARY</w:t>
            </w:r>
          </w:p>
        </w:tc>
      </w:tr>
    </w:tbl>
    <w:p>
      <w:pPr>
        <w:spacing w:lineRule="auto"/>
      </w:pPr>
      <w:r>
        <w:rPr/>
      </w:r>
    </w:p>
    <w:p>
      <w:pPr>
        <w:spacing w:line="266" w:after="100" w:lineRule="auto"/>
      </w:pPr>
      <w:r>
        <w:rPr>
          <w:rFonts w:ascii="Calibri" w:hAnsi="Calibri"/>
          <w:color w:val="1A1A1A"/>
          <w:sz w:val="19"/>
        </w:rPr>
        <w:t xml:space="preserve">Infrastructure engineer with 15+ years across DevOps, SRE, and platform engineering on AWS, GCP, and Azure. As the sole DevOps engineer at Flipside Crypto for five years, modernized legacy AWS infrastructure to ~99% serverless, built a 10,000-line Python platform that generates 146+ Terraform modules across 13 providers, and cut cloud spend from ~$150K to ~$40–50K per month. Running Docker and Terraform in production since 2015.</w:t>
      </w:r>
    </w:p>
    <w:p>
      <w:pPr>
        <w:spacing w:line="266" w:after="100" w:lineRule="auto"/>
      </w:pPr>
      <w:r>
        <w:rPr>
          <w:rFonts w:ascii="Calibri" w:hAnsi="Calibri"/>
          <w:color w:val="1A1A1A"/>
          <w:sz w:val="19"/>
        </w:rPr>
        <w:t xml:space="preserve">Currently building open-source infrastructure tooling full time — supply-chain security (SLSA L3, Sigstore), reproducible builds, and AI-agent orchestration across Python, Go, TypeScript, and Rust. Five published frameworks at jonbogaty.com.</w:t>
      </w:r>
    </w:p>
    <w:tbl>
      <w:tblPr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0"/>
      </w:tblGrid>
      <w:tr>
        <w:trPr>
          <w:cantSplit/>
        </w:trPr>
        <w:tc>
          <w:tcPr>
            <w:tcBorders>
              <w:bottom w:val="single" w:sz="12" w:space="0" w:color="996B1D"/>
            </w:tcBorders>
          </w:tcPr>
          <w:p>
            <w:pPr>
              <w:spacing w:lineRule="auto"/>
            </w:pPr>
            <w:r>
              <w:rPr>
                <w:rFonts w:ascii="Georgia" w:hAnsi="Georgia"/>
                <w:b/>
                <w:color w:val="0B0D14"/>
                <w:sz w:val="22"/>
              </w:rPr>
              <w:t xml:space="preserve">PROFESSIONAL EXPERIENCE</w:t>
            </w:r>
          </w:p>
        </w:tc>
      </w:tr>
    </w:tbl>
    <w:p>
      <w:pPr>
        <w:spacing w:lineRule="auto"/>
      </w:pPr>
      <w:r>
        <w:rPr/>
      </w:r>
    </w:p>
    <w:tbl>
      <w:tblPr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vAlign w:val="bottom"/>
          </w:tcPr>
          <w:p>
            <w:pPr>
              <w:spacing w:lineRule="auto"/>
            </w:pPr>
            <w:r>
              <w:rPr>
                <w:rFonts w:ascii="Calibri" w:hAnsi="Calibri"/>
                <w:b/>
                <w:color w:val="0B0D14"/>
                <w:sz w:val="21"/>
              </w:rPr>
              <w:t xml:space="preserve">Staff DevOps &amp; Platform Engineer</w:t>
            </w:r>
          </w:p>
        </w:tc>
        <w:tc>
          <w:tcPr>
            <w:vAlign w:val="bottom"/>
          </w:tcPr>
          <w:p>
            <w:pPr>
              <w:jc w:val="right"/>
              <w:spacing w:lineRule="auto"/>
            </w:pPr>
            <w:r>
              <w:rPr>
                <w:rFonts w:ascii="Calibri" w:hAnsi="Calibri"/>
                <w:color w:val="996B1D"/>
                <w:sz w:val="18"/>
              </w:rPr>
              <w:t xml:space="preserve">Jun 2021 – Jan 2026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line="266" w:lineRule="auto"/>
            </w:pPr>
            <w:r>
              <w:rPr>
                <w:rFonts w:ascii="Calibri" w:hAnsi="Calibri"/>
                <w:i/>
                <w:color w:val="1A1A1A"/>
                <w:sz w:val="19"/>
              </w:rPr>
              <w:t xml:space="preserve">Flipside Crypto</w:t>
            </w:r>
          </w:p>
        </w:tc>
      </w:tr>
    </w:tbl>
    <w:p>
      <w:pPr>
        <w:spacing w:lineRule="auto"/>
      </w:pPr>
      <w:r>
        <w:rPr/>
      </w:r>
    </w:p>
    <w:p>
      <w:pPr>
        <w:spacing w:line="252" w:after="40" w:lineRule="auto"/>
      </w:pPr>
      <w:r>
        <w:rPr>
          <w:rFonts w:ascii="Calibri" w:hAnsi="Calibri"/>
          <w:color w:val="1A1A1A"/>
          <w:sz w:val="18"/>
        </w:rPr>
        <w:t xml:space="preserve">Founding DevOps hire at a blockchain analytics company; the sole DevOps engineer for five years, owning infrastructure, platform tooling, CI/CD, and security operations end to end.</w:t>
      </w:r>
    </w:p>
    <w:p>
      <w:pPr>
        <w:numPr>
          <w:ilvl w:val="0"/>
          <w:numId w:val="1"/>
        </w:numPr>
        <w:spacing w:line="243" w:after="40" w:lineRule="auto"/>
      </w:pPr>
      <w:r>
        <w:rPr>
          <w:rFonts w:ascii="Calibri" w:hAnsi="Calibri"/>
          <w:color w:val="1A1A1A"/>
          <w:sz w:val="18"/>
        </w:rPr>
        <w:t xml:space="preserve">Cut AWS spend from ~$150K to ~$40–50K per month — ~$100K/month in sustained savings — through serverless migration, right-sizing, and automated scaling</w:t>
      </w:r>
    </w:p>
    <w:p>
      <w:pPr>
        <w:numPr>
          <w:ilvl w:val="0"/>
          <w:numId w:val="1"/>
        </w:numPr>
        <w:spacing w:line="243" w:after="40" w:lineRule="auto"/>
      </w:pPr>
      <w:r>
        <w:rPr>
          <w:rFonts w:ascii="Calibri" w:hAnsi="Calibri"/>
          <w:color w:val="1A1A1A"/>
          <w:sz w:val="18"/>
        </w:rPr>
        <w:t xml:space="preserve">Built tm_cli, a 10,000+ line Python CLI and library that generates 146+ Terraform modules across 13 providers (AWS, GCP, GitHub, Vault, Slack) from annotated Python functions</w:t>
      </w:r>
    </w:p>
    <w:p>
      <w:pPr>
        <w:numPr>
          <w:ilvl w:val="0"/>
          <w:numId w:val="1"/>
        </w:numPr>
        <w:spacing w:line="243" w:after="40" w:lineRule="auto"/>
      </w:pPr>
      <w:r>
        <w:rPr>
          <w:rFonts w:ascii="Calibri" w:hAnsi="Calibri"/>
          <w:color w:val="1A1A1A"/>
          <w:sz w:val="18"/>
        </w:rPr>
        <w:t xml:space="preserve">Led the five-year evolution of legacy AWS infrastructure from single-DC multi-cluster Kubernetes through container deployments to ~99% serverless (Lambda and managed services), built on Terraform and Terragrunt</w:t>
      </w:r>
    </w:p>
    <w:p>
      <w:pPr>
        <w:numPr>
          <w:ilvl w:val="0"/>
          <w:numId w:val="1"/>
        </w:numPr>
        <w:spacing w:line="243" w:after="40" w:lineRule="auto"/>
      </w:pPr>
      <w:r>
        <w:rPr>
          <w:rFonts w:ascii="Calibri" w:hAnsi="Calibri"/>
          <w:color w:val="1A1A1A"/>
          <w:sz w:val="18"/>
        </w:rPr>
        <w:t xml:space="preserve">Architected deterministic secrets propagation with automatic deep-merge and conflict resolution across HashiCorp Vault and AWS Secrets Manager, serving hundreds of Lambda functions powering the data platform</w:t>
      </w:r>
    </w:p>
    <w:p>
      <w:pPr>
        <w:numPr>
          <w:ilvl w:val="0"/>
          <w:numId w:val="1"/>
        </w:numPr>
        <w:spacing w:line="243" w:after="40" w:lineRule="auto"/>
      </w:pPr>
      <w:r>
        <w:rPr>
          <w:rFonts w:ascii="Calibri" w:hAnsi="Calibri"/>
          <w:color w:val="1A1A1A"/>
          <w:sz w:val="18"/>
        </w:rPr>
        <w:t xml:space="preserve">Led the cross-cloud Fireblocks co-signer migration from AWS Nitro Enclaves (Anjuna) to Fireblocks-native on GCP — enclave architecture, GCP workload identity, and MDM-managed cosigning device provisioning</w:t>
      </w:r>
    </w:p>
    <w:p>
      <w:pPr>
        <w:numPr>
          <w:ilvl w:val="0"/>
          <w:numId w:val="1"/>
        </w:numPr>
        <w:spacing w:line="243" w:after="40" w:lineRule="auto"/>
      </w:pPr>
      <w:r>
        <w:rPr>
          <w:rFonts w:ascii="Calibri" w:hAnsi="Calibri"/>
          <w:color w:val="1A1A1A"/>
          <w:sz w:val="18"/>
        </w:rPr>
        <w:t xml:space="preserve">Established company-wide CI/CD patterns, secrets-sharing workflows, and automation standards adopted across product and data teams; mentored engineers placed into SRE roles</w:t>
      </w:r>
    </w:p>
    <w:p>
      <w:pPr>
        <w:numPr>
          <w:ilvl w:val="0"/>
          <w:numId w:val="1"/>
        </w:numPr>
        <w:spacing w:line="243" w:after="40" w:lineRule="auto"/>
      </w:pPr>
      <w:r>
        <w:rPr>
          <w:rFonts w:ascii="Calibri" w:hAnsi="Calibri"/>
          <w:color w:val="1A1A1A"/>
          <w:sz w:val="18"/>
        </w:rPr>
        <w:t xml:space="preserve">Owned security and identity operations alongside the platform role: SSO/SCIM, HashiCorp Vault, Snowflake security, compliance audits, and incident response</w:t>
      </w:r>
    </w:p>
    <w:tbl>
      <w:tblPr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vAlign w:val="bottom"/>
          </w:tcPr>
          <w:p>
            <w:pPr>
              <w:spacing w:lineRule="auto"/>
            </w:pPr>
            <w:r>
              <w:rPr>
                <w:rFonts w:ascii="Calibri" w:hAnsi="Calibri"/>
                <w:b/>
                <w:color w:val="0B0D14"/>
                <w:sz w:val="21"/>
              </w:rPr>
              <w:t xml:space="preserve">Senior Site Reliability Engineer</w:t>
            </w:r>
          </w:p>
        </w:tc>
        <w:tc>
          <w:tcPr>
            <w:vAlign w:val="bottom"/>
          </w:tcPr>
          <w:p>
            <w:pPr>
              <w:jc w:val="right"/>
              <w:spacing w:lineRule="auto"/>
            </w:pPr>
            <w:r>
              <w:rPr>
                <w:rFonts w:ascii="Calibri" w:hAnsi="Calibri"/>
                <w:color w:val="996B1D"/>
                <w:sz w:val="18"/>
              </w:rPr>
              <w:t xml:space="preserve">Aug 2020 – Jun 2021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line="266" w:lineRule="auto"/>
            </w:pPr>
            <w:r>
              <w:rPr>
                <w:rFonts w:ascii="Calibri" w:hAnsi="Calibri"/>
                <w:i/>
                <w:color w:val="1A1A1A"/>
                <w:sz w:val="19"/>
              </w:rPr>
              <w:t xml:space="preserve">GoHealth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2"/>
        </w:numPr>
        <w:spacing w:line="243" w:after="40" w:lineRule="auto"/>
      </w:pPr>
      <w:r>
        <w:rPr>
          <w:rFonts w:ascii="Calibri" w:hAnsi="Calibri"/>
          <w:color w:val="1A1A1A"/>
          <w:sz w:val="18"/>
        </w:rPr>
        <w:t xml:space="preserve">Owned SRE for a high-traffic health-insurance marketplace, improving availability and operational visibility across production environments</w:t>
      </w:r>
    </w:p>
    <w:p>
      <w:pPr>
        <w:numPr>
          <w:ilvl w:val="0"/>
          <w:numId w:val="2"/>
        </w:numPr>
        <w:spacing w:line="243" w:after="40" w:lineRule="auto"/>
      </w:pPr>
      <w:r>
        <w:rPr>
          <w:rFonts w:ascii="Calibri" w:hAnsi="Calibri"/>
          <w:color w:val="1A1A1A"/>
          <w:sz w:val="18"/>
        </w:rPr>
        <w:t xml:space="preserve">Built production monitoring and alerting systems that reduced MTTR and improved uptime through peak open-enrollment surge traffic</w:t>
      </w:r>
    </w:p>
    <w:tbl>
      <w:tblPr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vAlign w:val="bottom"/>
          </w:tcPr>
          <w:p>
            <w:pPr>
              <w:spacing w:lineRule="auto"/>
            </w:pPr>
            <w:r>
              <w:rPr>
                <w:rFonts w:ascii="Calibri" w:hAnsi="Calibri"/>
                <w:b/>
                <w:color w:val="0B0D14"/>
                <w:sz w:val="21"/>
              </w:rPr>
              <w:t xml:space="preserve">Senior Development Operations Engineer</w:t>
            </w:r>
          </w:p>
        </w:tc>
        <w:tc>
          <w:tcPr>
            <w:vAlign w:val="bottom"/>
          </w:tcPr>
          <w:p>
            <w:pPr>
              <w:jc w:val="right"/>
              <w:spacing w:lineRule="auto"/>
            </w:pPr>
            <w:r>
              <w:rPr>
                <w:rFonts w:ascii="Calibri" w:hAnsi="Calibri"/>
                <w:color w:val="996B1D"/>
                <w:sz w:val="18"/>
              </w:rPr>
              <w:t xml:space="preserve">Nov 2017 – Aug 2020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line="266" w:lineRule="auto"/>
            </w:pPr>
            <w:r>
              <w:rPr>
                <w:rFonts w:ascii="Calibri" w:hAnsi="Calibri"/>
                <w:i/>
                <w:color w:val="1A1A1A"/>
                <w:sz w:val="19"/>
              </w:rPr>
              <w:t xml:space="preserve">Symbiont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3"/>
        </w:numPr>
        <w:spacing w:line="243" w:after="40" w:lineRule="auto"/>
      </w:pPr>
      <w:r>
        <w:rPr>
          <w:rFonts w:ascii="Calibri" w:hAnsi="Calibri"/>
          <w:color w:val="1A1A1A"/>
          <w:sz w:val="18"/>
        </w:rPr>
        <w:t xml:space="preserve">Owned the enterprise CI/CD platform for a blockchain DLT product: automation and infrastructure tooling in Python, Go, Ansible, Terraform, and Packer across AWS, GCP, and Azure</w:t>
      </w:r>
    </w:p>
    <w:p>
      <w:pPr>
        <w:numPr>
          <w:ilvl w:val="0"/>
          <w:numId w:val="3"/>
        </w:numPr>
        <w:spacing w:line="243" w:after="40" w:lineRule="auto"/>
      </w:pPr>
      <w:r>
        <w:rPr>
          <w:rFonts w:ascii="Calibri" w:hAnsi="Calibri"/>
          <w:color w:val="1A1A1A"/>
          <w:sz w:val="18"/>
        </w:rPr>
        <w:t xml:space="preserve">Designed and operated production Kubernetes across AWS EKS, GCP GKE, and Azure AKS — a version-controlled multi-cloud deployment architecture for enterprise customers</w:t>
      </w:r>
    </w:p>
    <w:p>
      <w:pPr>
        <w:numPr>
          <w:ilvl w:val="0"/>
          <w:numId w:val="3"/>
        </w:numPr>
        <w:spacing w:line="243" w:after="40" w:lineRule="auto"/>
      </w:pPr>
      <w:r>
        <w:rPr>
          <w:rFonts w:ascii="Calibri" w:hAnsi="Calibri"/>
          <w:color w:val="1A1A1A"/>
          <w:sz w:val="18"/>
        </w:rPr>
        <w:t xml:space="preserve">Built Terraform-based repeatable customer deployment workflows for secure installs of DLT infrastructure into enterprise cloud environments on all three major providers</w:t>
      </w:r>
    </w:p>
    <w:tbl>
      <w:tblPr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0"/>
      </w:tblGrid>
      <w:tr>
        <w:trPr>
          <w:cantSplit/>
        </w:trPr>
        <w:tc>
          <w:tcPr>
            <w:tcBorders>
              <w:bottom w:val="single" w:sz="12" w:space="0" w:color="996B1D"/>
            </w:tcBorders>
          </w:tcPr>
          <w:p>
            <w:pPr>
              <w:spacing w:lineRule="auto"/>
            </w:pPr>
            <w:r>
              <w:rPr>
                <w:rFonts w:ascii="Georgia" w:hAnsi="Georgia"/>
                <w:b/>
                <w:color w:val="0B0D14"/>
                <w:sz w:val="22"/>
              </w:rPr>
              <w:t xml:space="preserve">OPEN SOURCE</w:t>
            </w:r>
          </w:p>
        </w:tc>
      </w:tr>
    </w:tbl>
    <w:p>
      <w:pPr>
        <w:spacing w:lineRule="auto"/>
      </w:pPr>
      <w:r>
        <w:rPr/>
      </w:r>
    </w:p>
    <w:p>
      <w:pPr>
        <w:spacing w:line="252" w:after="60" w:lineRule="auto"/>
      </w:pPr>
      <w:r>
        <w:rPr>
          <w:rFonts w:ascii="Calibri" w:hAnsi="Calibri"/>
          <w:color w:val="1A1A1A"/>
          <w:sz w:val="18"/>
        </w:rPr>
        <w:t xml:space="preserve">Five published frameworks across Python, Go, TypeScript, and Rust — full portfolio, packages, and write-ups at </w:t>
      </w:r>
      <w:hyperlink r:id="rId11">
        <w:r>
          <w:rPr>
            <w:rStyle w:val="Hyperlink"/>
            <w:rFonts w:ascii="Calibri" w:hAnsi="Calibri"/>
            <w:color w:val="1A1A1A"/>
            <w:sz w:val="18"/>
          </w:rPr>
          <w:t xml:space="preserve">jonbogaty.com</w:t>
        </w:r>
      </w:hyperlink>
      <w:r>
        <w:rPr>
          <w:rFonts w:ascii="Calibri" w:hAnsi="Calibri"/>
          <w:color w:val="1A1A1A"/>
          <w:sz w:val="18"/>
        </w:rPr>
        <w:t xml:space="preserve">.</w:t>
      </w:r>
    </w:p>
    <w:p>
      <w:pPr>
        <w:spacing w:line="252" w:after="40" w:lineRule="auto"/>
      </w:pPr>
      <w:r>
        <w:rPr>
          <w:rFonts w:ascii="Calibri" w:hAnsi="Calibri"/>
          <w:b/>
          <w:color w:val="0B0D14"/>
          <w:sz w:val="18"/>
        </w:rPr>
        <w:t xml:space="preserve">radioactive-ralph</w:t>
      </w:r>
      <w:r>
        <w:rPr>
          <w:rFonts w:ascii="Calibri" w:hAnsi="Calibri"/>
          <w:color w:val="1A1A1A"/>
          <w:sz w:val="18"/>
        </w:rPr>
        <w:t xml:space="preserve"> — Autonomous Continuous Development Orchestrator  ·  </w:t>
      </w:r>
      <w:r>
        <w:rPr>
          <w:rFonts w:ascii="Calibri" w:hAnsi="Calibri"/>
          <w:color w:val="996B1D"/>
          <w:sz w:val="18"/>
        </w:rPr>
        <w:t xml:space="preserve">jonbogaty.com/radioactive-ralph</w:t>
      </w:r>
    </w:p>
    <w:p>
      <w:pPr>
        <w:spacing w:line="252" w:after="40" w:lineRule="auto"/>
      </w:pPr>
      <w:r>
        <w:rPr>
          <w:rFonts w:ascii="Calibri" w:hAnsi="Calibri"/>
          <w:b/>
          <w:color w:val="0B0D14"/>
          <w:sz w:val="18"/>
        </w:rPr>
        <w:t xml:space="preserve">paranoid-passwd</w:t>
      </w:r>
      <w:r>
        <w:rPr>
          <w:rFonts w:ascii="Calibri" w:hAnsi="Calibri"/>
          <w:color w:val="1A1A1A"/>
          <w:sz w:val="18"/>
        </w:rPr>
        <w:t xml:space="preserve"> — Zero-Trust Cryptographic Password Generator  ·  </w:t>
      </w:r>
      <w:r>
        <w:rPr>
          <w:rFonts w:ascii="Calibri" w:hAnsi="Calibri"/>
          <w:color w:val="996B1D"/>
          <w:sz w:val="18"/>
        </w:rPr>
        <w:t xml:space="preserve">paranoid-passwd.com</w:t>
      </w:r>
    </w:p>
    <w:p>
      <w:pPr>
        <w:spacing w:line="252" w:after="40" w:lineRule="auto"/>
      </w:pPr>
      <w:r>
        <w:rPr>
          <w:rFonts w:ascii="Calibri" w:hAnsi="Calibri"/>
          <w:b/>
          <w:color w:val="0B0D14"/>
          <w:sz w:val="18"/>
        </w:rPr>
        <w:t xml:space="preserve">Agentic</w:t>
      </w:r>
      <w:r>
        <w:rPr>
          <w:rFonts w:ascii="Calibri" w:hAnsi="Calibri"/>
          <w:color w:val="1A1A1A"/>
          <w:sz w:val="18"/>
        </w:rPr>
        <w:t xml:space="preserve"> — Polyglot AI Agent Orchestration  ·  </w:t>
      </w:r>
      <w:r>
        <w:rPr>
          <w:rFonts w:ascii="Calibri" w:hAnsi="Calibri"/>
          <w:color w:val="996B1D"/>
          <w:sz w:val="18"/>
        </w:rPr>
        <w:t xml:space="preserve">agentic.coach</w:t>
      </w:r>
    </w:p>
    <w:p>
      <w:pPr>
        <w:spacing w:line="252" w:after="40" w:lineRule="auto"/>
      </w:pPr>
      <w:r>
        <w:rPr>
          <w:rFonts w:ascii="Calibri" w:hAnsi="Calibri"/>
          <w:b/>
          <w:color w:val="0B0D14"/>
          <w:sz w:val="18"/>
        </w:rPr>
        <w:t xml:space="preserve">Extended Data Library</w:t>
      </w:r>
      <w:r>
        <w:rPr>
          <w:rFonts w:ascii="Calibri" w:hAnsi="Calibri"/>
          <w:color w:val="1A1A1A"/>
          <w:sz w:val="18"/>
        </w:rPr>
        <w:t xml:space="preserve"> — Python + Go Data Toolkit  ·  </w:t>
      </w:r>
      <w:r>
        <w:rPr>
          <w:rFonts w:ascii="Calibri" w:hAnsi="Calibri"/>
          <w:color w:val="996B1D"/>
          <w:sz w:val="18"/>
        </w:rPr>
        <w:t xml:space="preserve">extended-data.dev</w:t>
      </w:r>
    </w:p>
    <w:tbl>
      <w:tblPr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0"/>
      </w:tblGrid>
      <w:tr>
        <w:trPr>
          <w:cantSplit/>
        </w:trPr>
        <w:tc>
          <w:tcPr>
            <w:tcBorders>
              <w:bottom w:val="single" w:sz="12" w:space="0" w:color="996B1D"/>
            </w:tcBorders>
          </w:tcPr>
          <w:p>
            <w:pPr>
              <w:spacing w:lineRule="auto"/>
            </w:pPr>
            <w:r>
              <w:rPr>
                <w:rFonts w:ascii="Georgia" w:hAnsi="Georgia"/>
                <w:b/>
                <w:color w:val="0B0D14"/>
                <w:sz w:val="22"/>
              </w:rPr>
              <w:t xml:space="preserve">EARLIER CAREER</w:t>
            </w:r>
          </w:p>
        </w:tc>
      </w:tr>
    </w:tbl>
    <w:p>
      <w:pPr>
        <w:spacing w:lineRule="auto"/>
      </w:pPr>
      <w:r>
        <w:rPr/>
      </w:r>
    </w:p>
    <w:p>
      <w:pPr>
        <w:spacing w:line="252" w:after="80" w:lineRule="auto"/>
      </w:pPr>
      <w:r>
        <w:rPr>
          <w:rFonts w:ascii="Calibri" w:hAnsi="Calibri"/>
          <w:color w:val="1A1A1A"/>
          <w:sz w:val="18"/>
        </w:rPr>
        <w:t xml:space="preserve">A decade of senior DevOps and infrastructure work in consulting-style engagements across ad-tech, e-commerce, mobile, and publishing — Jump Ramp (2017), Qualia Media (2016–17), ClassPass (2015–16), Magnetic (2014–15), Digital First Media (2014), EachScape (2013), and Totsy (2012–13) — alongside freelance systems consulting as jonbogaty.com (2005–13). Highlights: early production Docker and Terraform adoption (2015), a $20K/month AWS cost reduction via Netflix OSS Janitor Monkey, a 300+ server fleet managed with Chef and Rundeck, a metrics-based GCP auto-scaler, and datacenter-to-cloud migrations throughout.</w:t>
      </w:r>
    </w:p>
    <w:tbl>
      <w:tblPr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0"/>
      </w:tblGrid>
      <w:tr>
        <w:trPr>
          <w:cantSplit/>
        </w:trPr>
        <w:tc>
          <w:tcPr>
            <w:tcBorders>
              <w:bottom w:val="single" w:sz="12" w:space="0" w:color="996B1D"/>
            </w:tcBorders>
          </w:tcPr>
          <w:p>
            <w:pPr>
              <w:spacing w:lineRule="auto"/>
            </w:pPr>
            <w:r>
              <w:rPr>
                <w:rFonts w:ascii="Georgia" w:hAnsi="Georgia"/>
                <w:b/>
                <w:color w:val="0B0D14"/>
                <w:sz w:val="22"/>
              </w:rPr>
              <w:t xml:space="preserve">TECHNICAL SKILLS</w:t>
            </w:r>
          </w:p>
        </w:tc>
      </w:tr>
    </w:tbl>
    <w:p>
      <w:pPr>
        <w:spacing w:lineRule="auto"/>
      </w:pPr>
      <w:r>
        <w:rPr/>
      </w:r>
    </w:p>
    <w:p>
      <w:pPr>
        <w:spacing w:line="252" w:after="40" w:lineRule="auto"/>
      </w:pPr>
      <w:r>
        <w:rPr>
          <w:rFonts w:ascii="Calibri" w:hAnsi="Calibri"/>
          <w:b/>
          <w:color w:val="0B0D14"/>
          <w:sz w:val="18"/>
        </w:rPr>
        <w:t xml:space="preserve">Platform &amp; Reliability:</w:t>
      </w:r>
      <w:r>
        <w:rPr>
          <w:rFonts w:ascii="Calibri" w:hAnsi="Calibri"/>
          <w:color w:val="1A1A1A"/>
          <w:sz w:val="18"/>
        </w:rPr>
        <w:t xml:space="preserve"> Platform Engineering, Site Reliability Engineering (SRE), Kubernetes (EKS, GKE, AKS), Docker, Incident Response, Cost Optimization (FinOps)</w:t>
      </w:r>
    </w:p>
    <w:p>
      <w:pPr>
        <w:spacing w:line="252" w:after="40" w:lineRule="auto"/>
      </w:pPr>
      <w:r>
        <w:rPr>
          <w:rFonts w:ascii="Calibri" w:hAnsi="Calibri"/>
          <w:b/>
          <w:color w:val="0B0D14"/>
          <w:sz w:val="18"/>
        </w:rPr>
        <w:t xml:space="preserve">Cloud Platforms:</w:t>
      </w:r>
      <w:r>
        <w:rPr>
          <w:rFonts w:ascii="Calibri" w:hAnsi="Calibri"/>
          <w:color w:val="1A1A1A"/>
          <w:sz w:val="18"/>
        </w:rPr>
        <w:t xml:space="preserve"> AWS (Lambda, ECS/EKS, IAM, VPC, Secrets Manager, Nitro Enclaves), GCP (GKE, Pub/Sub, BigQuery, Cloud Run), Azure (AKS, Entra ID, Key Vault)</w:t>
      </w:r>
    </w:p>
    <w:p>
      <w:pPr>
        <w:spacing w:line="252" w:after="40" w:lineRule="auto"/>
      </w:pPr>
      <w:r>
        <w:rPr>
          <w:rFonts w:ascii="Calibri" w:hAnsi="Calibri"/>
          <w:b/>
          <w:color w:val="0B0D14"/>
          <w:sz w:val="18"/>
        </w:rPr>
        <w:t xml:space="preserve">Infrastructure as Code:</w:t>
      </w:r>
      <w:r>
        <w:rPr>
          <w:rFonts w:ascii="Calibri" w:hAnsi="Calibri"/>
          <w:color w:val="1A1A1A"/>
          <w:sz w:val="18"/>
        </w:rPr>
        <w:t xml:space="preserve"> Terraform, Terragrunt, Packer, Ansible</w:t>
      </w:r>
    </w:p>
    <w:p>
      <w:pPr>
        <w:spacing w:line="252" w:after="40" w:lineRule="auto"/>
      </w:pPr>
      <w:r>
        <w:rPr>
          <w:rFonts w:ascii="Calibri" w:hAnsi="Calibri"/>
          <w:b/>
          <w:color w:val="0B0D14"/>
          <w:sz w:val="18"/>
        </w:rPr>
        <w:t xml:space="preserve">CI/CD &amp; Automation:</w:t>
      </w:r>
      <w:r>
        <w:rPr>
          <w:rFonts w:ascii="Calibri" w:hAnsi="Calibri"/>
          <w:color w:val="1A1A1A"/>
          <w:sz w:val="18"/>
        </w:rPr>
        <w:t xml:space="preserve"> GitHub Actions, GitLab CI, Jenkins, ArgoCD, GitOps</w:t>
      </w:r>
    </w:p>
    <w:p>
      <w:pPr>
        <w:spacing w:line="252" w:after="40" w:lineRule="auto"/>
      </w:pPr>
      <w:r>
        <w:rPr>
          <w:rFonts w:ascii="Calibri" w:hAnsi="Calibri"/>
          <w:b/>
          <w:color w:val="0B0D14"/>
          <w:sz w:val="18"/>
        </w:rPr>
        <w:t xml:space="preserve">Security &amp; Compliance:</w:t>
      </w:r>
      <w:r>
        <w:rPr>
          <w:rFonts w:ascii="Calibri" w:hAnsi="Calibri"/>
          <w:color w:val="1A1A1A"/>
          <w:sz w:val="18"/>
        </w:rPr>
        <w:t xml:space="preserve"> Zero-Trust Architecture, IAM/RBAC, HashiCorp Vault, Secrets Management, Supply-Chain Security (SLSA, Sigstore, SBOM), Fireblocks</w:t>
      </w:r>
    </w:p>
    <w:p>
      <w:pPr>
        <w:spacing w:line="252" w:after="40" w:lineRule="auto"/>
      </w:pPr>
      <w:r>
        <w:rPr>
          <w:rFonts w:ascii="Calibri" w:hAnsi="Calibri"/>
          <w:b/>
          <w:color w:val="0B0D14"/>
          <w:sz w:val="18"/>
        </w:rPr>
        <w:t xml:space="preserve">Observability:</w:t>
      </w:r>
      <w:r>
        <w:rPr>
          <w:rFonts w:ascii="Calibri" w:hAnsi="Calibri"/>
          <w:color w:val="1A1A1A"/>
          <w:sz w:val="18"/>
        </w:rPr>
        <w:t xml:space="preserve"> Prometheus, Grafana, Datadog, CloudWatch, PagerDuty</w:t>
      </w:r>
    </w:p>
    <w:p>
      <w:pPr>
        <w:spacing w:line="252" w:after="40" w:lineRule="auto"/>
      </w:pPr>
      <w:r>
        <w:rPr>
          <w:rFonts w:ascii="Calibri" w:hAnsi="Calibri"/>
          <w:b/>
          <w:color w:val="0B0D14"/>
          <w:sz w:val="18"/>
        </w:rPr>
        <w:t xml:space="preserve">Programming &amp; AI:</w:t>
      </w:r>
      <w:r>
        <w:rPr>
          <w:rFonts w:ascii="Calibri" w:hAnsi="Calibri"/>
          <w:color w:val="1A1A1A"/>
          <w:sz w:val="18"/>
        </w:rPr>
        <w:t xml:space="preserve"> Python, Go, TypeScript, Bash, SQL, AI agent orchestration, MCP servers</w:t>
      </w:r>
    </w:p>
    <w:tbl>
      <w:tblPr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0"/>
      </w:tblGrid>
      <w:tr>
        <w:trPr>
          <w:cantSplit/>
        </w:trPr>
        <w:tc>
          <w:tcPr>
            <w:tcBorders>
              <w:bottom w:val="single" w:sz="12" w:space="0" w:color="996B1D"/>
            </w:tcBorders>
          </w:tcPr>
          <w:p>
            <w:pPr>
              <w:spacing w:lineRule="auto"/>
            </w:pPr>
            <w:r>
              <w:rPr>
                <w:rFonts w:ascii="Georgia" w:hAnsi="Georgia"/>
                <w:b/>
                <w:color w:val="0B0D14"/>
                <w:sz w:val="22"/>
              </w:rPr>
              <w:t xml:space="preserve">EDUCATION</w:t>
            </w:r>
          </w:p>
        </w:tc>
      </w:tr>
    </w:tbl>
    <w:p>
      <w:pPr>
        <w:spacing w:lineRule="auto"/>
      </w:pPr>
      <w:r>
        <w:rPr/>
      </w:r>
    </w:p>
    <w:p>
      <w:pPr>
        <w:spacing w:line="266" w:lineRule="auto"/>
      </w:pPr>
      <w:r>
        <w:rPr>
          <w:rFonts w:ascii="Calibri" w:hAnsi="Calibri"/>
          <w:b/>
          <w:color w:val="0B0D14"/>
          <w:sz w:val="19"/>
        </w:rPr>
        <w:t xml:space="preserve">Associate of Applied Science (AAS) — Computer Information Technology</w:t>
      </w:r>
    </w:p>
    <w:p>
      <w:pPr>
        <w:spacing w:line="252" w:lineRule="auto"/>
      </w:pPr>
      <w:r>
        <w:rPr>
          <w:rFonts w:ascii="Calibri" w:hAnsi="Calibri"/>
          <w:color w:val="555555"/>
          <w:sz w:val="18"/>
        </w:rPr>
        <w:t xml:space="preserve">Ivy Tech Community College · 2007–2009</w:t>
      </w:r>
    </w:p>
    <w:p>
      <w:pPr>
        <w:spacing w:line="252" w:after="80" w:lineRule="auto"/>
      </w:pPr>
      <w:r>
        <w:rPr>
          <w:rFonts w:ascii="Calibri" w:hAnsi="Calibri"/>
          <w:color w:val="996B1D"/>
          <w:sz w:val="18"/>
        </w:rPr>
        <w:t xml:space="preserve">Graduated with Honors · Dean's List (All Semesters)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Times New Roman"/>
    <w:family w:val="roman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19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jon@jonbogaty.com" TargetMode="External"/>
  <Relationship Id="rId7" Type="http://schemas.openxmlformats.org/officeDocument/2006/relationships/hyperlink" Target="https://www.jonbogaty.com" TargetMode="External"/>
  <Relationship Id="rId8" Type="http://schemas.openxmlformats.org/officeDocument/2006/relationships/hyperlink" Target="https://linkedin.com/in/jonbogaty" TargetMode="External"/>
  <Relationship Id="rId9" Type="http://schemas.openxmlformats.org/officeDocument/2006/relationships/hyperlink" Target="https://github.com/jbcom" TargetMode="External"/>
  <Relationship Id="rId10" Type="http://schemas.openxmlformats.org/officeDocument/2006/relationships/hyperlink" Target="https://t.me/jbpersonaldev" TargetMode="External"/>
  <Relationship Id="rId11" Type="http://schemas.openxmlformats.org/officeDocument/2006/relationships/hyperlink" Target="https://www.jonbogaty.com" TargetMode="External"/>
  <Relationship Id="rId12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 Bogaty - Resume</dc:title>
  <dc:subject/>
  <dc:creator>Jon Bogaty</dc:creator>
  <cp:keywords>Powered by TurboDocx html-to-docx</cp:keywords>
  <dc:description/>
  <cp:lastModifiedBy>Powered by TurboDocx html-to-docx</cp:lastModifiedBy>
  <cp:revision>1</cp:revision>
  <dcterms:created xsi:type="dcterms:W3CDTF">2026-06-09T23:29:11.285Z</dcterms:created>
  <dcterms:modified xsi:type="dcterms:W3CDTF">2026-06-09T23:29:11.285Z</dcterms:modified>
</cp:coreProperties>
</file>