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47E3" w:rsidP="00AD0DEC" w:rsidRDefault="000300CD" w14:paraId="7E6E51B5" w14:textId="6CF7A72B">
      <w:pPr>
        <w:spacing w:after="40"/>
        <w:jc w:val="center"/>
      </w:pPr>
      <w:r w:rsidRPr="12D8E9F3" w:rsidR="56F5D9B2">
        <w:rPr>
          <w:b w:val="1"/>
          <w:bCs w:val="1"/>
          <w:color w:val="1F3864"/>
          <w:sz w:val="40"/>
          <w:szCs w:val="40"/>
        </w:rPr>
        <w:t>Sperry Tech — Shell Hacks 2026 Challenge</w:t>
      </w:r>
    </w:p>
    <w:p w:rsidR="56DE4DED" w:rsidP="12D8E9F3" w:rsidRDefault="56DE4DED" w14:paraId="31FC273B" w14:textId="23300ACE">
      <w:pPr>
        <w:spacing w:after="40"/>
        <w:jc w:val="center"/>
      </w:pPr>
      <w:r w:rsidRPr="12D8E9F3" w:rsidR="56DE4DED">
        <w:rPr>
          <w:b w:val="1"/>
          <w:bCs w:val="1"/>
          <w:color w:val="1F3864"/>
          <w:sz w:val="40"/>
          <w:szCs w:val="40"/>
        </w:rPr>
        <w:t>Gridlock</w:t>
      </w:r>
    </w:p>
    <w:p w:rsidR="00AD0DEC" w:rsidP="00AD0DEC" w:rsidRDefault="00AD0DEC" w14:paraId="64EDF8F0" w14:textId="77777777">
      <w:pPr>
        <w:spacing w:after="40"/>
        <w:jc w:val="center"/>
      </w:pPr>
    </w:p>
    <w:p w:rsidR="000747E3" w:rsidRDefault="00230A5F" w14:paraId="6A5DB411" w14:textId="29F0A4D6">
      <w:pPr>
        <w:pStyle w:val="Heading1"/>
        <w:spacing w:before="320" w:after="160"/>
      </w:pPr>
      <w:r>
        <w:t>1. What This Challenge Is</w:t>
      </w:r>
    </w:p>
    <w:p w:rsidR="000747E3" w:rsidRDefault="00230A5F" w14:paraId="27D1CEF6" w14:textId="77777777">
      <w:pPr>
        <w:spacing w:after="160"/>
      </w:pPr>
      <w:r>
        <w:t>Power grid companies (“utilities”) each plan their own future construction projects — new power lines, upgraded substations, etc. — years in advance. The problem: neighboring utilities in different states often plan this work without much visibility into what the other one is doing nearby.</w:t>
      </w:r>
    </w:p>
    <w:p w:rsidR="000747E3" w:rsidRDefault="00230A5F" w14:paraId="36FD8497" w14:textId="52E5DDA1">
      <w:pPr>
        <w:spacing w:after="160"/>
      </w:pPr>
      <w:r>
        <w:t xml:space="preserve">The challenge: </w:t>
      </w:r>
      <w:r>
        <w:rPr>
          <w:b/>
          <w:bCs/>
        </w:rPr>
        <w:t>build a tool that compares at least two utilities' public future construction plans and flags where their planned work overlaps</w:t>
      </w:r>
      <w:r>
        <w:t xml:space="preserve"> — either because the projects are physically close to each other, or because they're scheduled around the same time.</w:t>
      </w:r>
    </w:p>
    <w:p w:rsidR="000747E3" w:rsidRDefault="00230A5F" w14:paraId="36D46ACD" w14:textId="2151D0DB">
      <w:pPr>
        <w:spacing w:after="160"/>
      </w:pPr>
      <w:r>
        <w:t>Why it matters: when utilities coordinate on nearby projects, they can potentially share resources (crews, equipment, right-of-way, substation capacity), which saves money and gets infrastructure built faster. Right now, that coordination mostly doesn't happen at this level of detail.</w:t>
      </w:r>
    </w:p>
    <w:p w:rsidR="000747E3" w:rsidRDefault="00230A5F" w14:paraId="0E11FB10" w14:textId="77777777">
      <w:pPr>
        <w:spacing w:after="160"/>
      </w:pPr>
      <w:r>
        <w:t>This is a real, current problem — federal regulators (FERC) issued a rule in 2024 (“Order No. 1920”) specifically because utilities have historically planned in isolation, leading to duplicated, inefficient work. Our challenge is a smaller, hackathon-sized version of that same coordination problem.</w:t>
      </w:r>
    </w:p>
    <w:p w:rsidR="00AD0DEC" w:rsidRDefault="00AD0DEC" w14:paraId="35A7D636" w14:textId="77777777">
      <w:pPr>
        <w:spacing w:after="160"/>
      </w:pPr>
    </w:p>
    <w:p w:rsidR="000747E3" w:rsidRDefault="00230A5F" w14:paraId="62D95E51" w14:textId="099495CE">
      <w:pPr>
        <w:pStyle w:val="Heading1"/>
        <w:spacing w:before="320" w:after="160"/>
      </w:pPr>
      <w:r>
        <w:t>2. The Two Utilities We're Using as an Example</w:t>
      </w:r>
    </w:p>
    <w:p w:rsidR="000747E3" w:rsidRDefault="235E0C47" w14:paraId="48042A88" w14:textId="6DC3E410">
      <w:pPr>
        <w:spacing w:after="160"/>
      </w:pPr>
      <w:r>
        <w:rPr>
          <w:b/>
          <w:bCs/>
        </w:rPr>
        <w:t>Utility 1: Dominion Energy South Carolina (DESC)</w:t>
      </w:r>
    </w:p>
    <w:p w:rsidR="000747E3" w:rsidP="235E0C47" w:rsidRDefault="235E0C47" w14:paraId="62E08CD4" w14:textId="7C7E4BB7">
      <w:pPr>
        <w:spacing w:after="160"/>
      </w:pPr>
      <w:r>
        <w:rPr>
          <w:b/>
          <w:bCs/>
        </w:rPr>
        <w:t>Utility 2: Georgia Power (GPC)</w:t>
      </w:r>
    </w:p>
    <w:p w:rsidR="00E3305E" w:rsidRDefault="00385CAC" w14:paraId="3CE0234C" w14:textId="35AFB30D">
      <w:pPr>
        <w:spacing w:after="160"/>
      </w:pPr>
      <w:r w:rsidRPr="00385CAC">
        <w:t>Georgia Power is a founding sponsor of the same regional coordination forum DESC is joining (SERTP, see glossary), so this example mirrors a real coordination relationship, not a made-up one. South Carolina and Georgia also share a border — the Savannah River — and DESC has several real, currently-planned projects along that border that sit close to active Georgia Power work in the same areas. So there's already a real cross-utility overlap here, not just a hypothetical one.</w:t>
      </w:r>
    </w:p>
    <w:p w:rsidR="008402C4" w:rsidRDefault="008402C4" w14:paraId="2ED71D82" w14:textId="77777777">
      <w:pPr>
        <w:spacing w:after="160"/>
      </w:pPr>
    </w:p>
    <w:p w:rsidR="008402C4" w:rsidRDefault="008402C4" w14:paraId="7887F436" w14:textId="77777777">
      <w:pPr>
        <w:spacing w:after="160"/>
      </w:pPr>
    </w:p>
    <w:p w:rsidR="008402C4" w:rsidRDefault="008402C4" w14:paraId="2213AE2D" w14:textId="77777777">
      <w:pPr>
        <w:spacing w:after="160"/>
      </w:pPr>
    </w:p>
    <w:p w:rsidR="00E3305E" w:rsidRDefault="00E3305E" w14:paraId="705F1F57" w14:textId="77777777">
      <w:pPr>
        <w:spacing w:after="160"/>
      </w:pPr>
    </w:p>
    <w:p w:rsidR="00E3305E" w:rsidRDefault="00E3305E" w14:paraId="6644760C" w14:textId="77777777">
      <w:pPr>
        <w:spacing w:after="160"/>
      </w:pPr>
    </w:p>
    <w:p w:rsidR="00E3305E" w:rsidRDefault="00E3305E" w14:paraId="013658AC" w14:textId="77777777">
      <w:pPr>
        <w:spacing w:after="160"/>
      </w:pPr>
    </w:p>
    <w:p w:rsidR="00E3305E" w:rsidRDefault="00E3305E" w14:paraId="67E48620" w14:textId="77777777">
      <w:pPr>
        <w:spacing w:after="160"/>
      </w:pPr>
    </w:p>
    <w:p w:rsidR="00E3305E" w:rsidRDefault="00E3305E" w14:paraId="563671C6" w14:textId="77777777">
      <w:pPr>
        <w:spacing w:after="160"/>
      </w:pPr>
    </w:p>
    <w:p w:rsidR="00E3305E" w:rsidRDefault="00E3305E" w14:paraId="7CCB071C" w14:textId="77777777">
      <w:pPr>
        <w:spacing w:after="160"/>
      </w:pPr>
    </w:p>
    <w:p w:rsidR="00E3305E" w:rsidRDefault="00E3305E" w14:paraId="1803616A" w14:textId="77777777">
      <w:pPr>
        <w:spacing w:after="160"/>
      </w:pPr>
    </w:p>
    <w:p w:rsidR="00E3305E" w:rsidP="12D8E9F3" w:rsidRDefault="0039031D" w14:paraId="6EF196D8" w14:textId="29E4BE89">
      <w:pPr>
        <w:pStyle w:val="Normal"/>
        <w:spacing w:after="160"/>
      </w:pPr>
      <w:r>
        <w:br/>
      </w:r>
    </w:p>
    <w:p w:rsidR="000747E3" w:rsidRDefault="7A0D7EE5" w14:paraId="03571003" w14:textId="434F23F0">
      <w:pPr>
        <w:pStyle w:val="Heading1"/>
        <w:spacing w:before="320" w:after="160"/>
      </w:pPr>
      <w:r>
        <w:lastRenderedPageBreak/>
        <w:t>3. VOCAB dictionary (to help you better understand certain terms)</w:t>
      </w:r>
    </w:p>
    <w:p w:rsidR="000747E3" w:rsidRDefault="000747E3" w14:paraId="3E0DE4E2" w14:textId="4A1644DA">
      <w:pPr>
        <w:spacing w:after="160"/>
      </w:pP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747E3" w:rsidTr="00E7525F" w14:paraId="703D6494" w14:textId="77777777">
        <w:trPr>
          <w:tblHeader/>
          <w:jc w:val="center"/>
        </w:trPr>
        <w:tc>
          <w:tcPr>
            <w:tcW w:w="2400" w:type="dxa"/>
            <w:shd w:val="clear" w:color="auto" w:fill="1F3864"/>
            <w:tcMar>
              <w:top w:w="100" w:type="dxa"/>
              <w:left w:w="120" w:type="dxa"/>
              <w:bottom w:w="100" w:type="dxa"/>
              <w:right w:w="120" w:type="dxa"/>
            </w:tcMar>
          </w:tcPr>
          <w:p w:rsidR="000747E3" w:rsidRDefault="00230A5F" w14:paraId="361288DF" w14:textId="77777777">
            <w:r>
              <w:rPr>
                <w:b/>
                <w:bCs/>
                <w:color w:val="FFFFFF"/>
              </w:rPr>
              <w:t>Term</w:t>
            </w:r>
          </w:p>
        </w:tc>
        <w:tc>
          <w:tcPr>
            <w:tcW w:w="6960" w:type="dxa"/>
            <w:shd w:val="clear" w:color="auto" w:fill="1F3864"/>
            <w:tcMar>
              <w:top w:w="100" w:type="dxa"/>
              <w:left w:w="120" w:type="dxa"/>
              <w:bottom w:w="100" w:type="dxa"/>
              <w:right w:w="120" w:type="dxa"/>
            </w:tcMar>
          </w:tcPr>
          <w:p w:rsidR="000747E3" w:rsidRDefault="00230A5F" w14:paraId="00199387" w14:textId="77777777">
            <w:r>
              <w:rPr>
                <w:b/>
                <w:bCs/>
                <w:color w:val="FFFFFF"/>
              </w:rPr>
              <w:t>What it means</w:t>
            </w:r>
          </w:p>
        </w:tc>
      </w:tr>
      <w:tr w:rsidR="000747E3" w:rsidTr="00E7525F" w14:paraId="43C7D05D" w14:textId="77777777">
        <w:trPr>
          <w:jc w:val="center"/>
        </w:trPr>
        <w:tc>
          <w:tcPr>
            <w:tcW w:w="2400" w:type="dxa"/>
            <w:shd w:val="clear" w:color="auto" w:fill="FFFFFF" w:themeFill="background1"/>
            <w:tcMar>
              <w:top w:w="100" w:type="dxa"/>
              <w:left w:w="120" w:type="dxa"/>
              <w:bottom w:w="100" w:type="dxa"/>
              <w:right w:w="120" w:type="dxa"/>
            </w:tcMar>
          </w:tcPr>
          <w:p w:rsidR="000747E3" w:rsidRDefault="00230A5F" w14:paraId="7E4866FE" w14:textId="77777777">
            <w:r>
              <w:rPr>
                <w:b/>
                <w:bCs/>
              </w:rPr>
              <w:t>Transmission line</w:t>
            </w:r>
          </w:p>
        </w:tc>
        <w:tc>
          <w:tcPr>
            <w:tcW w:w="6960" w:type="dxa"/>
            <w:shd w:val="clear" w:color="auto" w:fill="FFFFFF" w:themeFill="background1"/>
            <w:tcMar>
              <w:top w:w="100" w:type="dxa"/>
              <w:left w:w="120" w:type="dxa"/>
              <w:bottom w:w="100" w:type="dxa"/>
              <w:right w:w="120" w:type="dxa"/>
            </w:tcMar>
          </w:tcPr>
          <w:p w:rsidR="000747E3" w:rsidRDefault="00230A5F" w14:paraId="3AA41509" w14:textId="39D69395">
            <w:r>
              <w:t>A high-voltage power line that moves electricity for long distances between power plants, substations, and regions. (Different from the smaller “distribution lines” that run to individual houses.)</w:t>
            </w:r>
          </w:p>
        </w:tc>
      </w:tr>
      <w:tr w:rsidR="000747E3" w:rsidTr="00E7525F" w14:paraId="44F69602" w14:textId="77777777">
        <w:trPr>
          <w:jc w:val="center"/>
        </w:trPr>
        <w:tc>
          <w:tcPr>
            <w:tcW w:w="2400" w:type="dxa"/>
            <w:shd w:val="clear" w:color="auto" w:fill="F2F2F2" w:themeFill="background1" w:themeFillShade="F2"/>
            <w:tcMar>
              <w:top w:w="100" w:type="dxa"/>
              <w:left w:w="120" w:type="dxa"/>
              <w:bottom w:w="100" w:type="dxa"/>
              <w:right w:w="120" w:type="dxa"/>
            </w:tcMar>
          </w:tcPr>
          <w:p w:rsidR="000747E3" w:rsidRDefault="00230A5F" w14:paraId="63914E4F" w14:textId="77777777">
            <w:r>
              <w:rPr>
                <w:b/>
                <w:bCs/>
              </w:rPr>
              <w:t>Substation</w:t>
            </w:r>
          </w:p>
        </w:tc>
        <w:tc>
          <w:tcPr>
            <w:tcW w:w="6960" w:type="dxa"/>
            <w:shd w:val="clear" w:color="auto" w:fill="F2F2F2" w:themeFill="background1" w:themeFillShade="F2"/>
            <w:tcMar>
              <w:top w:w="100" w:type="dxa"/>
              <w:left w:w="120" w:type="dxa"/>
              <w:bottom w:w="100" w:type="dxa"/>
              <w:right w:w="120" w:type="dxa"/>
            </w:tcMar>
          </w:tcPr>
          <w:p w:rsidR="000747E3" w:rsidRDefault="00230A5F" w14:paraId="58761453" w14:textId="77777777">
            <w:r>
              <w:t>A facility where electricity is stepped up/down in voltage and routed between transmission lines. Think of it as a highway interchange for electricity.</w:t>
            </w:r>
          </w:p>
        </w:tc>
      </w:tr>
      <w:tr w:rsidR="000747E3" w:rsidTr="00E7525F" w14:paraId="1F2BF742" w14:textId="77777777">
        <w:trPr>
          <w:jc w:val="center"/>
        </w:trPr>
        <w:tc>
          <w:tcPr>
            <w:tcW w:w="2400" w:type="dxa"/>
            <w:shd w:val="clear" w:color="auto" w:fill="FFFFFF" w:themeFill="background1"/>
            <w:tcMar>
              <w:top w:w="100" w:type="dxa"/>
              <w:left w:w="120" w:type="dxa"/>
              <w:bottom w:w="100" w:type="dxa"/>
              <w:right w:w="120" w:type="dxa"/>
            </w:tcMar>
          </w:tcPr>
          <w:p w:rsidR="000747E3" w:rsidRDefault="00230A5F" w14:paraId="42E5AD1C" w14:textId="77777777">
            <w:r>
              <w:rPr>
                <w:b/>
                <w:bCs/>
              </w:rPr>
              <w:t>Right-of-way</w:t>
            </w:r>
          </w:p>
        </w:tc>
        <w:tc>
          <w:tcPr>
            <w:tcW w:w="6960" w:type="dxa"/>
            <w:shd w:val="clear" w:color="auto" w:fill="FFFFFF" w:themeFill="background1"/>
            <w:tcMar>
              <w:top w:w="100" w:type="dxa"/>
              <w:left w:w="120" w:type="dxa"/>
              <w:bottom w:w="100" w:type="dxa"/>
              <w:right w:w="120" w:type="dxa"/>
            </w:tcMar>
          </w:tcPr>
          <w:p w:rsidR="000747E3" w:rsidRDefault="00230A5F" w14:paraId="002ED19C" w14:textId="398A3202">
            <w:r>
              <w:t>The strip of land a utility owns or has legal access to build/maintain a line. If two projects could share a right-of-way, that's a resource-sharing win.</w:t>
            </w:r>
          </w:p>
        </w:tc>
      </w:tr>
      <w:tr w:rsidR="000747E3" w:rsidTr="00E7525F" w14:paraId="5C0F7DD2" w14:textId="77777777">
        <w:trPr>
          <w:jc w:val="center"/>
        </w:trPr>
        <w:tc>
          <w:tcPr>
            <w:tcW w:w="2400" w:type="dxa"/>
            <w:shd w:val="clear" w:color="auto" w:fill="F2F2F2" w:themeFill="background1" w:themeFillShade="F2"/>
            <w:tcMar>
              <w:top w:w="100" w:type="dxa"/>
              <w:left w:w="120" w:type="dxa"/>
              <w:bottom w:w="100" w:type="dxa"/>
              <w:right w:w="120" w:type="dxa"/>
            </w:tcMar>
          </w:tcPr>
          <w:p w:rsidR="000747E3" w:rsidRDefault="00230A5F" w14:paraId="74B9718C" w14:textId="77777777">
            <w:r>
              <w:rPr>
                <w:b/>
                <w:bCs/>
              </w:rPr>
              <w:t>IRP (Integrated Resource Plan)</w:t>
            </w:r>
          </w:p>
        </w:tc>
        <w:tc>
          <w:tcPr>
            <w:tcW w:w="6960" w:type="dxa"/>
            <w:shd w:val="clear" w:color="auto" w:fill="F2F2F2" w:themeFill="background1" w:themeFillShade="F2"/>
            <w:tcMar>
              <w:top w:w="100" w:type="dxa"/>
              <w:left w:w="120" w:type="dxa"/>
              <w:bottom w:w="100" w:type="dxa"/>
              <w:right w:w="120" w:type="dxa"/>
            </w:tcMar>
          </w:tcPr>
          <w:p w:rsidR="000747E3" w:rsidRDefault="00230A5F" w14:paraId="0945F688" w14:textId="29A59235">
            <w:r>
              <w:t xml:space="preserve">A utility's official long-term plan for how it will generate and deliver power. Both Dominion Energy South Carolina and Georgia Power file one — DESC's is a 15-year plan with the SC PSC; Georgia Power's is a </w:t>
            </w:r>
            <w:r w:rsidR="00EE232C">
              <w:t>2</w:t>
            </w:r>
            <w:r>
              <w:t>0-year plan with the Georgia PSC.</w:t>
            </w:r>
          </w:p>
        </w:tc>
      </w:tr>
      <w:tr w:rsidR="000747E3" w:rsidTr="00E7525F" w14:paraId="5E06C79E" w14:textId="77777777">
        <w:trPr>
          <w:jc w:val="center"/>
        </w:trPr>
        <w:tc>
          <w:tcPr>
            <w:tcW w:w="2400" w:type="dxa"/>
            <w:shd w:val="clear" w:color="auto" w:fill="FFFFFF" w:themeFill="background1"/>
            <w:tcMar>
              <w:top w:w="100" w:type="dxa"/>
              <w:left w:w="120" w:type="dxa"/>
              <w:bottom w:w="100" w:type="dxa"/>
              <w:right w:w="120" w:type="dxa"/>
            </w:tcMar>
          </w:tcPr>
          <w:p w:rsidR="000747E3" w:rsidRDefault="00230A5F" w14:paraId="595AC6E4" w14:textId="77777777">
            <w:r>
              <w:rPr>
                <w:b/>
                <w:bCs/>
              </w:rPr>
              <w:t>10-Year Transmission Plan</w:t>
            </w:r>
          </w:p>
        </w:tc>
        <w:tc>
          <w:tcPr>
            <w:tcW w:w="6960" w:type="dxa"/>
            <w:shd w:val="clear" w:color="auto" w:fill="FFFFFF" w:themeFill="background1"/>
            <w:tcMar>
              <w:top w:w="100" w:type="dxa"/>
              <w:left w:w="120" w:type="dxa"/>
              <w:bottom w:w="100" w:type="dxa"/>
              <w:right w:w="120" w:type="dxa"/>
            </w:tcMar>
          </w:tcPr>
          <w:p w:rsidR="000747E3" w:rsidRDefault="00230A5F" w14:paraId="0A8CFE5C" w14:textId="77777777">
            <w:r>
              <w:t>Georgia Power's version of a long-term plan — it's not a separate filing, but a section embedded within their IRP (see above), filed with the Georgia PSC.</w:t>
            </w:r>
          </w:p>
        </w:tc>
      </w:tr>
      <w:tr w:rsidR="000747E3" w:rsidTr="00E7525F" w14:paraId="2FEC76DE" w14:textId="77777777">
        <w:trPr>
          <w:jc w:val="center"/>
        </w:trPr>
        <w:tc>
          <w:tcPr>
            <w:tcW w:w="2400" w:type="dxa"/>
            <w:shd w:val="clear" w:color="auto" w:fill="F2F2F2" w:themeFill="background1" w:themeFillShade="F2"/>
            <w:tcMar>
              <w:top w:w="100" w:type="dxa"/>
              <w:left w:w="120" w:type="dxa"/>
              <w:bottom w:w="100" w:type="dxa"/>
              <w:right w:w="120" w:type="dxa"/>
            </w:tcMar>
          </w:tcPr>
          <w:p w:rsidR="000747E3" w:rsidRDefault="00230A5F" w14:paraId="4524DB14" w14:textId="77777777">
            <w:r>
              <w:rPr>
                <w:b/>
                <w:bCs/>
              </w:rPr>
              <w:t>PSC (Public Service Commission)</w:t>
            </w:r>
          </w:p>
        </w:tc>
        <w:tc>
          <w:tcPr>
            <w:tcW w:w="6960" w:type="dxa"/>
            <w:shd w:val="clear" w:color="auto" w:fill="F2F2F2" w:themeFill="background1" w:themeFillShade="F2"/>
            <w:tcMar>
              <w:top w:w="100" w:type="dxa"/>
              <w:left w:w="120" w:type="dxa"/>
              <w:bottom w:w="100" w:type="dxa"/>
              <w:right w:w="120" w:type="dxa"/>
            </w:tcMar>
          </w:tcPr>
          <w:p w:rsidR="000747E3" w:rsidRDefault="00230A5F" w14:paraId="31F57093" w14:textId="77777777">
            <w:r>
              <w:t>The state government agency that regulates utilities and reviews/approves their plans. Both SC and GA have one.</w:t>
            </w:r>
          </w:p>
        </w:tc>
      </w:tr>
      <w:tr w:rsidR="000747E3" w:rsidTr="00E7525F" w14:paraId="2C703A70" w14:textId="77777777">
        <w:trPr>
          <w:jc w:val="center"/>
        </w:trPr>
        <w:tc>
          <w:tcPr>
            <w:tcW w:w="2400" w:type="dxa"/>
            <w:shd w:val="clear" w:color="auto" w:fill="FFFFFF" w:themeFill="background1"/>
            <w:tcMar>
              <w:top w:w="100" w:type="dxa"/>
              <w:left w:w="120" w:type="dxa"/>
              <w:bottom w:w="100" w:type="dxa"/>
              <w:right w:w="120" w:type="dxa"/>
            </w:tcMar>
          </w:tcPr>
          <w:p w:rsidR="000747E3" w:rsidRDefault="00230A5F" w14:paraId="1D98F6B8" w14:textId="77777777">
            <w:r>
              <w:rPr>
                <w:b/>
                <w:bCs/>
              </w:rPr>
              <w:t>FERC</w:t>
            </w:r>
          </w:p>
        </w:tc>
        <w:tc>
          <w:tcPr>
            <w:tcW w:w="6960" w:type="dxa"/>
            <w:shd w:val="clear" w:color="auto" w:fill="FFFFFF" w:themeFill="background1"/>
            <w:tcMar>
              <w:top w:w="100" w:type="dxa"/>
              <w:left w:w="120" w:type="dxa"/>
              <w:bottom w:w="100" w:type="dxa"/>
              <w:right w:w="120" w:type="dxa"/>
            </w:tcMar>
          </w:tcPr>
          <w:p w:rsidR="000747E3" w:rsidRDefault="00230A5F" w14:paraId="103DC30B" w14:textId="77777777">
            <w:r>
              <w:t>The federal agency (Federal Energy Regulatory Commission) that regulates interstate electricity transmission — sits above the state-level PSCs.</w:t>
            </w:r>
          </w:p>
        </w:tc>
      </w:tr>
      <w:tr w:rsidR="000747E3" w:rsidTr="00E7525F" w14:paraId="309D60EF" w14:textId="77777777">
        <w:trPr>
          <w:jc w:val="center"/>
        </w:trPr>
        <w:tc>
          <w:tcPr>
            <w:tcW w:w="2400" w:type="dxa"/>
            <w:shd w:val="clear" w:color="auto" w:fill="F2F2F2" w:themeFill="background1" w:themeFillShade="F2"/>
            <w:tcMar>
              <w:top w:w="100" w:type="dxa"/>
              <w:left w:w="120" w:type="dxa"/>
              <w:bottom w:w="100" w:type="dxa"/>
              <w:right w:w="120" w:type="dxa"/>
            </w:tcMar>
          </w:tcPr>
          <w:p w:rsidR="000747E3" w:rsidRDefault="00230A5F" w14:paraId="687EB26D" w14:textId="77777777">
            <w:r>
              <w:rPr>
                <w:b/>
                <w:bCs/>
              </w:rPr>
              <w:t>FERC Order No. 1920</w:t>
            </w:r>
          </w:p>
        </w:tc>
        <w:tc>
          <w:tcPr>
            <w:tcW w:w="6960" w:type="dxa"/>
            <w:shd w:val="clear" w:color="auto" w:fill="F2F2F2" w:themeFill="background1" w:themeFillShade="F2"/>
            <w:tcMar>
              <w:top w:w="100" w:type="dxa"/>
              <w:left w:w="120" w:type="dxa"/>
              <w:bottom w:w="100" w:type="dxa"/>
              <w:right w:w="120" w:type="dxa"/>
            </w:tcMar>
          </w:tcPr>
          <w:p w:rsidR="000747E3" w:rsidRDefault="00230A5F" w14:paraId="5F8FF456" w14:textId="550D868F">
            <w:r>
              <w:t>A 2024 federal rule requiring utilities to do more coordinated, long-term regional transmission planning — the real-world reason for this challenge is relevant right now.</w:t>
            </w:r>
          </w:p>
        </w:tc>
      </w:tr>
      <w:tr w:rsidR="000747E3" w:rsidTr="00E7525F" w14:paraId="36CEE89B" w14:textId="77777777">
        <w:trPr>
          <w:jc w:val="center"/>
        </w:trPr>
        <w:tc>
          <w:tcPr>
            <w:tcW w:w="2400" w:type="dxa"/>
            <w:shd w:val="clear" w:color="auto" w:fill="FFFFFF" w:themeFill="background1"/>
            <w:tcMar>
              <w:top w:w="100" w:type="dxa"/>
              <w:left w:w="120" w:type="dxa"/>
              <w:bottom w:w="100" w:type="dxa"/>
              <w:right w:w="120" w:type="dxa"/>
            </w:tcMar>
          </w:tcPr>
          <w:p w:rsidR="000747E3" w:rsidRDefault="00230A5F" w14:paraId="209C7490" w14:textId="77777777">
            <w:r>
              <w:rPr>
                <w:b/>
                <w:bCs/>
              </w:rPr>
              <w:t>SERTP</w:t>
            </w:r>
          </w:p>
        </w:tc>
        <w:tc>
          <w:tcPr>
            <w:tcW w:w="6960" w:type="dxa"/>
            <w:shd w:val="clear" w:color="auto" w:fill="FFFFFF" w:themeFill="background1"/>
            <w:tcMar>
              <w:top w:w="100" w:type="dxa"/>
              <w:left w:w="120" w:type="dxa"/>
              <w:bottom w:w="100" w:type="dxa"/>
              <w:right w:w="120" w:type="dxa"/>
            </w:tcMar>
          </w:tcPr>
          <w:p w:rsidR="000747E3" w:rsidRDefault="00230A5F" w14:paraId="2D307395" w14:textId="77777777">
            <w:r>
              <w:t>Southeastern Regional Transmission Planning — a regional coordination forum founded by Southern Company (Georgia Power's parent) along with Georgia Transmission Corporation, MEAG, and others. DESC is in the process of joining SERTP as part of its own FERC Order 1920 compliance work — so both utilities in this challenge sit in the same regional forum.</w:t>
            </w:r>
          </w:p>
        </w:tc>
      </w:tr>
      <w:tr w:rsidR="000747E3" w:rsidTr="00E7525F" w14:paraId="7FD212FC" w14:textId="77777777">
        <w:trPr>
          <w:jc w:val="center"/>
        </w:trPr>
        <w:tc>
          <w:tcPr>
            <w:tcW w:w="2400" w:type="dxa"/>
            <w:shd w:val="clear" w:color="auto" w:fill="F2F2F2" w:themeFill="background1" w:themeFillShade="F2"/>
            <w:tcMar>
              <w:top w:w="100" w:type="dxa"/>
              <w:left w:w="120" w:type="dxa"/>
              <w:bottom w:w="100" w:type="dxa"/>
              <w:right w:w="120" w:type="dxa"/>
            </w:tcMar>
          </w:tcPr>
          <w:p w:rsidR="000747E3" w:rsidRDefault="00230A5F" w14:paraId="3ABE551B" w14:textId="77777777">
            <w:r>
              <w:rPr>
                <w:b/>
                <w:bCs/>
              </w:rPr>
              <w:t>SCRTP</w:t>
            </w:r>
          </w:p>
        </w:tc>
        <w:tc>
          <w:tcPr>
            <w:tcW w:w="6960" w:type="dxa"/>
            <w:shd w:val="clear" w:color="auto" w:fill="F2F2F2" w:themeFill="background1" w:themeFillShade="F2"/>
            <w:tcMar>
              <w:top w:w="100" w:type="dxa"/>
              <w:left w:w="120" w:type="dxa"/>
              <w:bottom w:w="100" w:type="dxa"/>
              <w:right w:w="120" w:type="dxa"/>
            </w:tcMar>
          </w:tcPr>
          <w:p w:rsidR="000747E3" w:rsidRDefault="00230A5F" w14:paraId="32D3BBA2" w14:textId="637527D3">
            <w:r>
              <w:t>South Carolina Regional Transmission Planning — the specific process Dominion Energy South Carolina and Santee Cooper use to publish their planned project lists (this is where our DESC data comes from). Dominion and Santee Cooper co-administer this process as peers — it's not a hierarchy. Note: DESC is transitioning from SCRTP to SERTP, so future project lists may move to a SERTP-published source — worth double-checking for a newer source before this challenge runs.</w:t>
            </w:r>
          </w:p>
        </w:tc>
      </w:tr>
      <w:tr w:rsidR="000747E3" w:rsidTr="00E7525F" w14:paraId="3D905AB9" w14:textId="77777777">
        <w:trPr>
          <w:jc w:val="center"/>
        </w:trPr>
        <w:tc>
          <w:tcPr>
            <w:tcW w:w="2400" w:type="dxa"/>
            <w:shd w:val="clear" w:color="auto" w:fill="FFFFFF" w:themeFill="background1"/>
            <w:tcMar>
              <w:top w:w="100" w:type="dxa"/>
              <w:left w:w="120" w:type="dxa"/>
              <w:bottom w:w="100" w:type="dxa"/>
              <w:right w:w="120" w:type="dxa"/>
            </w:tcMar>
          </w:tcPr>
          <w:p w:rsidR="000747E3" w:rsidRDefault="00230A5F" w14:paraId="392F4548" w14:textId="77777777">
            <w:r>
              <w:rPr>
                <w:b/>
                <w:bCs/>
              </w:rPr>
              <w:t>CEII (Critical Energy Infrastructure Information)</w:t>
            </w:r>
          </w:p>
        </w:tc>
        <w:tc>
          <w:tcPr>
            <w:tcW w:w="6960" w:type="dxa"/>
            <w:shd w:val="clear" w:color="auto" w:fill="FFFFFF" w:themeFill="background1"/>
            <w:tcMar>
              <w:top w:w="100" w:type="dxa"/>
              <w:left w:w="120" w:type="dxa"/>
              <w:bottom w:w="100" w:type="dxa"/>
              <w:right w:w="120" w:type="dxa"/>
            </w:tcMar>
          </w:tcPr>
          <w:p w:rsidR="000747E3" w:rsidRDefault="00230A5F" w14:paraId="6581BF2F" w14:textId="27EAB585">
            <w:r>
              <w:t>A special “confidential, do not share” label the government puts on sensitive grid data. Anything marked CEII is off-limited for this challenge — only public filings should be used.</w:t>
            </w:r>
          </w:p>
        </w:tc>
      </w:tr>
      <w:tr w:rsidR="000747E3" w:rsidTr="00E7525F" w14:paraId="3BDE1611" w14:textId="77777777">
        <w:trPr>
          <w:jc w:val="center"/>
        </w:trPr>
        <w:tc>
          <w:tcPr>
            <w:tcW w:w="2400" w:type="dxa"/>
            <w:shd w:val="clear" w:color="auto" w:fill="F2F2F2" w:themeFill="background1" w:themeFillShade="F2"/>
            <w:tcMar>
              <w:top w:w="100" w:type="dxa"/>
              <w:left w:w="120" w:type="dxa"/>
              <w:bottom w:w="100" w:type="dxa"/>
              <w:right w:w="120" w:type="dxa"/>
            </w:tcMar>
          </w:tcPr>
          <w:p w:rsidR="000747E3" w:rsidRDefault="00230A5F" w14:paraId="65F52D38" w14:textId="77777777">
            <w:r>
              <w:rPr>
                <w:b/>
                <w:bCs/>
              </w:rPr>
              <w:t>Geographic overlap</w:t>
            </w:r>
          </w:p>
        </w:tc>
        <w:tc>
          <w:tcPr>
            <w:tcW w:w="6960" w:type="dxa"/>
            <w:shd w:val="clear" w:color="auto" w:fill="F2F2F2" w:themeFill="background1" w:themeFillShade="F2"/>
            <w:tcMar>
              <w:top w:w="100" w:type="dxa"/>
              <w:left w:w="120" w:type="dxa"/>
              <w:bottom w:w="100" w:type="dxa"/>
              <w:right w:w="120" w:type="dxa"/>
            </w:tcMar>
          </w:tcPr>
          <w:p w:rsidR="000747E3" w:rsidRDefault="00230A5F" w14:paraId="09D49829" w14:textId="77777777">
            <w:r>
              <w:t>Two planned projects are physically near or crossing each other on a map.</w:t>
            </w:r>
          </w:p>
        </w:tc>
      </w:tr>
      <w:tr w:rsidR="000747E3" w:rsidTr="00E7525F" w14:paraId="6B4294DD" w14:textId="77777777">
        <w:trPr>
          <w:jc w:val="center"/>
        </w:trPr>
        <w:tc>
          <w:tcPr>
            <w:tcW w:w="2400" w:type="dxa"/>
            <w:shd w:val="clear" w:color="auto" w:fill="FFFFFF" w:themeFill="background1"/>
            <w:tcMar>
              <w:top w:w="100" w:type="dxa"/>
              <w:left w:w="120" w:type="dxa"/>
              <w:bottom w:w="100" w:type="dxa"/>
              <w:right w:w="120" w:type="dxa"/>
            </w:tcMar>
          </w:tcPr>
          <w:p w:rsidR="000747E3" w:rsidRDefault="00230A5F" w14:paraId="5201545B" w14:textId="77777777">
            <w:r>
              <w:rPr>
                <w:b/>
                <w:bCs/>
              </w:rPr>
              <w:t>Timeline overlap</w:t>
            </w:r>
          </w:p>
        </w:tc>
        <w:tc>
          <w:tcPr>
            <w:tcW w:w="6960" w:type="dxa"/>
            <w:shd w:val="clear" w:color="auto" w:fill="FFFFFF" w:themeFill="background1"/>
            <w:tcMar>
              <w:top w:w="100" w:type="dxa"/>
              <w:left w:w="120" w:type="dxa"/>
              <w:bottom w:w="100" w:type="dxa"/>
              <w:right w:w="120" w:type="dxa"/>
            </w:tcMar>
          </w:tcPr>
          <w:p w:rsidR="000747E3" w:rsidRDefault="00230A5F" w14:paraId="180DFA28" w14:textId="77777777">
            <w:r>
              <w:t>Two planned projects are scheduled to be built in the same window of time (even if not in the exact same spot).</w:t>
            </w:r>
          </w:p>
        </w:tc>
      </w:tr>
    </w:tbl>
    <w:p w:rsidR="1DC6FC7B" w:rsidP="00AD0DEC" w:rsidRDefault="00230A5F" w14:paraId="5720E533" w14:textId="67DDC6E0">
      <w:r>
        <w:br w:type="page"/>
      </w:r>
    </w:p>
    <w:p w:rsidR="2D1418F4" w:rsidP="00AD0DEC" w:rsidRDefault="02CFDB52" w14:paraId="4304B5D7" w14:textId="00E784CD">
      <w:pPr>
        <w:spacing w:after="160"/>
        <w:jc w:val="center"/>
      </w:pPr>
      <w:r>
        <w:rPr>
          <w:sz w:val="32"/>
          <w:szCs w:val="32"/>
        </w:rPr>
        <w:lastRenderedPageBreak/>
        <w:t>Gridlock Challenge</w:t>
      </w:r>
    </w:p>
    <w:p w:rsidR="393F92C6" w:rsidP="393F92C6" w:rsidRDefault="7B2DA6D5" w14:paraId="22007DA5" w14:textId="66A8AFA3">
      <w:pPr>
        <w:pStyle w:val="Heading2"/>
        <w:spacing w:before="280" w:after="120" w:line="259" w:lineRule="auto"/>
      </w:pPr>
      <w:r>
        <w:t>What we want you to make:</w:t>
      </w:r>
    </w:p>
    <w:p w:rsidR="000747E3" w:rsidRDefault="235E0C47" w14:paraId="47EFB58B" w14:textId="786D5DF9">
      <w:pPr>
        <w:spacing w:after="160"/>
      </w:pPr>
      <w:r>
        <w:t>Build a tool that ingests publicly available future-construction data from at least two electric utilities — such as Dominion Energy South Carolina and Georgia Power — and identifies where their planned transmission projects overlap, using two definitions of overlap:</w:t>
      </w:r>
    </w:p>
    <w:p w:rsidR="000747E3" w:rsidP="4A6CECB3" w:rsidRDefault="000747E3" w14:paraId="52147541" w14:textId="1EC7C705">
      <w:pPr>
        <w:spacing w:after="80"/>
        <w:rPr>
          <w:b/>
        </w:rPr>
      </w:pPr>
    </w:p>
    <w:p w:rsidR="7FFB6999" w:rsidP="34423B4D" w:rsidRDefault="7FFB6999" w14:paraId="16037F4B" w14:textId="72C000FC">
      <w:pPr>
        <w:spacing w:after="80"/>
      </w:pPr>
      <w:r>
        <w:rPr>
          <w:b/>
          <w:bCs/>
        </w:rPr>
        <w:t>Geographic overlap</w:t>
      </w:r>
      <w:r>
        <w:rPr>
          <w:b/>
        </w:rPr>
        <w:t xml:space="preserve"> </w:t>
      </w:r>
      <w:r>
        <w:t xml:space="preserve">— Two planned projects count as overlapping if </w:t>
      </w:r>
      <w:r w:rsidR="009D637D">
        <w:t>they</w:t>
      </w:r>
      <w:r>
        <w:t xml:space="preserve"> are </w:t>
      </w:r>
      <w:r>
        <w:rPr>
          <w:b/>
          <w:bCs/>
        </w:rPr>
        <w:t xml:space="preserve">within </w:t>
      </w:r>
      <w:r w:rsidR="007F6483">
        <w:rPr>
          <w:b/>
          <w:bCs/>
        </w:rPr>
        <w:t>25</w:t>
      </w:r>
      <w:r w:rsidR="003D0BF5">
        <w:rPr>
          <w:b/>
          <w:bCs/>
        </w:rPr>
        <w:t xml:space="preserve"> mi</w:t>
      </w:r>
      <w:r>
        <w:rPr>
          <w:b/>
          <w:bCs/>
        </w:rPr>
        <w:t xml:space="preserve"> </w:t>
      </w:r>
      <w:r w:rsidR="007F6483">
        <w:rPr>
          <w:b/>
          <w:bCs/>
        </w:rPr>
        <w:t>o</w:t>
      </w:r>
      <w:r>
        <w:rPr>
          <w:b/>
          <w:bCs/>
        </w:rPr>
        <w:t>f each other</w:t>
      </w:r>
      <w:r>
        <w:t xml:space="preserve">. Closer than </w:t>
      </w:r>
      <w:r w:rsidR="00210216">
        <w:t>25</w:t>
      </w:r>
      <w:r>
        <w:t xml:space="preserve"> </w:t>
      </w:r>
      <w:r w:rsidR="00210216">
        <w:t>mi</w:t>
      </w:r>
      <w:r>
        <w:t xml:space="preserve">, we flag it. Farther, we ignore it. </w:t>
      </w:r>
    </w:p>
    <w:p w:rsidR="4A6CECB3" w:rsidP="4A6CECB3" w:rsidRDefault="4A6CECB3" w14:paraId="1A59DAA3" w14:textId="2EDD4B1B">
      <w:pPr>
        <w:spacing w:after="80"/>
        <w:rPr>
          <w:b/>
          <w:bCs/>
        </w:rPr>
      </w:pPr>
    </w:p>
    <w:p w:rsidR="000747E3" w:rsidP="78E70E27" w:rsidRDefault="00230A5F" w14:paraId="75E31DB2" w14:textId="77777777">
      <w:pPr>
        <w:spacing w:after="80"/>
      </w:pPr>
      <w:r>
        <w:rPr>
          <w:b/>
          <w:bCs/>
        </w:rPr>
        <w:t>Timeline overlap</w:t>
      </w:r>
      <w:r>
        <w:t xml:space="preserve"> — planned projects scheduled in the same build window.</w:t>
      </w:r>
    </w:p>
    <w:p w:rsidR="2D1418F4" w:rsidP="75D83C85" w:rsidRDefault="00230A5F" w14:paraId="68F8D1DA" w14:textId="1F1A6342">
      <w:pPr>
        <w:pStyle w:val="ListParagraph"/>
        <w:numPr>
          <w:ilvl w:val="0"/>
          <w:numId w:val="5"/>
        </w:numPr>
        <w:spacing w:after="160"/>
      </w:pPr>
      <w:r>
        <w:t>Teams should treat geographic overlap as the primary signal and timeline overlap as a strong secondary signal used together with it.</w:t>
      </w:r>
    </w:p>
    <w:p w:rsidR="000747E3" w:rsidRDefault="4BBD36D1" w14:paraId="37FD584D" w14:textId="4C09A8A6">
      <w:pPr>
        <w:pStyle w:val="Heading2"/>
        <w:spacing w:before="280" w:after="120"/>
      </w:pPr>
      <w:r>
        <w:t>Data Sources (examples that you can use) / you are free to use whatever tools you find as well:</w:t>
      </w:r>
    </w:p>
    <w:p w:rsidR="58EEA73A" w:rsidP="00E340E1" w:rsidRDefault="003101D5" w14:paraId="5CC10834" w14:textId="668C9DD1">
      <w:pPr>
        <w:pStyle w:val="ListParagraph"/>
        <w:numPr>
          <w:ilvl w:val="0"/>
          <w:numId w:val="2"/>
        </w:numPr>
        <w:spacing w:after="80"/>
        <w:rPr/>
      </w:pPr>
      <w:r w:rsidR="041A9BE7">
        <w:rPr/>
        <w:t xml:space="preserve">For a full walkthrough of how to find coordinates, </w:t>
      </w:r>
      <w:r w:rsidR="041A9BE7">
        <w:rPr/>
        <w:t>validate</w:t>
      </w:r>
      <w:r w:rsidR="041A9BE7">
        <w:rPr/>
        <w:t xml:space="preserve"> matches, and build the overlap table, see our companion guide: </w:t>
      </w:r>
      <w:hyperlink r:id="Re053dc497a7945f0">
        <w:r w:rsidRPr="2A6CF663" w:rsidR="48F9EA8B">
          <w:rPr>
            <w:rStyle w:val="Hyperlink"/>
          </w:rPr>
          <w:t>Finding_Real_Locations_Guide.docx</w:t>
        </w:r>
      </w:hyperlink>
    </w:p>
    <w:p w:rsidR="0A15D61F" w:rsidP="61128AD5" w:rsidRDefault="00230A5F" w14:paraId="145266C6" w14:textId="44A7C232">
      <w:pPr>
        <w:spacing w:after="160"/>
      </w:pPr>
      <w:r>
        <w:rPr>
          <w:b/>
          <w:bCs/>
        </w:rPr>
        <w:t xml:space="preserve">Important — </w:t>
      </w:r>
      <w:r>
        <w:rPr>
          <w:b/>
        </w:rPr>
        <w:t>Teams</w:t>
      </w:r>
      <w:r>
        <w:t xml:space="preserve"> should expect most of the dataset to NOT overlap — finding the real matches is the point of the exercise.</w:t>
      </w:r>
    </w:p>
    <w:p w:rsidR="000747E3" w:rsidP="01A425D5" w:rsidRDefault="00230A5F" w14:paraId="4C78787F" w14:textId="4000A836">
      <w:pPr>
        <w:pStyle w:val="Heading2"/>
        <w:spacing w:before="280" w:after="160"/>
      </w:pPr>
      <w:r>
        <w:t>What Teams Must Deliver</w:t>
      </w:r>
    </w:p>
    <w:p w:rsidR="000747E3" w:rsidRDefault="00230A5F" w14:paraId="44B37E9F" w14:textId="52465840">
      <w:pPr>
        <w:spacing w:after="160"/>
      </w:pPr>
      <w:r>
        <w:t xml:space="preserve">Format is up to you — build it as a web app, dashboard, notebook, or anything else. We're not prescribing the tech stack. That said, the output must be visually clear and at least somewhat interactive (e.g., a map you can pan/zoom/click into, not just a static image). The goal is to be creative! </w:t>
      </w:r>
    </w:p>
    <w:p w:rsidR="000747E3" w:rsidRDefault="00230A5F" w14:paraId="350D757A" w14:textId="5F698F42">
      <w:pPr>
        <w:pStyle w:val="ListParagraph"/>
        <w:numPr>
          <w:ilvl w:val="0"/>
          <w:numId w:val="2"/>
        </w:numPr>
        <w:spacing w:after="80"/>
      </w:pPr>
      <w:r>
        <w:rPr>
          <w:b/>
          <w:bCs/>
        </w:rPr>
        <w:t xml:space="preserve">Required: </w:t>
      </w:r>
      <w:r>
        <w:t>An interactive UI showing both utilities planned projects, visually highlighting where overlaps occur.</w:t>
      </w:r>
    </w:p>
    <w:p w:rsidR="000747E3" w:rsidRDefault="00230A5F" w14:paraId="60608962" w14:textId="1838DC3D">
      <w:pPr>
        <w:pStyle w:val="ListParagraph"/>
        <w:numPr>
          <w:ilvl w:val="0"/>
          <w:numId w:val="2"/>
        </w:numPr>
        <w:spacing w:after="80"/>
      </w:pPr>
      <w:r>
        <w:rPr>
          <w:b/>
          <w:bCs/>
        </w:rPr>
        <w:t xml:space="preserve">Required: </w:t>
      </w:r>
      <w:r>
        <w:t>A ranked list of the top coordination opportunities (which overlaps)</w:t>
      </w:r>
    </w:p>
    <w:p w:rsidR="00D06ED5" w:rsidP="00E3305E" w:rsidRDefault="00230A5F" w14:paraId="2184231E" w14:textId="4C92FFE0">
      <w:pPr>
        <w:pStyle w:val="ListParagraph"/>
        <w:numPr>
          <w:ilvl w:val="0"/>
          <w:numId w:val="2"/>
        </w:numPr>
        <w:spacing w:after="80"/>
      </w:pPr>
      <w:r>
        <w:rPr>
          <w:b/>
          <w:bCs/>
        </w:rPr>
        <w:t xml:space="preserve">Bonus points: </w:t>
      </w:r>
      <w:r>
        <w:t>A rough cost/impact estimate for at least one flagged opportunity (e.g., how much land the two projects could share instead of using separate land, or a simple explanation of how much money that could save)</w:t>
      </w:r>
    </w:p>
    <w:sectPr w:rsidR="00D06ED5">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C7FE"/>
    <w:multiLevelType w:val="hybridMultilevel"/>
    <w:tmpl w:val="FFFFFFFF"/>
    <w:lvl w:ilvl="0" w:tplc="57D4ED7A">
      <w:start w:val="1"/>
      <w:numFmt w:val="bullet"/>
      <w:lvlText w:val=""/>
      <w:lvlJc w:val="left"/>
      <w:pPr>
        <w:ind w:left="720" w:hanging="360"/>
      </w:pPr>
      <w:rPr>
        <w:rFonts w:hint="default" w:ascii="Symbol" w:hAnsi="Symbol"/>
      </w:rPr>
    </w:lvl>
    <w:lvl w:ilvl="1" w:tplc="0874CC3A">
      <w:start w:val="1"/>
      <w:numFmt w:val="bullet"/>
      <w:lvlText w:val="o"/>
      <w:lvlJc w:val="left"/>
      <w:pPr>
        <w:ind w:left="1440" w:hanging="360"/>
      </w:pPr>
      <w:rPr>
        <w:rFonts w:hint="default" w:ascii="Courier New" w:hAnsi="Courier New"/>
      </w:rPr>
    </w:lvl>
    <w:lvl w:ilvl="2" w:tplc="42C27498">
      <w:start w:val="1"/>
      <w:numFmt w:val="bullet"/>
      <w:lvlText w:val=""/>
      <w:lvlJc w:val="left"/>
      <w:pPr>
        <w:ind w:left="2160" w:hanging="360"/>
      </w:pPr>
      <w:rPr>
        <w:rFonts w:hint="default" w:ascii="Wingdings" w:hAnsi="Wingdings"/>
      </w:rPr>
    </w:lvl>
    <w:lvl w:ilvl="3" w:tplc="59D82496">
      <w:start w:val="1"/>
      <w:numFmt w:val="bullet"/>
      <w:lvlText w:val=""/>
      <w:lvlJc w:val="left"/>
      <w:pPr>
        <w:ind w:left="2880" w:hanging="360"/>
      </w:pPr>
      <w:rPr>
        <w:rFonts w:hint="default" w:ascii="Symbol" w:hAnsi="Symbol"/>
      </w:rPr>
    </w:lvl>
    <w:lvl w:ilvl="4" w:tplc="F1667A56">
      <w:start w:val="1"/>
      <w:numFmt w:val="bullet"/>
      <w:lvlText w:val="o"/>
      <w:lvlJc w:val="left"/>
      <w:pPr>
        <w:ind w:left="3600" w:hanging="360"/>
      </w:pPr>
      <w:rPr>
        <w:rFonts w:hint="default" w:ascii="Courier New" w:hAnsi="Courier New"/>
      </w:rPr>
    </w:lvl>
    <w:lvl w:ilvl="5" w:tplc="C590D7D0">
      <w:start w:val="1"/>
      <w:numFmt w:val="bullet"/>
      <w:lvlText w:val=""/>
      <w:lvlJc w:val="left"/>
      <w:pPr>
        <w:ind w:left="4320" w:hanging="360"/>
      </w:pPr>
      <w:rPr>
        <w:rFonts w:hint="default" w:ascii="Wingdings" w:hAnsi="Wingdings"/>
      </w:rPr>
    </w:lvl>
    <w:lvl w:ilvl="6" w:tplc="DE20094E">
      <w:start w:val="1"/>
      <w:numFmt w:val="bullet"/>
      <w:lvlText w:val=""/>
      <w:lvlJc w:val="left"/>
      <w:pPr>
        <w:ind w:left="5040" w:hanging="360"/>
      </w:pPr>
      <w:rPr>
        <w:rFonts w:hint="default" w:ascii="Symbol" w:hAnsi="Symbol"/>
      </w:rPr>
    </w:lvl>
    <w:lvl w:ilvl="7" w:tplc="5B7E8E7C">
      <w:start w:val="1"/>
      <w:numFmt w:val="bullet"/>
      <w:lvlText w:val="o"/>
      <w:lvlJc w:val="left"/>
      <w:pPr>
        <w:ind w:left="5760" w:hanging="360"/>
      </w:pPr>
      <w:rPr>
        <w:rFonts w:hint="default" w:ascii="Courier New" w:hAnsi="Courier New"/>
      </w:rPr>
    </w:lvl>
    <w:lvl w:ilvl="8" w:tplc="95B0FC8A">
      <w:start w:val="1"/>
      <w:numFmt w:val="bullet"/>
      <w:lvlText w:val=""/>
      <w:lvlJc w:val="left"/>
      <w:pPr>
        <w:ind w:left="6480" w:hanging="360"/>
      </w:pPr>
      <w:rPr>
        <w:rFonts w:hint="default" w:ascii="Wingdings" w:hAnsi="Wingdings"/>
      </w:rPr>
    </w:lvl>
  </w:abstractNum>
  <w:abstractNum w:abstractNumId="1" w15:restartNumberingAfterBreak="0">
    <w:nsid w:val="5E70499D"/>
    <w:multiLevelType w:val="hybridMultilevel"/>
    <w:tmpl w:val="C492C5CC"/>
    <w:lvl w:ilvl="0" w:tplc="D75EDC1C">
      <w:start w:val="1"/>
      <w:numFmt w:val="bullet"/>
      <w:lvlText w:val="●"/>
      <w:lvlJc w:val="left"/>
      <w:pPr>
        <w:ind w:left="720" w:hanging="360"/>
      </w:pPr>
    </w:lvl>
    <w:lvl w:ilvl="1" w:tplc="CFE87B92">
      <w:start w:val="1"/>
      <w:numFmt w:val="bullet"/>
      <w:lvlText w:val="○"/>
      <w:lvlJc w:val="left"/>
      <w:pPr>
        <w:ind w:left="1440" w:hanging="360"/>
      </w:pPr>
    </w:lvl>
    <w:lvl w:ilvl="2" w:tplc="378E8FBA">
      <w:start w:val="1"/>
      <w:numFmt w:val="bullet"/>
      <w:lvlText w:val="■"/>
      <w:lvlJc w:val="left"/>
      <w:pPr>
        <w:ind w:left="2160" w:hanging="360"/>
      </w:pPr>
    </w:lvl>
    <w:lvl w:ilvl="3" w:tplc="77904B14">
      <w:start w:val="1"/>
      <w:numFmt w:val="bullet"/>
      <w:lvlText w:val="●"/>
      <w:lvlJc w:val="left"/>
      <w:pPr>
        <w:ind w:left="2880" w:hanging="360"/>
      </w:pPr>
    </w:lvl>
    <w:lvl w:ilvl="4" w:tplc="A5B4846E">
      <w:start w:val="1"/>
      <w:numFmt w:val="bullet"/>
      <w:lvlText w:val="○"/>
      <w:lvlJc w:val="left"/>
      <w:pPr>
        <w:ind w:left="3600" w:hanging="360"/>
      </w:pPr>
    </w:lvl>
    <w:lvl w:ilvl="5" w:tplc="E5ACA0A4">
      <w:start w:val="1"/>
      <w:numFmt w:val="bullet"/>
      <w:lvlText w:val="■"/>
      <w:lvlJc w:val="left"/>
      <w:pPr>
        <w:ind w:left="4320" w:hanging="360"/>
      </w:pPr>
    </w:lvl>
    <w:lvl w:ilvl="6" w:tplc="2A902CAC">
      <w:start w:val="1"/>
      <w:numFmt w:val="bullet"/>
      <w:lvlText w:val="●"/>
      <w:lvlJc w:val="left"/>
      <w:pPr>
        <w:ind w:left="5040" w:hanging="360"/>
      </w:pPr>
    </w:lvl>
    <w:lvl w:ilvl="7" w:tplc="45006492">
      <w:start w:val="1"/>
      <w:numFmt w:val="bullet"/>
      <w:lvlText w:val="●"/>
      <w:lvlJc w:val="left"/>
      <w:pPr>
        <w:ind w:left="5760" w:hanging="360"/>
      </w:pPr>
    </w:lvl>
    <w:lvl w:ilvl="8" w:tplc="CA3E2738">
      <w:start w:val="1"/>
      <w:numFmt w:val="bullet"/>
      <w:lvlText w:val="●"/>
      <w:lvlJc w:val="left"/>
      <w:pPr>
        <w:ind w:left="6480" w:hanging="360"/>
      </w:pPr>
    </w:lvl>
  </w:abstractNum>
  <w:abstractNum w:abstractNumId="2" w15:restartNumberingAfterBreak="0">
    <w:nsid w:val="600319BD"/>
    <w:multiLevelType w:val="hybridMultilevel"/>
    <w:tmpl w:val="14FC6826"/>
    <w:lvl w:ilvl="0" w:tplc="E772C26E">
      <w:start w:val="1"/>
      <w:numFmt w:val="bullet"/>
      <w:lvlText w:val="•"/>
      <w:lvlJc w:val="left"/>
      <w:pPr>
        <w:ind w:left="360" w:hanging="260"/>
      </w:pPr>
    </w:lvl>
    <w:lvl w:ilvl="1" w:tplc="94C00F1E">
      <w:start w:val="1"/>
      <w:numFmt w:val="bullet"/>
      <w:lvlText w:val="◦"/>
      <w:lvlJc w:val="left"/>
      <w:pPr>
        <w:ind w:left="720" w:hanging="260"/>
      </w:pPr>
    </w:lvl>
    <w:lvl w:ilvl="2" w:tplc="7422C50C">
      <w:numFmt w:val="decimal"/>
      <w:lvlText w:val=""/>
      <w:lvlJc w:val="left"/>
    </w:lvl>
    <w:lvl w:ilvl="3" w:tplc="EE04A3C6">
      <w:numFmt w:val="decimal"/>
      <w:lvlText w:val=""/>
      <w:lvlJc w:val="left"/>
    </w:lvl>
    <w:lvl w:ilvl="4" w:tplc="8AB0126C">
      <w:numFmt w:val="decimal"/>
      <w:lvlText w:val=""/>
      <w:lvlJc w:val="left"/>
    </w:lvl>
    <w:lvl w:ilvl="5" w:tplc="06565532">
      <w:numFmt w:val="decimal"/>
      <w:lvlText w:val=""/>
      <w:lvlJc w:val="left"/>
    </w:lvl>
    <w:lvl w:ilvl="6" w:tplc="F2EE25F0">
      <w:numFmt w:val="decimal"/>
      <w:lvlText w:val=""/>
      <w:lvlJc w:val="left"/>
    </w:lvl>
    <w:lvl w:ilvl="7" w:tplc="D32A963E">
      <w:numFmt w:val="decimal"/>
      <w:lvlText w:val=""/>
      <w:lvlJc w:val="left"/>
    </w:lvl>
    <w:lvl w:ilvl="8" w:tplc="668C674E">
      <w:numFmt w:val="decimal"/>
      <w:lvlText w:val=""/>
      <w:lvlJc w:val="left"/>
    </w:lvl>
  </w:abstractNum>
  <w:abstractNum w:abstractNumId="3" w15:restartNumberingAfterBreak="0">
    <w:nsid w:val="61C7303C"/>
    <w:multiLevelType w:val="hybridMultilevel"/>
    <w:tmpl w:val="FFFFFFFF"/>
    <w:lvl w:ilvl="0" w:tplc="CB1ED47C">
      <w:start w:val="1"/>
      <w:numFmt w:val="bullet"/>
      <w:lvlText w:val=""/>
      <w:lvlJc w:val="left"/>
      <w:pPr>
        <w:ind w:left="720" w:hanging="360"/>
      </w:pPr>
      <w:rPr>
        <w:rFonts w:hint="default" w:ascii="Symbol" w:hAnsi="Symbol"/>
      </w:rPr>
    </w:lvl>
    <w:lvl w:ilvl="1" w:tplc="18003596">
      <w:start w:val="1"/>
      <w:numFmt w:val="bullet"/>
      <w:lvlText w:val="o"/>
      <w:lvlJc w:val="left"/>
      <w:pPr>
        <w:ind w:left="1440" w:hanging="360"/>
      </w:pPr>
      <w:rPr>
        <w:rFonts w:hint="default" w:ascii="Courier New" w:hAnsi="Courier New"/>
      </w:rPr>
    </w:lvl>
    <w:lvl w:ilvl="2" w:tplc="2918C78C">
      <w:start w:val="1"/>
      <w:numFmt w:val="bullet"/>
      <w:lvlText w:val=""/>
      <w:lvlJc w:val="left"/>
      <w:pPr>
        <w:ind w:left="2160" w:hanging="360"/>
      </w:pPr>
      <w:rPr>
        <w:rFonts w:hint="default" w:ascii="Wingdings" w:hAnsi="Wingdings"/>
      </w:rPr>
    </w:lvl>
    <w:lvl w:ilvl="3" w:tplc="CE4CC5D0">
      <w:start w:val="1"/>
      <w:numFmt w:val="bullet"/>
      <w:lvlText w:val=""/>
      <w:lvlJc w:val="left"/>
      <w:pPr>
        <w:ind w:left="2880" w:hanging="360"/>
      </w:pPr>
      <w:rPr>
        <w:rFonts w:hint="default" w:ascii="Symbol" w:hAnsi="Symbol"/>
      </w:rPr>
    </w:lvl>
    <w:lvl w:ilvl="4" w:tplc="6884141A">
      <w:start w:val="1"/>
      <w:numFmt w:val="bullet"/>
      <w:lvlText w:val="o"/>
      <w:lvlJc w:val="left"/>
      <w:pPr>
        <w:ind w:left="3600" w:hanging="360"/>
      </w:pPr>
      <w:rPr>
        <w:rFonts w:hint="default" w:ascii="Courier New" w:hAnsi="Courier New"/>
      </w:rPr>
    </w:lvl>
    <w:lvl w:ilvl="5" w:tplc="66AAF81E">
      <w:start w:val="1"/>
      <w:numFmt w:val="bullet"/>
      <w:lvlText w:val=""/>
      <w:lvlJc w:val="left"/>
      <w:pPr>
        <w:ind w:left="4320" w:hanging="360"/>
      </w:pPr>
      <w:rPr>
        <w:rFonts w:hint="default" w:ascii="Wingdings" w:hAnsi="Wingdings"/>
      </w:rPr>
    </w:lvl>
    <w:lvl w:ilvl="6" w:tplc="43906A30">
      <w:start w:val="1"/>
      <w:numFmt w:val="bullet"/>
      <w:lvlText w:val=""/>
      <w:lvlJc w:val="left"/>
      <w:pPr>
        <w:ind w:left="5040" w:hanging="360"/>
      </w:pPr>
      <w:rPr>
        <w:rFonts w:hint="default" w:ascii="Symbol" w:hAnsi="Symbol"/>
      </w:rPr>
    </w:lvl>
    <w:lvl w:ilvl="7" w:tplc="1B166C16">
      <w:start w:val="1"/>
      <w:numFmt w:val="bullet"/>
      <w:lvlText w:val="o"/>
      <w:lvlJc w:val="left"/>
      <w:pPr>
        <w:ind w:left="5760" w:hanging="360"/>
      </w:pPr>
      <w:rPr>
        <w:rFonts w:hint="default" w:ascii="Courier New" w:hAnsi="Courier New"/>
      </w:rPr>
    </w:lvl>
    <w:lvl w:ilvl="8" w:tplc="00B68016">
      <w:start w:val="1"/>
      <w:numFmt w:val="bullet"/>
      <w:lvlText w:val=""/>
      <w:lvlJc w:val="left"/>
      <w:pPr>
        <w:ind w:left="6480" w:hanging="360"/>
      </w:pPr>
      <w:rPr>
        <w:rFonts w:hint="default" w:ascii="Wingdings" w:hAnsi="Wingdings"/>
      </w:rPr>
    </w:lvl>
  </w:abstractNum>
  <w:abstractNum w:abstractNumId="4" w15:restartNumberingAfterBreak="0">
    <w:nsid w:val="636BE498"/>
    <w:multiLevelType w:val="hybridMultilevel"/>
    <w:tmpl w:val="FFFFFFFF"/>
    <w:lvl w:ilvl="0" w:tplc="CE28513C">
      <w:start w:val="1"/>
      <w:numFmt w:val="bullet"/>
      <w:lvlText w:val=""/>
      <w:lvlJc w:val="left"/>
      <w:pPr>
        <w:ind w:left="720" w:hanging="360"/>
      </w:pPr>
      <w:rPr>
        <w:rFonts w:hint="default" w:ascii="Symbol" w:hAnsi="Symbol"/>
      </w:rPr>
    </w:lvl>
    <w:lvl w:ilvl="1" w:tplc="E78C6EBA">
      <w:start w:val="1"/>
      <w:numFmt w:val="bullet"/>
      <w:lvlText w:val="o"/>
      <w:lvlJc w:val="left"/>
      <w:pPr>
        <w:ind w:left="1440" w:hanging="360"/>
      </w:pPr>
      <w:rPr>
        <w:rFonts w:hint="default" w:ascii="Courier New" w:hAnsi="Courier New"/>
      </w:rPr>
    </w:lvl>
    <w:lvl w:ilvl="2" w:tplc="37CE6094">
      <w:start w:val="1"/>
      <w:numFmt w:val="bullet"/>
      <w:lvlText w:val=""/>
      <w:lvlJc w:val="left"/>
      <w:pPr>
        <w:ind w:left="2160" w:hanging="360"/>
      </w:pPr>
      <w:rPr>
        <w:rFonts w:hint="default" w:ascii="Wingdings" w:hAnsi="Wingdings"/>
      </w:rPr>
    </w:lvl>
    <w:lvl w:ilvl="3" w:tplc="9C2E15A4">
      <w:start w:val="1"/>
      <w:numFmt w:val="bullet"/>
      <w:lvlText w:val=""/>
      <w:lvlJc w:val="left"/>
      <w:pPr>
        <w:ind w:left="2880" w:hanging="360"/>
      </w:pPr>
      <w:rPr>
        <w:rFonts w:hint="default" w:ascii="Symbol" w:hAnsi="Symbol"/>
      </w:rPr>
    </w:lvl>
    <w:lvl w:ilvl="4" w:tplc="8C507D84">
      <w:start w:val="1"/>
      <w:numFmt w:val="bullet"/>
      <w:lvlText w:val="o"/>
      <w:lvlJc w:val="left"/>
      <w:pPr>
        <w:ind w:left="3600" w:hanging="360"/>
      </w:pPr>
      <w:rPr>
        <w:rFonts w:hint="default" w:ascii="Courier New" w:hAnsi="Courier New"/>
      </w:rPr>
    </w:lvl>
    <w:lvl w:ilvl="5" w:tplc="9E549728">
      <w:start w:val="1"/>
      <w:numFmt w:val="bullet"/>
      <w:lvlText w:val=""/>
      <w:lvlJc w:val="left"/>
      <w:pPr>
        <w:ind w:left="4320" w:hanging="360"/>
      </w:pPr>
      <w:rPr>
        <w:rFonts w:hint="default" w:ascii="Wingdings" w:hAnsi="Wingdings"/>
      </w:rPr>
    </w:lvl>
    <w:lvl w:ilvl="6" w:tplc="44200064">
      <w:start w:val="1"/>
      <w:numFmt w:val="bullet"/>
      <w:lvlText w:val=""/>
      <w:lvlJc w:val="left"/>
      <w:pPr>
        <w:ind w:left="5040" w:hanging="360"/>
      </w:pPr>
      <w:rPr>
        <w:rFonts w:hint="default" w:ascii="Symbol" w:hAnsi="Symbol"/>
      </w:rPr>
    </w:lvl>
    <w:lvl w:ilvl="7" w:tplc="568A4F5C">
      <w:start w:val="1"/>
      <w:numFmt w:val="bullet"/>
      <w:lvlText w:val="o"/>
      <w:lvlJc w:val="left"/>
      <w:pPr>
        <w:ind w:left="5760" w:hanging="360"/>
      </w:pPr>
      <w:rPr>
        <w:rFonts w:hint="default" w:ascii="Courier New" w:hAnsi="Courier New"/>
      </w:rPr>
    </w:lvl>
    <w:lvl w:ilvl="8" w:tplc="160C49D2">
      <w:start w:val="1"/>
      <w:numFmt w:val="bullet"/>
      <w:lvlText w:val=""/>
      <w:lvlJc w:val="left"/>
      <w:pPr>
        <w:ind w:left="6480" w:hanging="360"/>
      </w:pPr>
      <w:rPr>
        <w:rFonts w:hint="default" w:ascii="Wingdings" w:hAnsi="Wingdings"/>
      </w:rPr>
    </w:lvl>
  </w:abstractNum>
  <w:num w:numId="1" w16cid:durableId="1120108498">
    <w:abstractNumId w:val="1"/>
    <w:lvlOverride w:ilvl="0">
      <w:startOverride w:val="1"/>
    </w:lvlOverride>
  </w:num>
  <w:num w:numId="2" w16cid:durableId="159933388">
    <w:abstractNumId w:val="2"/>
    <w:lvlOverride w:ilvl="0">
      <w:startOverride w:val="1"/>
    </w:lvlOverride>
  </w:num>
  <w:num w:numId="3" w16cid:durableId="1709335968">
    <w:abstractNumId w:val="0"/>
  </w:num>
  <w:num w:numId="4" w16cid:durableId="1380669240">
    <w:abstractNumId w:val="3"/>
  </w:num>
  <w:num w:numId="5" w16cid:durableId="2002999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7E3"/>
    <w:rsid w:val="000231EC"/>
    <w:rsid w:val="000300CD"/>
    <w:rsid w:val="00043918"/>
    <w:rsid w:val="000539BC"/>
    <w:rsid w:val="00054003"/>
    <w:rsid w:val="0005459B"/>
    <w:rsid w:val="000607D4"/>
    <w:rsid w:val="000747E3"/>
    <w:rsid w:val="00075288"/>
    <w:rsid w:val="00084127"/>
    <w:rsid w:val="0008466C"/>
    <w:rsid w:val="00087578"/>
    <w:rsid w:val="00092A16"/>
    <w:rsid w:val="00097B13"/>
    <w:rsid w:val="000A0E50"/>
    <w:rsid w:val="000B22EE"/>
    <w:rsid w:val="000D5336"/>
    <w:rsid w:val="000E520F"/>
    <w:rsid w:val="000F472B"/>
    <w:rsid w:val="000F6362"/>
    <w:rsid w:val="000F73D4"/>
    <w:rsid w:val="0010354C"/>
    <w:rsid w:val="00103B2E"/>
    <w:rsid w:val="0013099E"/>
    <w:rsid w:val="00154A63"/>
    <w:rsid w:val="00155DB1"/>
    <w:rsid w:val="00163876"/>
    <w:rsid w:val="00164DF5"/>
    <w:rsid w:val="00165B72"/>
    <w:rsid w:val="00176408"/>
    <w:rsid w:val="00177141"/>
    <w:rsid w:val="00192A6A"/>
    <w:rsid w:val="001A4C61"/>
    <w:rsid w:val="001D6539"/>
    <w:rsid w:val="001E17F5"/>
    <w:rsid w:val="001E79F3"/>
    <w:rsid w:val="00203796"/>
    <w:rsid w:val="002077B8"/>
    <w:rsid w:val="00210216"/>
    <w:rsid w:val="00230A5F"/>
    <w:rsid w:val="00233737"/>
    <w:rsid w:val="002514C4"/>
    <w:rsid w:val="00261E2B"/>
    <w:rsid w:val="002756BC"/>
    <w:rsid w:val="00293C02"/>
    <w:rsid w:val="002949CD"/>
    <w:rsid w:val="002A4408"/>
    <w:rsid w:val="002F351F"/>
    <w:rsid w:val="003101D5"/>
    <w:rsid w:val="00312943"/>
    <w:rsid w:val="00317BF0"/>
    <w:rsid w:val="00321183"/>
    <w:rsid w:val="00333D5D"/>
    <w:rsid w:val="00345879"/>
    <w:rsid w:val="00346775"/>
    <w:rsid w:val="00350144"/>
    <w:rsid w:val="00350314"/>
    <w:rsid w:val="0035543A"/>
    <w:rsid w:val="00356811"/>
    <w:rsid w:val="00371B28"/>
    <w:rsid w:val="00385CAC"/>
    <w:rsid w:val="0039031D"/>
    <w:rsid w:val="003A1E5A"/>
    <w:rsid w:val="003C4D2D"/>
    <w:rsid w:val="003D0BF5"/>
    <w:rsid w:val="003F6523"/>
    <w:rsid w:val="00402EC6"/>
    <w:rsid w:val="004171F8"/>
    <w:rsid w:val="00423D74"/>
    <w:rsid w:val="00427F09"/>
    <w:rsid w:val="004378FA"/>
    <w:rsid w:val="00445AB0"/>
    <w:rsid w:val="0046522F"/>
    <w:rsid w:val="00465828"/>
    <w:rsid w:val="00466EA6"/>
    <w:rsid w:val="004A6CBF"/>
    <w:rsid w:val="004B088C"/>
    <w:rsid w:val="004D7E2A"/>
    <w:rsid w:val="004E0947"/>
    <w:rsid w:val="004E7972"/>
    <w:rsid w:val="004F186B"/>
    <w:rsid w:val="004F4ED7"/>
    <w:rsid w:val="004F5D67"/>
    <w:rsid w:val="0050739B"/>
    <w:rsid w:val="00512477"/>
    <w:rsid w:val="00542339"/>
    <w:rsid w:val="0054661D"/>
    <w:rsid w:val="00551FCB"/>
    <w:rsid w:val="0056630D"/>
    <w:rsid w:val="00574E0B"/>
    <w:rsid w:val="0059773C"/>
    <w:rsid w:val="005A21B4"/>
    <w:rsid w:val="005A4357"/>
    <w:rsid w:val="005C5981"/>
    <w:rsid w:val="005C62CE"/>
    <w:rsid w:val="005F7BB0"/>
    <w:rsid w:val="00602385"/>
    <w:rsid w:val="00623CF3"/>
    <w:rsid w:val="00634CDA"/>
    <w:rsid w:val="00653E1E"/>
    <w:rsid w:val="00655DD7"/>
    <w:rsid w:val="0066289B"/>
    <w:rsid w:val="006668DE"/>
    <w:rsid w:val="00676BC0"/>
    <w:rsid w:val="0069760B"/>
    <w:rsid w:val="006A1059"/>
    <w:rsid w:val="006A49FF"/>
    <w:rsid w:val="006B3653"/>
    <w:rsid w:val="006B7125"/>
    <w:rsid w:val="006C1CEC"/>
    <w:rsid w:val="006C5344"/>
    <w:rsid w:val="006E5E69"/>
    <w:rsid w:val="007157DB"/>
    <w:rsid w:val="00721C5B"/>
    <w:rsid w:val="007523C5"/>
    <w:rsid w:val="00753FD1"/>
    <w:rsid w:val="00754231"/>
    <w:rsid w:val="007545DC"/>
    <w:rsid w:val="00754642"/>
    <w:rsid w:val="00766CF4"/>
    <w:rsid w:val="0078413E"/>
    <w:rsid w:val="00787953"/>
    <w:rsid w:val="00793FEE"/>
    <w:rsid w:val="007A6DA5"/>
    <w:rsid w:val="007B4D2D"/>
    <w:rsid w:val="007C3162"/>
    <w:rsid w:val="007C6F76"/>
    <w:rsid w:val="007F6483"/>
    <w:rsid w:val="00802306"/>
    <w:rsid w:val="00802402"/>
    <w:rsid w:val="00806C9F"/>
    <w:rsid w:val="008202F5"/>
    <w:rsid w:val="00833477"/>
    <w:rsid w:val="00835EF8"/>
    <w:rsid w:val="008402C4"/>
    <w:rsid w:val="00843178"/>
    <w:rsid w:val="0085538E"/>
    <w:rsid w:val="00857233"/>
    <w:rsid w:val="008628E7"/>
    <w:rsid w:val="00894704"/>
    <w:rsid w:val="008A0494"/>
    <w:rsid w:val="008A473D"/>
    <w:rsid w:val="008D19DC"/>
    <w:rsid w:val="008D7A9F"/>
    <w:rsid w:val="008F5DC1"/>
    <w:rsid w:val="00900CDE"/>
    <w:rsid w:val="009017DF"/>
    <w:rsid w:val="00904367"/>
    <w:rsid w:val="00911C37"/>
    <w:rsid w:val="009160CE"/>
    <w:rsid w:val="009227E7"/>
    <w:rsid w:val="00923589"/>
    <w:rsid w:val="00924DFC"/>
    <w:rsid w:val="0094079A"/>
    <w:rsid w:val="00941D46"/>
    <w:rsid w:val="009547B0"/>
    <w:rsid w:val="009A78CB"/>
    <w:rsid w:val="009B3CE7"/>
    <w:rsid w:val="009D11EF"/>
    <w:rsid w:val="009D34B4"/>
    <w:rsid w:val="009D637D"/>
    <w:rsid w:val="009E7FE2"/>
    <w:rsid w:val="009F0C05"/>
    <w:rsid w:val="00A02900"/>
    <w:rsid w:val="00A11BAB"/>
    <w:rsid w:val="00A30426"/>
    <w:rsid w:val="00A30B4E"/>
    <w:rsid w:val="00A310BE"/>
    <w:rsid w:val="00A35D0E"/>
    <w:rsid w:val="00A465A0"/>
    <w:rsid w:val="00A55D25"/>
    <w:rsid w:val="00A646C6"/>
    <w:rsid w:val="00A67A5D"/>
    <w:rsid w:val="00A67BFD"/>
    <w:rsid w:val="00A82D8B"/>
    <w:rsid w:val="00A85052"/>
    <w:rsid w:val="00A86684"/>
    <w:rsid w:val="00A90B7D"/>
    <w:rsid w:val="00A96F94"/>
    <w:rsid w:val="00AA4DD4"/>
    <w:rsid w:val="00AA739B"/>
    <w:rsid w:val="00AB4F06"/>
    <w:rsid w:val="00AD00B6"/>
    <w:rsid w:val="00AD0DEC"/>
    <w:rsid w:val="00AD5C4C"/>
    <w:rsid w:val="00AE1627"/>
    <w:rsid w:val="00AE4D07"/>
    <w:rsid w:val="00AE6195"/>
    <w:rsid w:val="00AE7537"/>
    <w:rsid w:val="00AF4171"/>
    <w:rsid w:val="00B068BB"/>
    <w:rsid w:val="00B428E1"/>
    <w:rsid w:val="00B50CA7"/>
    <w:rsid w:val="00B5671A"/>
    <w:rsid w:val="00B63A8B"/>
    <w:rsid w:val="00B65867"/>
    <w:rsid w:val="00B841CA"/>
    <w:rsid w:val="00BA3846"/>
    <w:rsid w:val="00BB26C9"/>
    <w:rsid w:val="00BC0203"/>
    <w:rsid w:val="00BC027A"/>
    <w:rsid w:val="00BF1AF2"/>
    <w:rsid w:val="00BF42BF"/>
    <w:rsid w:val="00BF4B0C"/>
    <w:rsid w:val="00BF6C90"/>
    <w:rsid w:val="00BF6F57"/>
    <w:rsid w:val="00C10708"/>
    <w:rsid w:val="00C10911"/>
    <w:rsid w:val="00C250F8"/>
    <w:rsid w:val="00C25ED8"/>
    <w:rsid w:val="00C4022A"/>
    <w:rsid w:val="00C41360"/>
    <w:rsid w:val="00C454F1"/>
    <w:rsid w:val="00C51DCA"/>
    <w:rsid w:val="00C546BB"/>
    <w:rsid w:val="00C71F59"/>
    <w:rsid w:val="00C74706"/>
    <w:rsid w:val="00C74E7A"/>
    <w:rsid w:val="00C87983"/>
    <w:rsid w:val="00C928FF"/>
    <w:rsid w:val="00CB1FD6"/>
    <w:rsid w:val="00CB4000"/>
    <w:rsid w:val="00CC3A4E"/>
    <w:rsid w:val="00CC514E"/>
    <w:rsid w:val="00CC53EC"/>
    <w:rsid w:val="00CE59C6"/>
    <w:rsid w:val="00D04CA1"/>
    <w:rsid w:val="00D06ED5"/>
    <w:rsid w:val="00D16071"/>
    <w:rsid w:val="00D16D40"/>
    <w:rsid w:val="00D43BF3"/>
    <w:rsid w:val="00D52FE9"/>
    <w:rsid w:val="00D71D86"/>
    <w:rsid w:val="00D730C9"/>
    <w:rsid w:val="00D76C07"/>
    <w:rsid w:val="00D857B2"/>
    <w:rsid w:val="00D92F90"/>
    <w:rsid w:val="00DF0EAE"/>
    <w:rsid w:val="00E05A83"/>
    <w:rsid w:val="00E144C7"/>
    <w:rsid w:val="00E25AAD"/>
    <w:rsid w:val="00E30A47"/>
    <w:rsid w:val="00E32109"/>
    <w:rsid w:val="00E3305E"/>
    <w:rsid w:val="00E340E1"/>
    <w:rsid w:val="00E42A6B"/>
    <w:rsid w:val="00E463CD"/>
    <w:rsid w:val="00E5309C"/>
    <w:rsid w:val="00E70958"/>
    <w:rsid w:val="00E7525F"/>
    <w:rsid w:val="00E85A83"/>
    <w:rsid w:val="00EA310A"/>
    <w:rsid w:val="00EB0988"/>
    <w:rsid w:val="00EC68C7"/>
    <w:rsid w:val="00ED1B35"/>
    <w:rsid w:val="00EE232C"/>
    <w:rsid w:val="00EF04E0"/>
    <w:rsid w:val="00EF16E4"/>
    <w:rsid w:val="00EF64FB"/>
    <w:rsid w:val="00F00487"/>
    <w:rsid w:val="00F21D9E"/>
    <w:rsid w:val="00F262A1"/>
    <w:rsid w:val="00F53D76"/>
    <w:rsid w:val="00F55BC1"/>
    <w:rsid w:val="00F65EDC"/>
    <w:rsid w:val="00F77F69"/>
    <w:rsid w:val="00F840B4"/>
    <w:rsid w:val="00F869C9"/>
    <w:rsid w:val="00FB13DB"/>
    <w:rsid w:val="00FB69D2"/>
    <w:rsid w:val="00FD2DF9"/>
    <w:rsid w:val="00FE3EBF"/>
    <w:rsid w:val="00FE5430"/>
    <w:rsid w:val="00FE5819"/>
    <w:rsid w:val="00FE591E"/>
    <w:rsid w:val="00FF5DB3"/>
    <w:rsid w:val="014D8153"/>
    <w:rsid w:val="018BDB32"/>
    <w:rsid w:val="01982311"/>
    <w:rsid w:val="01A425D5"/>
    <w:rsid w:val="024B932C"/>
    <w:rsid w:val="02CFDB52"/>
    <w:rsid w:val="041A9BE7"/>
    <w:rsid w:val="05A48E37"/>
    <w:rsid w:val="08050141"/>
    <w:rsid w:val="0A017CA3"/>
    <w:rsid w:val="0A15D61F"/>
    <w:rsid w:val="0B97404B"/>
    <w:rsid w:val="0DB860B9"/>
    <w:rsid w:val="11DBD755"/>
    <w:rsid w:val="12D8E9F3"/>
    <w:rsid w:val="149B06F3"/>
    <w:rsid w:val="154A667B"/>
    <w:rsid w:val="1603BDD1"/>
    <w:rsid w:val="198CB08E"/>
    <w:rsid w:val="19D7B1EA"/>
    <w:rsid w:val="19E71B67"/>
    <w:rsid w:val="1CEEE2E5"/>
    <w:rsid w:val="1CF2A043"/>
    <w:rsid w:val="1DC6FC7B"/>
    <w:rsid w:val="1F1E02DB"/>
    <w:rsid w:val="20AAF858"/>
    <w:rsid w:val="213FD4CE"/>
    <w:rsid w:val="217DF05D"/>
    <w:rsid w:val="226E9451"/>
    <w:rsid w:val="2321935F"/>
    <w:rsid w:val="235E0C47"/>
    <w:rsid w:val="26AB5311"/>
    <w:rsid w:val="26AECCFB"/>
    <w:rsid w:val="291989C1"/>
    <w:rsid w:val="295394C5"/>
    <w:rsid w:val="2A6CF663"/>
    <w:rsid w:val="2B61DBEB"/>
    <w:rsid w:val="2C7AF410"/>
    <w:rsid w:val="2D1418F4"/>
    <w:rsid w:val="32FF34C3"/>
    <w:rsid w:val="331F11B3"/>
    <w:rsid w:val="3364FBBB"/>
    <w:rsid w:val="34423B4D"/>
    <w:rsid w:val="35AC4463"/>
    <w:rsid w:val="37999BCD"/>
    <w:rsid w:val="383C4E71"/>
    <w:rsid w:val="393F92C6"/>
    <w:rsid w:val="39CB9091"/>
    <w:rsid w:val="3AF42F2A"/>
    <w:rsid w:val="3E64DE98"/>
    <w:rsid w:val="408B8C9E"/>
    <w:rsid w:val="40EA3F3E"/>
    <w:rsid w:val="41BFA059"/>
    <w:rsid w:val="4613137A"/>
    <w:rsid w:val="48F9EA8B"/>
    <w:rsid w:val="494449BD"/>
    <w:rsid w:val="4A6CECB3"/>
    <w:rsid w:val="4BBD36D1"/>
    <w:rsid w:val="4D82537A"/>
    <w:rsid w:val="4E406920"/>
    <w:rsid w:val="4EF7427E"/>
    <w:rsid w:val="4F0E3E6E"/>
    <w:rsid w:val="4F2CD5D8"/>
    <w:rsid w:val="4F5484F4"/>
    <w:rsid w:val="4FDA4359"/>
    <w:rsid w:val="505AF593"/>
    <w:rsid w:val="50CE5A44"/>
    <w:rsid w:val="50FAEAC7"/>
    <w:rsid w:val="51188F1E"/>
    <w:rsid w:val="5160F710"/>
    <w:rsid w:val="53DE1871"/>
    <w:rsid w:val="56BB99A0"/>
    <w:rsid w:val="56DE4DED"/>
    <w:rsid w:val="56F5D9B2"/>
    <w:rsid w:val="5886657D"/>
    <w:rsid w:val="58EEA73A"/>
    <w:rsid w:val="5A782048"/>
    <w:rsid w:val="5AD015C1"/>
    <w:rsid w:val="5BD0B5A0"/>
    <w:rsid w:val="5CC7386F"/>
    <w:rsid w:val="5CFB33CE"/>
    <w:rsid w:val="5DFCFE96"/>
    <w:rsid w:val="5F02A996"/>
    <w:rsid w:val="5F02EC34"/>
    <w:rsid w:val="607CFC83"/>
    <w:rsid w:val="6092762F"/>
    <w:rsid w:val="61128AD5"/>
    <w:rsid w:val="6117B531"/>
    <w:rsid w:val="61A6051B"/>
    <w:rsid w:val="65919B4D"/>
    <w:rsid w:val="696E85F5"/>
    <w:rsid w:val="6A77F446"/>
    <w:rsid w:val="6A82F129"/>
    <w:rsid w:val="6CC38576"/>
    <w:rsid w:val="6D68697D"/>
    <w:rsid w:val="6ED01114"/>
    <w:rsid w:val="6FC8C2A3"/>
    <w:rsid w:val="73E801B9"/>
    <w:rsid w:val="75D83C85"/>
    <w:rsid w:val="78A7E31F"/>
    <w:rsid w:val="78E70E27"/>
    <w:rsid w:val="7A0D7EE5"/>
    <w:rsid w:val="7A48CEDE"/>
    <w:rsid w:val="7AAD91B0"/>
    <w:rsid w:val="7AFA3E7C"/>
    <w:rsid w:val="7B2DA6D5"/>
    <w:rsid w:val="7D2C1213"/>
    <w:rsid w:val="7E794F5D"/>
    <w:rsid w:val="7FB879DD"/>
    <w:rsid w:val="7FFB69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E6FF"/>
  <w15:docId w15:val="{1F76107E-2E5A-4A41-8411-0F7FA375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B4000"/>
    <w:rPr>
      <w:color w:val="96607D" w:themeColor="followedHyperlink"/>
      <w:u w:val="single"/>
    </w:rPr>
  </w:style>
  <w:style w:type="character" w:styleId="CommentReference">
    <w:name w:val="annotation reference"/>
    <w:basedOn w:val="DefaultParagraphFont"/>
    <w:uiPriority w:val="99"/>
    <w:semiHidden/>
    <w:unhideWhenUsed/>
    <w:rsid w:val="00075288"/>
    <w:rPr>
      <w:sz w:val="16"/>
      <w:szCs w:val="16"/>
    </w:rPr>
  </w:style>
  <w:style w:type="paragraph" w:styleId="CommentText">
    <w:name w:val="annotation text"/>
    <w:basedOn w:val="Normal"/>
    <w:link w:val="CommentTextChar"/>
    <w:uiPriority w:val="99"/>
    <w:unhideWhenUsed/>
    <w:rsid w:val="00075288"/>
  </w:style>
  <w:style w:type="character" w:styleId="CommentTextChar" w:customStyle="1">
    <w:name w:val="Comment Text Char"/>
    <w:basedOn w:val="DefaultParagraphFont"/>
    <w:link w:val="CommentText"/>
    <w:uiPriority w:val="99"/>
    <w:rsid w:val="00075288"/>
  </w:style>
  <w:style w:type="paragraph" w:styleId="CommentSubject">
    <w:name w:val="annotation subject"/>
    <w:basedOn w:val="CommentText"/>
    <w:next w:val="CommentText"/>
    <w:link w:val="CommentSubjectChar"/>
    <w:uiPriority w:val="99"/>
    <w:semiHidden/>
    <w:unhideWhenUsed/>
    <w:rsid w:val="00075288"/>
    <w:rPr>
      <w:b/>
      <w:bCs/>
    </w:rPr>
  </w:style>
  <w:style w:type="character" w:styleId="CommentSubjectChar" w:customStyle="1">
    <w:name w:val="Comment Subject Char"/>
    <w:basedOn w:val="CommentTextChar"/>
    <w:link w:val="CommentSubject"/>
    <w:uiPriority w:val="99"/>
    <w:semiHidden/>
    <w:rsid w:val="00075288"/>
    <w:rPr>
      <w:b/>
      <w:bCs/>
    </w:rPr>
  </w:style>
  <w:style w:type="character" w:styleId="UnresolvedMention">
    <w:name w:val="Unresolved Mention"/>
    <w:basedOn w:val="DefaultParagraphFont"/>
    <w:uiPriority w:val="99"/>
    <w:semiHidden/>
    <w:unhideWhenUsed/>
    <w:rsid w:val="00E32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dakotame-my.sharepoint.com/:w:/g/personal/theodor_owchariw_dakotamats_com/IQBRpQHWFvGXQqJXBLHSoLWHAWTW2u95MvRVcQPBOIRW1ec?e=FmSF2s" TargetMode="External" Id="Re053dc497a7945f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Theodor Owchariw</lastModifiedBy>
  <revision>15</revision>
  <dcterms:created xsi:type="dcterms:W3CDTF">2026-08-25T18:41:00.0000000Z</dcterms:created>
  <dcterms:modified xsi:type="dcterms:W3CDTF">2026-08-26T13:19:12.3993022Z</dcterms:modified>
</coreProperties>
</file>