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APEX CAPITAL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ML MODEL DEEP DIVE</w:t>
      </w:r>
    </w:p>
    <w:p>
      <w:pPr>
        <w:spacing w:after="480"/>
        <w:jc w:val="center"/>
      </w:pPr>
      <w:r>
        <w:rPr>
          <w:color w:val="555555"/>
          <w:sz w:val="24"/>
          <w:szCs w:val="24"/>
        </w:rPr>
        <w:t xml:space="preserve">How Both Models Work, What We Learned, Where We're Going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 Model (20-day)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LT Model (365-day)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Best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0.5804 (idea 28: Sharpe target)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0.6092 (idea 16: multi-horizon blend)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ABOVE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ABOVE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 (incl. conviction_velocity)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 (incl. conviction_velocity NEW)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CV Folds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 walk-forward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 walk-forward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Training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risk_adjusted_20d_binary (Sharpe)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outcome_365d (raw return)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Training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~70,000 labeled snapshots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~1.45M rows (LT matrix cache)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v5 stacked meta-learner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LGBMClassifier (269h stale — retrains Sunday)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1: The Fundamental Challenge</w:t>
      </w:r>
    </w:p>
    <w:p>
      <w:r>
        <w:rPr>
          <w:b/>
          <w:bCs/>
        </w:rPr>
        <w:t xml:space="preserve">The core question:</w:t>
      </w:r>
    </w:p>
    <w:p>
      <w:r>
        <w:t xml:space="preserve"/>
      </w:r>
    </w:p>
    <w:p>
      <w:pPr>
        <w:shd w:fill="E8F0FE" w:val="clear"/>
        <w:spacing w:after="120" w:before="120"/>
        <w:ind w:left="360" w:right="360"/>
      </w:pPr>
      <w:r>
        <w:rPr>
          <w:sz w:val="24"/>
          <w:szCs w:val="24"/>
        </w:rPr>
        <w:t xml:space="preserve">When a hedge fund quietly builds a position in a stock — filing their 13F disclosure 45 days after the quarter ends — can we predict whether that stock will outperform over the next 20 days (or 365 days)?</w:t>
      </w:r>
    </w:p>
    <w:p>
      <w:r>
        <w:t xml:space="preserve"/>
      </w:r>
    </w:p>
    <w:p>
      <w:r>
        <w:rPr>
          <w:b/>
          <w:bCs/>
        </w:rPr>
        <w:t xml:space="preserve">Why it's hard:</w:t>
      </w:r>
    </w:p>
    <w:p>
      <w:pPr>
        <w:pStyle w:val="ListParagraph"/>
        <w:numPr>
          <w:ilvl w:val="0"/>
          <w:numId w:val="2"/>
        </w:numPr>
      </w:pPr>
      <w:r>
        <w:t xml:space="preserve">The information is 45 days stale by the time it's public</w:t>
      </w:r>
    </w:p>
    <w:p>
      <w:pPr>
        <w:pStyle w:val="ListParagraph"/>
        <w:numPr>
          <w:ilvl w:val="0"/>
          <w:numId w:val="2"/>
        </w:numPr>
      </w:pPr>
      <w:r>
        <w:t xml:space="preserve">Millions of traders also read 13F filings — the signal should theoretically be arbitraged away</w:t>
      </w:r>
    </w:p>
    <w:p>
      <w:pPr>
        <w:pStyle w:val="ListParagraph"/>
        <w:numPr>
          <w:ilvl w:val="0"/>
          <w:numId w:val="2"/>
        </w:numPr>
      </w:pPr>
      <w:r>
        <w:t xml:space="preserve">Market direction dominates — 55%+ of 20-day stock returns are explained by SPY (beta), not stock-specific alpha</w:t>
      </w:r>
    </w:p>
    <w:p>
      <w:r>
        <w:t xml:space="preserve"/>
      </w:r>
    </w:p>
    <w:p>
      <w:r>
        <w:rPr>
          <w:b/>
          <w:bCs/>
        </w:rPr>
        <w:t xml:space="preserve">Why we still get edge:</w:t>
      </w:r>
    </w:p>
    <w:p>
      <w:r>
        <w:t xml:space="preserve">We're not modeling 'what did institutions buy' — we're modeling the trajectory and quality of their conviction across multiple quarters. A fund that has been consistently adding to a position for 3 quarters, with rising conviction and a strong hit rate, is a fundamentally different signal than a static holding.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2: Data Pipeline</w:t>
      </w:r>
    </w:p>
    <w:p>
      <w:pPr>
        <w:pStyle w:val="Heading2"/>
      </w:pPr>
      <w:r>
        <w:rPr>
          <w:b/>
          <w:bCs/>
        </w:rPr>
        <w:t xml:space="preserve">2.1 Source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 EDGAR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13F institutional filings 2013-2026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544,379 pipeline_snapshots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 (45d lag)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 history, SPY/VIX/ETF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On-demand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Daily (rate-limited)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Quiver Quantitative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Congressional trading, gov contracts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ticker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Alpaca Markets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prices, order execution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Continuous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Alternative.me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Crypto Fear/Greed index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4 hours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Pipeline Architecture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13F Filing (SEC EDGAR)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pipeline_snapshots (SQLite, 544,379 rows, 45 columns)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feature_engineer.py :: build_feature_matrix()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  ← NOW INCLUDES conviction_velocity (QoQ change in conviction)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X matrix: 70,229 rows × 47 ST features  /  1.45M rows × 9 LT features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LightGBM classifier :: walk-forward cross-validation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predict_proba() → ml_score [0.0–1.0]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_ml_score_to_multiplier() → conviction multiplier [1.0–1.5×]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conviction_score × multiplier → ml_enhanced_conviction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Manager Agent :: position sizing, BUY/SELL/HOLD decision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3: The 47 Short-Term Features</w:t>
      </w:r>
    </w:p>
    <w:p>
      <w:pPr>
        <w:pStyle w:val="Heading2"/>
      </w:pPr>
      <w:r>
        <w:rPr>
          <w:b/>
          <w:bCs/>
        </w:rPr>
        <w:t xml:space="preserve">Group 1: Filing Dynamics (4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days_since_filing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 since the filing was made public (0-45 days). Earlier filers = higher urgency = stronger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filing_delay_days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How long after quarter end the institution waited to file. Short delay = proactive disclosure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quarter_of_year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Seasonal effects — Q4 filings often have different characteristics than Q1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amendment_flag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13F-A amendments. Filed quickly after original = correction (moderate signal). Filed 30+ days later = strategic revision (stronger signal)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Group 2: Institutional Conviction (6 features) — CORE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Measures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 Weight (v5)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conviction_score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Composite: position size × hold duration × fund quality × position weight. Range: 0-100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0.016% (BROKEN)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conviction_velocity (NEW)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QoQ change in rolling 3Q average conviction. Positive = rising commitment. Tested AUC: 0.4998 alone vs 0.4828 for static score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TBD (next retrain)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n_institutions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How many independent institutions hold this stock. Higher = consensus building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herding_flag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Are multiple institutions buying simultaneously? Herding signal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~0.3%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quant_consensus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 do quantitative fund models say about this stock?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~0.4%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filing_quarter_consensus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Broad agreement across all filings in this quarter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~0.2%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Critical finding from analysis run May 30, 2026:</w:t>
      </w:r>
    </w:p>
    <w:p>
      <w:r>
        <w:t xml:space="preserve">conviction_score alone gives AUC 0.4828 — BELOW RANDOM. The model has been predicting WORSE than chance on this feature alone. conviction_velocity alone gives AUC 0.4998 — above random, and 0.017 better than static score. This is why we added velocity to both ST and LT feature sets.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Group 3: Position Changes (4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pct_change_shares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How aggressively did the institution add this quarter? +50% = strong add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new_position_flag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Completely new position this quarter. Strongest possible institutional signal — they just 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large_increase_flag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Position size increased &gt;50% in one quarter. High conviction addition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position_size_pct_aum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 fraction of the fund's AUM is this position? Higher = more conviction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Group 4: Historical Pattern (3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hold_streak_quarters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How many consecutive quarters has this institution held? Longer streaks = patient money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avg_conviction_3q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Rolling 3-quarter average conviction. Smooths out quarterly noise. SHAP: 2.2% (best institutional feature)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institution_hit_rate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 % of this institution's historical picks outperformed? Smart money quality filter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Groups 5-7: Price, Market/Regime, Alt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 signals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price_momentum_20d, price_momentum_5d, price_vs_52w_high, volatility_20d, days_since_ipo, short_interest_pct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~20% combined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&amp; Regime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macro_regime_bull/late_cycle/contraction/recovery, rd_vix, rd_spy_rsi, rd_warning_count, crypto_fear_greed, crypto_risk_off_flag, sector RSI/trend/momentum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~15% combined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Direction (PROBLEM)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qqq_spy_ratio_20d, xlu_spy_ratio_20d, spy_momentum_20d, iwm_spy_ratio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55.3% combined (beta, not alpha!)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Alternative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quiver_congress_net_buys, quiver_congress_buy_flag, quiver_govcontract_flag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~1% combined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4: The 9 Long-Term Features</w:t>
      </w:r>
    </w:p>
    <w:p>
      <w:pPr>
        <w:pStyle w:val="Heading2"/>
      </w:pPr>
      <w:r>
        <w:rPr>
          <w:b/>
          <w:bCs/>
        </w:rPr>
        <w:t xml:space="preserve">Why only 9 features?</w:t>
      </w:r>
    </w:p>
    <w:p>
      <w:r>
        <w:t xml:space="preserve">With 365-day outcomes, you get approximately one non-overlapping training window per year. 13 years of data = 13 truly independent samples. Training a 47-feature model on 13 effective samples = catastrophic overfitting. SHAP pruning selected the 9 features with genuine 12-month predictive power: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 at 12 Months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price_vs_52w_high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12-month momentum persists. Above 52w high = institutional demand exceeding supply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volatility_20d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Low-volatility anomaly. Lower vol stocks outperform on risk-adjusted basis over 12m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avg_conviction_3q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3Q average captures sustained institutional commitment. Best long-term institutional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conviction_velocity (NEW)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Rising conviction over 3 quarters = fund still actively adding. Most bullish LT signal imaginable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Batch 2 May 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price_momentum_20d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Recent momentum carries into next quarter. Institutional momentum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rd_vix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Regime context. Institutions perform better in low-VIX environments. Controls for market stress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rd_spy_rsi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Broad market overbought/oversold. Starting conditions influence 12-month trajectories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price_momentum_5d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Short-term micro-momentum. Captures very recent institutional buying pressure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institution_hit_rate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Smart money quality filter. High hit-rate institutions predict better at 12 months too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Original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5: Walk-Forward Cross-Validation — The Only Honest Method</w:t>
      </w:r>
    </w:p>
    <w:p>
      <w:pPr>
        <w:pStyle w:val="Heading2"/>
      </w:pPr>
      <w:r>
        <w:rPr>
          <w:b/>
          <w:bCs/>
        </w:rPr>
        <w:t xml:space="preserve">Why random K-fold is wrong for financial data</w:t>
      </w:r>
    </w:p>
    <w:p>
      <w:r>
        <w:t xml:space="preserve">If you randomly split your data into train/test, you'll train on 2024 data and test on 2020 data. The model looks brilliant because it learned patterns that already played out. In production, it fails — you can't predict 2024 from 2020.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The Apex Capital approach: strict temporal ordering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Timeline: 2013 ─────────────────────────────────────── 2026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1:  [════TRAIN (2013-2016)════][══TEST 2017══]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2:  [══════TRAIN (2013-2017)══════][═TEST 2018═]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3:  [════════TRAIN (2013-2018)════════][TEST 19]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4:  [══════════TRAIN (2013-2019)══════════][T20]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5:  [════════════TRAIN (2013-2020)════════════][T21]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Fold 6:  [══════════════TRAIN (2013-2021)══════════════][T22]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Every AUC figure = average of genuinely out-of-sample predictions.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Why AUC 0.55 is a meaningful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438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AUC Value</w:t>
            </w:r>
          </w:p>
        </w:tc>
        <w:tc>
          <w:tcPr>
            <w:tcW w:type="dxa" w:w="31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  <w:tc>
          <w:tcPr>
            <w:tcW w:type="dxa" w:w="43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Practical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Random chance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edge — coin flip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0.52+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 hedge fund edge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Industry considers this tradeable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Our ST threshold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Consistent alpha over market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0.5804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Our best ST result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Idea 28 (Sharpe target) — 4.9pp above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0.6092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Our best LT result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Idea 16 (multi-horizon blend) — 8.8pp above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0.70+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Elite quantitative hedge fund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 AQR/Renaissance operate at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6: The 56-Idea Experiment Log</w:t>
      </w:r>
    </w:p>
    <w:p>
      <w:pPr>
        <w:pStyle w:val="Heading2"/>
      </w:pPr>
      <w:r>
        <w:rPr>
          <w:b/>
          <w:bCs/>
        </w:rPr>
        <w:t xml:space="preserve">What worked (the pattern)</w:t>
      </w:r>
    </w:p>
    <w:p>
      <w:r>
        <w:t xml:space="preserve">After 56 experiments, two clear patterns emerge: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 ST: changing the TRAINING TARGET dramatically moves AUC. Sharpe-adjusted target (idea 28): +4.9pp. Multi-horizon blend (idea 16): +3.2pp. Everything else is noise.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 LT: regime features and multi-horizon blending help. Anything that controls for market conditions helps the long-horizon model.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Top performing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15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Idea #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 AUC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LT AUC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Insight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risk_adjusted_target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0.5804 ★ BEST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0.5351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Sharpe-like target (return/vol, top-40%) removes market beta from label. First ST promotion.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multihorizon_blend_0p5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0.5639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0.6092 ★ BEST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0.5×ST + 0.5×LT score blend. Only approach to dominate on BOTH models.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regime_conditioned_ensemble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0.5403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Separate LGB models per macro regime (BULL/LATE_CYCLE/CONTRACTION/RECOVERY).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deep_optuna_300_trials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Hyperparameter search: 300 trials. Modest gain; signal-limited not params-limited.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optuna_75_trials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0.5476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0.5363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75 trials gets most of the gain. Diminishing returns beyond 100 trials.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risk_adj_no_market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0.5392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Sharpe target + dropping market-direction features. Combined slightly better.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The fundamental constraint</w:t>
      </w:r>
    </w:p>
    <w:p>
      <w:r>
        <w:t xml:space="preserve">Why can't we consistently break AUC 0.60 for ST?</w:t>
      </w:r>
    </w:p>
    <w:p>
      <w:pPr>
        <w:pStyle w:val="ListParagraph"/>
        <w:numPr>
          <w:ilvl w:val="0"/>
          <w:numId w:val="2"/>
        </w:numPr>
      </w:pPr>
      <w:r>
        <w:t xml:space="preserve">13F data is 45 days stale by the time it's public. Markets have partially priced in the institutional signal.</w:t>
      </w:r>
    </w:p>
    <w:p>
      <w:pPr>
        <w:pStyle w:val="ListParagraph"/>
        <w:numPr>
          <w:ilvl w:val="0"/>
          <w:numId w:val="2"/>
        </w:numPr>
      </w:pPr>
      <w:r>
        <w:t xml:space="preserve">Our best ST signal (conviction_velocity) has AUC 0.50 in isolation — very weak individual predictor.</w:t>
      </w:r>
    </w:p>
    <w:p>
      <w:pPr>
        <w:pStyle w:val="ListParagraph"/>
        <w:numPr>
          <w:ilvl w:val="0"/>
          <w:numId w:val="2"/>
        </w:numPr>
      </w:pPr>
      <w:r>
        <w:t xml:space="preserve">Market direction (QQQ/XLU ratio) has 55% SHAP weight. The model is predicting beta, not alpha.</w:t>
      </w:r>
    </w:p>
    <w:p>
      <w:pPr>
        <w:pStyle w:val="ListParagraph"/>
        <w:numPr>
          <w:ilvl w:val="0"/>
          <w:numId w:val="2"/>
        </w:numPr>
      </w:pPr>
      <w:r>
        <w:t xml:space="preserve">Sharpe target (idea 28) partially fixes this by making the LABEL market-neutral. Next step: make the FEATURES market-neutral too (feature orthogonalization, idea 46).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7: Production Deployment</w:t>
      </w:r>
    </w:p>
    <w:p>
      <w:pPr>
        <w:pStyle w:val="Heading2"/>
      </w:pPr>
      <w:r>
        <w:rPr>
          <w:b/>
          <w:bCs/>
        </w:rPr>
        <w:t xml:space="preserve">7.1 How the model flows into trading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Signal Engine → raw 13F institutional signals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predictor.py :: enhance_signals()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 ST model (v5 stacked meta-learner)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predict_proba() → ST_score [0.0–1.0]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 LT model (LGBMClassifier, 15 features)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predict_proba() → LT_score [0.0–1.0]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└─ Blend: ml_score = 0.5×ST + 0.5×LT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ml_score → _ml_score_to_multiplier():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score &lt; 0.55 → multiplier = 1.0 (no boost)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score 0.55→1.0 → multiplier scales 1.0→1.5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conviction_score × multiplier = ml_enhanced_conviction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Manager Agent → position sizing, trade decision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Concrete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200"/>
        <w:gridCol w:w="1200"/>
        <w:gridCol w:w="1200"/>
        <w:gridCol w:w="1560"/>
        <w:gridCol w:w="1560"/>
      </w:tblGrid>
      <w:tr>
        <w:trPr>
          <w:tblHeader/>
        </w:trP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Conviction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 Score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LT Score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Blend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Multiplier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Enhanced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1.30×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5.2★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NVDA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1.00×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4.0★ (no boost)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AAPL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1.10×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5.5★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1.00×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3.0★ (no boost)</w:t>
            </w:r>
          </w:p>
        </w:tc>
      </w:tr>
    </w:tbl>
    <w:p>
      <w:r>
        <w:t xml:space="preserve"/>
      </w:r>
    </w:p>
    <w:p>
      <w:r>
        <w:t xml:space="preserve">The model says AVGO has the same 4★ raw institutional signal as NVDA, but historical patterns predict AVGO will outperform — so AVGO gets boosted to 5.2★ while NVDA stays at 4.0★.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8: What's Next</w:t>
      </w:r>
    </w:p>
    <w:p>
      <w:pPr>
        <w:pStyle w:val="Heading2"/>
      </w:pPr>
      <w:r>
        <w:rPr>
          <w:b/>
          <w:bCs/>
        </w:rPr>
        <w:t xml:space="preserve">8.1 The conviction_velocity hypothesis (pending validation)</w:t>
      </w:r>
    </w:p>
    <w:p>
      <w:r>
        <w:t xml:space="preserve">conviction_velocity = avg_conviction[t] - avg_conviction[t-1 quarter]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Velocity Value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Predictiveness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 &gt; +0.5/quarter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 aggressively adding — high conviction building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Most bullish signal in 13F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 =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 holding steady — no new information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Neutral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 &lt; -0.5/quarter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 reducing conviction — considering exit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Bearish signal for long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 = -100 (exit)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 completely exited position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Should trigger SELL review</w:t>
            </w:r>
          </w:p>
        </w:tc>
      </w:tr>
    </w:tbl>
    <w:p>
      <w:r>
        <w:t xml:space="preserve"/>
      </w:r>
    </w:p>
    <w:p>
      <w:r>
        <w:t xml:space="preserve">The Sunday 1:00 UTC overnight retrain will be the first production training run with conviction_velocity included. Expected: the feature should push conviction-related SHAP weight from ~2% to ~5%+ as the model learns to prefer rising-conviction stocks.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Experiments running now (ideas 43-56)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60"/>
        <w:gridCol w:w="560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Idea #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5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Hypothesis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conviction_decile_model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Separate models for high/mid/low conviction segments — different dynamics at each 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rank_percentile_target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Cross-sectional rank within each snapshot date — removes absolute-level bias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risk_adj_optuna_drop_market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Triple combo: Sharpe target + no market features + Optuna 200 trials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feature_orthogonalization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Regress QQQ/XLU out of ALL features — isolate stock-specific component mathematically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random_forest_ensemble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RF distributes weight differently than LGB — may reduce QQQ/XLU dominance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institutional_only_sharpe_target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Sharpe target + PCA orthogonalization + drop market features — maximum isolation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precomputed_risk_adj_target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 risk_adjusted_20d DB column directly — validated fix for fallback issues in 37-39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market_neutral_quantile_sharpe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Cross-sectional Sharpe rank per date — both market-neutral AND percentile-ranked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beta_neutral_50tickers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Per-stock beta regression vs SPY (fixed from OOM-killed idea 41, now 50-ticker cap)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8.3 Path to 0.60 ST AUC</w:t>
      </w:r>
    </w:p>
    <w:p>
      <w:r>
        <w:t xml:space="preserve">Current best ST: 0.5804. Target: 0.60. Delta needed: +0.020 AUC.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Impact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conviction_velocity in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+0.005-0.015 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Sunday overnight retrain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 orthogonalization (idea 46)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+0.010-0.020 AUC (if it works)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Market-neutral target + orthogonalization (idea 48)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+0.015-0.025 AUC (best hope)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cap tier segmentation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+0.005-0.010 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Planned 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EDGAR fundamental features (idea 49)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+0.003-0.008 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Multi-horizon blend (deployed)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Already +0.032 vs baseline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in production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color w:val="888888"/>
          <w:sz w:val="18"/>
          <w:szCs w:val="18"/>
        </w:rPr>
        <w:t xml:space="preserve">Generated May 30, 2026  |  Claude Sonnet 4.6  |  Apex Capital Intelligence</w:t>
      </w:r>
    </w:p>
    <w:p>
      <w:pPr>
        <w:jc w:val="center"/>
      </w:pPr>
      <w:r>
        <w:rPr>
          <w:color w:val="888888"/>
          <w:sz w:val="18"/>
          <w:szCs w:val="18"/>
        </w:rPr>
        <w:t xml:space="preserve">All AUC figures are walk-forward out-of-sample estimates on production data (2013-2026)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</w:rPr>
      <w:t xml:space="preserve">Apex Capital ML Analysis  |  May 30, 2026  |  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2026-05-30T16:06:55.861Z</dcterms:created>
  <dcterms:modified xsi:type="dcterms:W3CDTF">2026-05-30T16:06:55.865Z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