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i w:val="0"/>
          <w:color w:val="17365D"/>
          <w:sz w:val="48"/>
        </w:rPr>
        <w:t>MONGODB BACKUP &amp; RECOVERY RUNBOOK</w:t>
      </w:r>
    </w:p>
    <w:p>
      <w:pPr>
        <w:spacing w:after="280"/>
      </w:pPr>
      <w:r>
        <w:rPr>
          <w:rFonts w:ascii="Calibri" w:hAnsi="Calibri"/>
          <w:b w:val="0"/>
          <w:i w:val="0"/>
          <w:color w:val="5B6573"/>
          <w:sz w:val="26"/>
        </w:rPr>
        <w:t>Vantage production database to Google Cloud Storage</w:t>
      </w:r>
    </w:p>
    <w:p>
      <w:pPr>
        <w:spacing w:after="40"/>
      </w:pPr>
      <w:r>
        <w:rPr>
          <w:rFonts w:ascii="Calibri" w:hAnsi="Calibri"/>
          <w:b/>
          <w:i w:val="0"/>
          <w:color w:val="17365D"/>
          <w:sz w:val="22"/>
        </w:rPr>
        <w:t xml:space="preserve">Version: </w:t>
      </w:r>
      <w:r>
        <w:rPr>
          <w:rFonts w:ascii="Calibri" w:hAnsi="Calibri"/>
          <w:b w:val="0"/>
          <w:i w:val="0"/>
          <w:color w:val="000000"/>
          <w:sz w:val="22"/>
        </w:rPr>
        <w:t>1.0</w:t>
      </w:r>
    </w:p>
    <w:p>
      <w:pPr>
        <w:spacing w:after="40"/>
      </w:pPr>
      <w:r>
        <w:rPr>
          <w:rFonts w:ascii="Calibri" w:hAnsi="Calibri"/>
          <w:b/>
          <w:i w:val="0"/>
          <w:color w:val="17365D"/>
          <w:sz w:val="22"/>
        </w:rPr>
        <w:t xml:space="preserve">Issued: </w:t>
      </w:r>
      <w:r>
        <w:rPr>
          <w:rFonts w:ascii="Calibri" w:hAnsi="Calibri"/>
          <w:b w:val="0"/>
          <w:i w:val="0"/>
          <w:color w:val="000000"/>
          <w:sz w:val="22"/>
        </w:rPr>
        <w:t>August 3, 2026</w:t>
      </w:r>
    </w:p>
    <w:p>
      <w:pPr>
        <w:spacing w:after="40"/>
      </w:pPr>
      <w:r>
        <w:rPr>
          <w:rFonts w:ascii="Calibri" w:hAnsi="Calibri"/>
          <w:b/>
          <w:i w:val="0"/>
          <w:color w:val="17365D"/>
          <w:sz w:val="22"/>
        </w:rPr>
        <w:t xml:space="preserve">Scope: </w:t>
      </w:r>
      <w:r>
        <w:rPr>
          <w:rFonts w:ascii="Calibri" w:hAnsi="Calibri"/>
          <w:b w:val="0"/>
          <w:i w:val="0"/>
          <w:color w:val="000000"/>
          <w:sz w:val="22"/>
        </w:rPr>
        <w:t>MongoDB database: vantagemovers</w:t>
      </w:r>
    </w:p>
    <w:p>
      <w:pPr>
        <w:spacing w:after="40"/>
      </w:pPr>
      <w:r>
        <w:rPr>
          <w:rFonts w:ascii="Calibri" w:hAnsi="Calibri"/>
          <w:b/>
          <w:i w:val="0"/>
          <w:color w:val="17365D"/>
          <w:sz w:val="22"/>
        </w:rPr>
        <w:t xml:space="preserve">Storage candidate: </w:t>
      </w:r>
      <w:r>
        <w:rPr>
          <w:rFonts w:ascii="Calibri" w:hAnsi="Calibri"/>
          <w:b w:val="0"/>
          <w:i w:val="0"/>
          <w:color w:val="000000"/>
          <w:sz w:val="22"/>
        </w:rPr>
        <w:t>gs://vantage-sheets-496816/</w:t>
      </w:r>
    </w:p>
    <w:p>
      <w:pPr>
        <w:spacing w:after="40"/>
      </w:pPr>
      <w:r>
        <w:rPr>
          <w:rFonts w:ascii="Calibri" w:hAnsi="Calibri"/>
          <w:b/>
          <w:i w:val="0"/>
          <w:color w:val="17365D"/>
          <w:sz w:val="22"/>
        </w:rPr>
        <w:t xml:space="preserve">Status: </w:t>
      </w:r>
      <w:r>
        <w:rPr>
          <w:rFonts w:ascii="Calibri" w:hAnsi="Calibri"/>
          <w:b w:val="0"/>
          <w:i w:val="0"/>
          <w:color w:val="000000"/>
          <w:sz w:val="22"/>
        </w:rPr>
        <w:t>Ready for security decision and first backup run</w:t>
      </w:r>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E8EEF5"/>
          </w:tcPr>
          <w:p>
            <w:pPr>
              <w:spacing w:after="0"/>
            </w:pPr>
            <w:r>
              <w:rPr>
                <w:rFonts w:ascii="Calibri" w:hAnsi="Calibri"/>
                <w:b/>
                <w:i w:val="0"/>
                <w:color w:val="17365D"/>
                <w:sz w:val="22"/>
              </w:rPr>
              <w:t xml:space="preserve">Decision: </w:t>
            </w:r>
            <w:r>
              <w:rPr>
                <w:rFonts w:ascii="Calibri" w:hAnsi="Calibri"/>
                <w:b w:val="0"/>
                <w:i w:val="0"/>
                <w:color w:val="000000"/>
                <w:sz w:val="22"/>
              </w:rPr>
              <w:t>Use independent, timestamped full dumps. Do not merge them. Keep daily and monthly restore points, and let Cloud Storage lifecycle rules remove expired files.</w:t>
            </w:r>
          </w:p>
        </w:tc>
      </w:tr>
    </w:tbl>
    <w:p>
      <w:pPr>
        <w:spacing w:after="0"/>
      </w:pPr>
    </w:p>
    <w:p>
      <w:pPr>
        <w:pStyle w:val="Heading1"/>
      </w:pPr>
      <w:r>
        <w:t>1. Verified baseline</w:t>
      </w:r>
    </w:p>
    <w:p>
      <w:r>
        <w:t>Read-only checks were completed from the Vantage workspace on August 3, 2026. Credentials were used from the existing environment and were not printed into this document.</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vAlign w:val="center"/>
            <w:tcMar>
              <w:top w:w="100" w:type="dxa"/>
              <w:start w:w="120" w:type="dxa"/>
              <w:bottom w:w="100" w:type="dxa"/>
              <w:end w:w="120" w:type="dxa"/>
            </w:tcMar>
            <w:shd w:fill="E8EEF5"/>
          </w:tcPr>
          <w:p>
            <w:r>
              <w:rPr>
                <w:rFonts w:ascii="Calibri" w:hAnsi="Calibri"/>
                <w:b/>
                <w:i w:val="0"/>
                <w:color w:val="17365D"/>
                <w:sz w:val="22"/>
              </w:rPr>
              <w:t>Item</w:t>
            </w:r>
          </w:p>
        </w:tc>
        <w:tc>
          <w:tcPr>
            <w:tcW w:type="dxa" w:w="6660"/>
            <w:vAlign w:val="center"/>
            <w:tcMar>
              <w:top w:w="100" w:type="dxa"/>
              <w:start w:w="120" w:type="dxa"/>
              <w:bottom w:w="100" w:type="dxa"/>
              <w:end w:w="120" w:type="dxa"/>
            </w:tcMar>
            <w:shd w:fill="E8EEF5"/>
          </w:tcPr>
          <w:p>
            <w:r>
              <w:rPr>
                <w:rFonts w:ascii="Calibri" w:hAnsi="Calibri"/>
                <w:b/>
                <w:i w:val="0"/>
                <w:color w:val="17365D"/>
                <w:sz w:val="22"/>
              </w:rPr>
              <w:t>Verified value</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Active gcloud project</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vantage-sheets-496816</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Active identity</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new-vantage-sheets service account</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Bucket access</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Confirmed: list and object metadata reads succeeded</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Bucket location / class</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US multi-region / STANDARD</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Bucket access mode</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Uniform bucket-level access enabled</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Deletion protection</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Soft delete enabled for 7 days</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Object Versioning</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Not enabled</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Lifecycle policy</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Not configured</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Mongo target</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vantagemovers (TEST_MODE=false)</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Database contents</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52 collections; 124,143 documents</w:t>
            </w:r>
          </w:p>
        </w:tc>
      </w:tr>
    </w:tbl>
    <w:p>
      <w:pPr>
        <w:spacing w:after="0"/>
      </w:pPr>
    </w:p>
    <w:p>
      <w:pPr>
        <w:pStyle w:val="Heading1"/>
      </w:pPr>
      <w:r>
        <w:t>2. How large will each backup be?</w:t>
      </w:r>
    </w:p>
    <w:p>
      <w:r>
        <w:t>The live database currently reports 84.8 MiB of logical document data, 19.5 MiB of allocated collection storage, and 33.0 MiB of index storage. mongodump writes BSON documents plus collection and index definitions; it does not copy WiredTiger's physical index pages. With --gzip, the first archive should normally be measured in tens of MiB, but data composition determines the exact result.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FF4CE"/>
          </w:tcPr>
          <w:p>
            <w:pPr>
              <w:spacing w:after="0"/>
            </w:pPr>
            <w:r>
              <w:rPr>
                <w:rFonts w:ascii="Calibri" w:hAnsi="Calibri"/>
                <w:b/>
                <w:i w:val="0"/>
                <w:color w:val="7A5A00"/>
                <w:sz w:val="22"/>
              </w:rPr>
              <w:t xml:space="preserve">Planning range: </w:t>
            </w:r>
            <w:r>
              <w:rPr>
                <w:rFonts w:ascii="Calibri" w:hAnsi="Calibri"/>
                <w:b w:val="0"/>
                <w:i w:val="0"/>
                <w:color w:val="000000"/>
                <w:sz w:val="22"/>
              </w:rPr>
              <w:t>Budget approximately 20-70 MiB per compressed full dump until the first run supplies an exact number. At today's database size, 30 daily dumps would likely consume roughly 0.6-2.1 GiB before monthly copies and soft-deleted objects.</w:t>
            </w:r>
          </w:p>
        </w:tc>
      </w:tr>
    </w:tbl>
    <w:p>
      <w:pPr>
        <w:spacing w:after="0"/>
      </w:pPr>
    </w:p>
    <w:p>
      <w:r>
        <w:t>The archive size will grow with document data, not with the database server's full disk footprint. Record size_bytes in object metadata after every run and alert on sudden changes.</w:t>
      </w:r>
    </w:p>
    <w:p>
      <w:pPr>
        <w:pStyle w:val="Heading1"/>
      </w:pPr>
      <w:r>
        <w:t>3. Security gate before the first upload</w:t>
      </w:r>
    </w:p>
    <w:p>
      <w:r>
        <w:t>The candidate bucket is not public. However, its current legacy IAM policy grants object-read access to project viewers. A production MongoDB archive may contain customer names, phone numbers, addresses, operational records, and authentication-related data.</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CE8E6"/>
          </w:tcPr>
          <w:p>
            <w:pPr>
              <w:spacing w:after="0"/>
            </w:pPr>
            <w:r>
              <w:rPr>
                <w:rFonts w:ascii="Calibri" w:hAnsi="Calibri"/>
                <w:b/>
                <w:i w:val="0"/>
                <w:color w:val="9B1C1C"/>
                <w:sz w:val="22"/>
              </w:rPr>
              <w:t xml:space="preserve">Required before upload: </w:t>
            </w:r>
            <w:r>
              <w:rPr>
                <w:rFonts w:ascii="Calibri" w:hAnsi="Calibri"/>
                <w:b w:val="0"/>
                <w:i w:val="0"/>
                <w:color w:val="000000"/>
                <w:sz w:val="22"/>
              </w:rPr>
              <w:t>Choose either a dedicated backup bucket with restricted IAM (recommended), or explicitly accept/tighten the existing bucket's project-viewer access. Enforce Public Access Prevention and retain uniform bucket-level access.</w:t>
            </w:r>
          </w:p>
        </w:tc>
      </w:tr>
    </w:tbl>
    <w:p>
      <w:pPr>
        <w:spacing w:after="0"/>
      </w:pPr>
    </w:p>
    <w:p>
      <w:pPr>
        <w:pStyle w:val="ListBullet"/>
      </w:pPr>
      <w:r>
        <w:t>Recommended service account permissions: Storage Object Creator plus Storage Object Viewer on the backup bucket; avoid Object Admin unless deletion is part of the job.</w:t>
      </w:r>
    </w:p>
    <w:p>
      <w:pPr>
        <w:pStyle w:val="ListBullet"/>
      </w:pPr>
      <w:r>
        <w:t>Store the MongoDB URI in Secret Manager for automation. Do not place it in source control, scheduler arguments, logs, or object metadata.</w:t>
      </w:r>
    </w:p>
    <w:p>
      <w:pPr>
        <w:pStyle w:val="ListBullet"/>
      </w:pPr>
      <w:r>
        <w:t>Use Google-managed encryption initially, or a customer-managed key if compliance requires independent key control.</w:t>
      </w:r>
    </w:p>
    <w:p>
      <w:pPr>
        <w:pStyle w:val="ListBullet"/>
      </w:pPr>
      <w:r>
        <w:t>Never upload an uncompressed directory or plaintext export as the canonical backup.</w:t>
      </w:r>
    </w:p>
    <w:p>
      <w:pPr>
        <w:pStyle w:val="Heading1"/>
      </w:pPr>
      <w:r>
        <w:t>4. Object naming and backup versioning</w:t>
      </w:r>
    </w:p>
    <w:p>
      <w:r>
        <w:t>Cloud Storage has no real folders. The following prefix makes each archive independently identifiable and prevents a new run from replacing an older restore point.</w:t>
      </w:r>
    </w:p>
    <w:p>
      <w:pPr>
        <w:pStyle w:val="CodeBlock"/>
        <w:keepLines/>
      </w:pPr>
      <w:r>
        <w:rPr>
          <w:rFonts w:ascii="Consolas" w:hAnsi="Consolas"/>
          <w:b w:val="0"/>
          <w:i w:val="0"/>
          <w:color w:val="000000"/>
          <w:sz w:val="17"/>
        </w:rPr>
        <w:t>gs://vantage-sheets-496816/backups/mongodb/vantagemovers/</w:t>
      </w:r>
      <w:r>
        <w:br/>
      </w:r>
      <w:r>
        <w:rPr>
          <w:rFonts w:ascii="Consolas" w:hAnsi="Consolas"/>
          <w:b w:val="0"/>
          <w:i w:val="0"/>
          <w:color w:val="000000"/>
          <w:sz w:val="17"/>
        </w:rPr>
        <w:t xml:space="preserve">  daily/schema-v1/YYYY/MM/DD/</w:t>
      </w:r>
      <w:r>
        <w:br/>
      </w:r>
      <w:r>
        <w:rPr>
          <w:rFonts w:ascii="Consolas" w:hAnsi="Consolas"/>
          <w:b w:val="0"/>
          <w:i w:val="0"/>
          <w:color w:val="000000"/>
          <w:sz w:val="17"/>
        </w:rPr>
        <w:t xml:space="preserve">    vantagemovers-YYYYMMDDTHHMMSSZ-tools-100.17.0.archive.gz</w:t>
      </w:r>
      <w:r>
        <w:br/>
      </w:r>
      <w:r>
        <w:rPr>
          <w:rFonts w:ascii="Consolas" w:hAnsi="Consolas"/>
          <w:b w:val="0"/>
          <w:i w:val="0"/>
          <w:color w:val="000000"/>
          <w:sz w:val="17"/>
        </w:rPr>
        <w:t xml:space="preserve">  monthly/schema-v1/YYYY/MM/</w:t>
      </w:r>
      <w:r>
        <w:br/>
      </w:r>
      <w:r>
        <w:rPr>
          <w:rFonts w:ascii="Consolas" w:hAnsi="Consolas"/>
          <w:b w:val="0"/>
          <w:i w:val="0"/>
          <w:color w:val="000000"/>
          <w:sz w:val="17"/>
        </w:rPr>
        <w:t xml:space="preserve">    vantagemovers-YYYYMMDDTHHMMSSZ-tools-100.17.0.archive.gz</w:t>
      </w:r>
    </w:p>
    <w:p>
      <w:r>
        <w:t>There are three useful versions: schema-v1 identifies the backup convention, the UTC timestamp identifies the restore point, and GCS assigns an immutable generation number to the uploaded object. Use --if-generation-match=0 so an accidental name collision fails instead of overwriting data.</w:t>
      </w:r>
    </w:p>
    <w:p>
      <w:r>
        <w:t>Object Versioning is optional here because every run already uses a unique object name and seven-day soft delete protects deleted or overwritten objects. Enable Object Versioning only if the workflow will intentionally reuse object names; if enabled, add a lifecycle rule for noncurrent generations to control cost.</w:t>
      </w:r>
    </w:p>
    <w:p>
      <w:pPr>
        <w:pStyle w:val="Heading1"/>
      </w:pPr>
      <w:r>
        <w:t>5. Required object metadata</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vAlign w:val="center"/>
            <w:tcMar>
              <w:top w:w="100" w:type="dxa"/>
              <w:start w:w="120" w:type="dxa"/>
              <w:bottom w:w="100" w:type="dxa"/>
              <w:end w:w="120" w:type="dxa"/>
            </w:tcMar>
            <w:shd w:fill="E8EEF5"/>
          </w:tcPr>
          <w:p>
            <w:r>
              <w:rPr>
                <w:rFonts w:ascii="Calibri" w:hAnsi="Calibri"/>
                <w:b/>
                <w:i w:val="0"/>
                <w:color w:val="17365D"/>
                <w:sz w:val="22"/>
              </w:rPr>
              <w:t>Item</w:t>
            </w:r>
          </w:p>
        </w:tc>
        <w:tc>
          <w:tcPr>
            <w:tcW w:type="dxa" w:w="6660"/>
            <w:vAlign w:val="center"/>
            <w:tcMar>
              <w:top w:w="100" w:type="dxa"/>
              <w:start w:w="120" w:type="dxa"/>
              <w:bottom w:w="100" w:type="dxa"/>
              <w:end w:w="120" w:type="dxa"/>
            </w:tcMar>
            <w:shd w:fill="E8EEF5"/>
          </w:tcPr>
          <w:p>
            <w:r>
              <w:rPr>
                <w:rFonts w:ascii="Calibri" w:hAnsi="Calibri"/>
                <w:b/>
                <w:i w:val="0"/>
                <w:color w:val="17365D"/>
                <w:sz w:val="22"/>
              </w:rPr>
              <w:t>Verified value</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source</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mongodb</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kind</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logical-full-backup</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database</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vantagemovers</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format</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mongodump-archive-gzip</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backup_schema_version</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1</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mongo_tools_version</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100.17.0</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created_at</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UTC ISO-8601 timestamp</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retention_class</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daily or monthly</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sha256</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Lowercase SHA-256 of the local archive</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size_bytes</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Local file length before upload</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collection_count</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52 at baseline; capture dynamically</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owner</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vantage</w:t>
            </w:r>
          </w:p>
        </w:tc>
      </w:tr>
    </w:tbl>
    <w:p>
      <w:pPr>
        <w:spacing w:after="0"/>
      </w:pPr>
    </w:p>
    <w:p>
      <w:pPr>
        <w:pStyle w:val="Heading1"/>
      </w:pPr>
      <w:r>
        <w:t>6. First backup run - PowerShell</w:t>
      </w:r>
    </w:p>
    <w:p>
      <w:r>
        <w:t>Install MongoDB Database Tools 100.17.0 from MongoDB's official download center. Keep mongodump and mongorestore on the same tools version. Run the following from vantage-main-server after the security gate is approved.</w:t>
      </w:r>
    </w:p>
    <w:p>
      <w:pPr>
        <w:pStyle w:val="ListNumber"/>
      </w:pPr>
      <w:r>
        <w:t>Load the configured MongoDB URI into the current PowerShell process without printing it.</w:t>
      </w:r>
    </w:p>
    <w:p>
      <w:pPr>
        <w:pStyle w:val="CodeBlock"/>
        <w:keepLines/>
      </w:pPr>
      <w:r>
        <w:rPr>
          <w:rFonts w:ascii="Consolas" w:hAnsi="Consolas"/>
          <w:b w:val="0"/>
          <w:i w:val="0"/>
          <w:color w:val="000000"/>
          <w:sz w:val="17"/>
        </w:rPr>
        <w:t>$mongoLine = Get-Content .env | Where-Object { $_ -match '^MONGO_URI=' } |</w:t>
      </w:r>
      <w:r>
        <w:br/>
      </w:r>
      <w:r>
        <w:rPr>
          <w:rFonts w:ascii="Consolas" w:hAnsi="Consolas"/>
          <w:b w:val="0"/>
          <w:i w:val="0"/>
          <w:color w:val="000000"/>
          <w:sz w:val="17"/>
        </w:rPr>
        <w:t xml:space="preserve">  Select-Object -First 1</w:t>
      </w:r>
      <w:r>
        <w:br/>
      </w:r>
      <w:r>
        <w:rPr>
          <w:rFonts w:ascii="Consolas" w:hAnsi="Consolas"/>
          <w:b w:val="0"/>
          <w:i w:val="0"/>
          <w:color w:val="000000"/>
          <w:sz w:val="17"/>
        </w:rPr>
        <w:t>if (-not $mongoLine) { throw 'MONGO_URI not found in .env' }</w:t>
      </w:r>
      <w:r>
        <w:br/>
      </w:r>
      <w:r>
        <w:rPr>
          <w:rFonts w:ascii="Consolas" w:hAnsi="Consolas"/>
          <w:b w:val="0"/>
          <w:i w:val="0"/>
          <w:color w:val="000000"/>
          <w:sz w:val="17"/>
        </w:rPr>
        <w:t>$env:MONGO_URI = $mongoLine.Substring('MONGO_URI='.Length).Trim().Trim('"').Trim("'")</w:t>
      </w:r>
    </w:p>
    <w:p>
      <w:pPr>
        <w:pStyle w:val="ListNumber"/>
      </w:pPr>
      <w:r>
        <w:t>Create a uniquely named compressed archive in a temporary directory.</w:t>
      </w:r>
    </w:p>
    <w:p>
      <w:pPr>
        <w:pStyle w:val="CodeBlock"/>
        <w:keepLines/>
      </w:pPr>
      <w:r>
        <w:rPr>
          <w:rFonts w:ascii="Consolas" w:hAnsi="Consolas"/>
          <w:b w:val="0"/>
          <w:i w:val="0"/>
          <w:color w:val="000000"/>
          <w:sz w:val="17"/>
        </w:rPr>
        <w:t>$created = (Get-Date).ToUniversalTime()</w:t>
      </w:r>
      <w:r>
        <w:br/>
      </w:r>
      <w:r>
        <w:rPr>
          <w:rFonts w:ascii="Consolas" w:hAnsi="Consolas"/>
          <w:b w:val="0"/>
          <w:i w:val="0"/>
          <w:color w:val="000000"/>
          <w:sz w:val="17"/>
        </w:rPr>
        <w:t>$stamp = $created.ToString('yyyyMMddTHHmmssZ')</w:t>
      </w:r>
      <w:r>
        <w:br/>
      </w:r>
      <w:r>
        <w:rPr>
          <w:rFonts w:ascii="Consolas" w:hAnsi="Consolas"/>
          <w:b w:val="0"/>
          <w:i w:val="0"/>
          <w:color w:val="000000"/>
          <w:sz w:val="17"/>
        </w:rPr>
        <w:t>$dayPath = $created.ToString('yyyy/MM/dd')</w:t>
      </w:r>
      <w:r>
        <w:br/>
      </w:r>
      <w:r>
        <w:rPr>
          <w:rFonts w:ascii="Consolas" w:hAnsi="Consolas"/>
          <w:b w:val="0"/>
          <w:i w:val="0"/>
          <w:color w:val="000000"/>
          <w:sz w:val="17"/>
        </w:rPr>
        <w:t>$backupDir = Join-Path $env:TEMP 'vantage-mongo-backups'</w:t>
      </w:r>
      <w:r>
        <w:br/>
      </w:r>
      <w:r>
        <w:rPr>
          <w:rFonts w:ascii="Consolas" w:hAnsi="Consolas"/>
          <w:b w:val="0"/>
          <w:i w:val="0"/>
          <w:color w:val="000000"/>
          <w:sz w:val="17"/>
        </w:rPr>
        <w:t>New-Item -ItemType Directory -Force -Path $backupDir | Out-Null</w:t>
      </w:r>
      <w:r>
        <w:br/>
      </w:r>
      <w:r>
        <w:rPr>
          <w:rFonts w:ascii="Consolas" w:hAnsi="Consolas"/>
          <w:b w:val="0"/>
          <w:i w:val="0"/>
          <w:color w:val="000000"/>
          <w:sz w:val="17"/>
        </w:rPr>
        <w:t>$backupFile = Join-Path $backupDir `</w:t>
      </w:r>
      <w:r>
        <w:br/>
      </w:r>
      <w:r>
        <w:rPr>
          <w:rFonts w:ascii="Consolas" w:hAnsi="Consolas"/>
          <w:b w:val="0"/>
          <w:i w:val="0"/>
          <w:color w:val="000000"/>
          <w:sz w:val="17"/>
        </w:rPr>
        <w:t xml:space="preserve">  "vantagemovers-$stamp-tools-100.17.0.archive.gz"</w:t>
      </w:r>
      <w:r>
        <w:br/>
      </w:r>
      <w:r>
        <w:rPr>
          <w:rFonts w:ascii="Consolas" w:hAnsi="Consolas"/>
          <w:b w:val="0"/>
          <w:i w:val="0"/>
          <w:color w:val="000000"/>
          <w:sz w:val="17"/>
        </w:rPr>
      </w:r>
      <w:r>
        <w:br/>
      </w:r>
      <w:r>
        <w:rPr>
          <w:rFonts w:ascii="Consolas" w:hAnsi="Consolas"/>
          <w:b w:val="0"/>
          <w:i w:val="0"/>
          <w:color w:val="000000"/>
          <w:sz w:val="17"/>
        </w:rPr>
        <w:t>mongodump --uri="$env:MONGO_URI" --db='vantagemovers' `</w:t>
      </w:r>
      <w:r>
        <w:br/>
      </w:r>
      <w:r>
        <w:rPr>
          <w:rFonts w:ascii="Consolas" w:hAnsi="Consolas"/>
          <w:b w:val="0"/>
          <w:i w:val="0"/>
          <w:color w:val="000000"/>
          <w:sz w:val="17"/>
        </w:rPr>
        <w:t xml:space="preserve">  --archive="$backupFile" --gzip</w:t>
      </w:r>
      <w:r>
        <w:br/>
      </w:r>
      <w:r>
        <w:rPr>
          <w:rFonts w:ascii="Consolas" w:hAnsi="Consolas"/>
          <w:b w:val="0"/>
          <w:i w:val="0"/>
          <w:color w:val="000000"/>
          <w:sz w:val="17"/>
        </w:rPr>
        <w:t>if ($LASTEXITCODE -ne 0) { throw "mongodump failed: $LASTEXITCODE" }</w:t>
      </w:r>
    </w:p>
    <w:p>
      <w:pPr>
        <w:pStyle w:val="ListNumber"/>
      </w:pPr>
      <w:r>
        <w:t>Calculate integrity metadata and upload with overwrite protection.</w:t>
      </w:r>
    </w:p>
    <w:p>
      <w:pPr>
        <w:pStyle w:val="CodeBlock"/>
        <w:keepLines/>
      </w:pPr>
      <w:r>
        <w:rPr>
          <w:rFonts w:ascii="Consolas" w:hAnsi="Consolas"/>
          <w:b w:val="0"/>
          <w:i w:val="0"/>
          <w:color w:val="000000"/>
          <w:sz w:val="17"/>
        </w:rPr>
        <w:t>$sha256 = (Get-FileHash $backupFile -Algorithm SHA256).Hash.ToLowerInvariant()</w:t>
      </w:r>
      <w:r>
        <w:br/>
      </w:r>
      <w:r>
        <w:rPr>
          <w:rFonts w:ascii="Consolas" w:hAnsi="Consolas"/>
          <w:b w:val="0"/>
          <w:i w:val="0"/>
          <w:color w:val="000000"/>
          <w:sz w:val="17"/>
        </w:rPr>
        <w:t>$sizeBytes = (Get-Item -LiteralPath $backupFile).Length</w:t>
      </w:r>
      <w:r>
        <w:br/>
      </w:r>
      <w:r>
        <w:rPr>
          <w:rFonts w:ascii="Consolas" w:hAnsi="Consolas"/>
          <w:b w:val="0"/>
          <w:i w:val="0"/>
          <w:color w:val="000000"/>
          <w:sz w:val="17"/>
        </w:rPr>
        <w:t>$createdAt = $created.ToString('yyyy-MM-ddTHH:mm:ssZ')</w:t>
      </w:r>
      <w:r>
        <w:br/>
      </w:r>
      <w:r>
        <w:rPr>
          <w:rFonts w:ascii="Consolas" w:hAnsi="Consolas"/>
          <w:b w:val="0"/>
          <w:i w:val="0"/>
          <w:color w:val="000000"/>
          <w:sz w:val="17"/>
        </w:rPr>
        <w:t>$object = "gs://vantage-sheets-496816/backups/mongodb/vantagemovers/" +</w:t>
      </w:r>
      <w:r>
        <w:br/>
      </w:r>
      <w:r>
        <w:rPr>
          <w:rFonts w:ascii="Consolas" w:hAnsi="Consolas"/>
          <w:b w:val="0"/>
          <w:i w:val="0"/>
          <w:color w:val="000000"/>
          <w:sz w:val="17"/>
        </w:rPr>
        <w:t xml:space="preserve">  "daily/schema-v1/$dayPath/$(Split-Path $backupFile -Leaf)"</w:t>
      </w:r>
      <w:r>
        <w:br/>
      </w:r>
      <w:r>
        <w:rPr>
          <w:rFonts w:ascii="Consolas" w:hAnsi="Consolas"/>
          <w:b w:val="0"/>
          <w:i w:val="0"/>
          <w:color w:val="000000"/>
          <w:sz w:val="17"/>
        </w:rPr>
        <w:t>$metadata = @(</w:t>
      </w:r>
      <w:r>
        <w:br/>
      </w:r>
      <w:r>
        <w:rPr>
          <w:rFonts w:ascii="Consolas" w:hAnsi="Consolas"/>
          <w:b w:val="0"/>
          <w:i w:val="0"/>
          <w:color w:val="000000"/>
          <w:sz w:val="17"/>
        </w:rPr>
        <w:t xml:space="preserve">  'source=mongodb'</w:t>
      </w:r>
      <w:r>
        <w:br/>
      </w:r>
      <w:r>
        <w:rPr>
          <w:rFonts w:ascii="Consolas" w:hAnsi="Consolas"/>
          <w:b w:val="0"/>
          <w:i w:val="0"/>
          <w:color w:val="000000"/>
          <w:sz w:val="17"/>
        </w:rPr>
        <w:t xml:space="preserve">  'kind=logical-full-backup'</w:t>
      </w:r>
      <w:r>
        <w:br/>
      </w:r>
      <w:r>
        <w:rPr>
          <w:rFonts w:ascii="Consolas" w:hAnsi="Consolas"/>
          <w:b w:val="0"/>
          <w:i w:val="0"/>
          <w:color w:val="000000"/>
          <w:sz w:val="17"/>
        </w:rPr>
        <w:t xml:space="preserve">  'database=vantagemovers'</w:t>
      </w:r>
      <w:r>
        <w:br/>
      </w:r>
      <w:r>
        <w:rPr>
          <w:rFonts w:ascii="Consolas" w:hAnsi="Consolas"/>
          <w:b w:val="0"/>
          <w:i w:val="0"/>
          <w:color w:val="000000"/>
          <w:sz w:val="17"/>
        </w:rPr>
        <w:t xml:space="preserve">  'format=mongodump-archive-gzip'</w:t>
      </w:r>
      <w:r>
        <w:br/>
      </w:r>
      <w:r>
        <w:rPr>
          <w:rFonts w:ascii="Consolas" w:hAnsi="Consolas"/>
          <w:b w:val="0"/>
          <w:i w:val="0"/>
          <w:color w:val="000000"/>
          <w:sz w:val="17"/>
        </w:rPr>
        <w:t xml:space="preserve">  'backup_schema_version=1'</w:t>
      </w:r>
      <w:r>
        <w:br/>
      </w:r>
      <w:r>
        <w:rPr>
          <w:rFonts w:ascii="Consolas" w:hAnsi="Consolas"/>
          <w:b w:val="0"/>
          <w:i w:val="0"/>
          <w:color w:val="000000"/>
          <w:sz w:val="17"/>
        </w:rPr>
        <w:t xml:space="preserve">  'mongo_tools_version=100.17.0'</w:t>
      </w:r>
      <w:r>
        <w:br/>
      </w:r>
      <w:r>
        <w:rPr>
          <w:rFonts w:ascii="Consolas" w:hAnsi="Consolas"/>
          <w:b w:val="0"/>
          <w:i w:val="0"/>
          <w:color w:val="000000"/>
          <w:sz w:val="17"/>
        </w:rPr>
        <w:t xml:space="preserve">  "created_at=$createdAt"</w:t>
      </w:r>
      <w:r>
        <w:br/>
      </w:r>
      <w:r>
        <w:rPr>
          <w:rFonts w:ascii="Consolas" w:hAnsi="Consolas"/>
          <w:b w:val="0"/>
          <w:i w:val="0"/>
          <w:color w:val="000000"/>
          <w:sz w:val="17"/>
        </w:rPr>
        <w:t xml:space="preserve">  'retention_class=daily'</w:t>
      </w:r>
      <w:r>
        <w:br/>
      </w:r>
      <w:r>
        <w:rPr>
          <w:rFonts w:ascii="Consolas" w:hAnsi="Consolas"/>
          <w:b w:val="0"/>
          <w:i w:val="0"/>
          <w:color w:val="000000"/>
          <w:sz w:val="17"/>
        </w:rPr>
        <w:t xml:space="preserve">  "sha256=$sha256"</w:t>
      </w:r>
      <w:r>
        <w:br/>
      </w:r>
      <w:r>
        <w:rPr>
          <w:rFonts w:ascii="Consolas" w:hAnsi="Consolas"/>
          <w:b w:val="0"/>
          <w:i w:val="0"/>
          <w:color w:val="000000"/>
          <w:sz w:val="17"/>
        </w:rPr>
        <w:t xml:space="preserve">  "size_bytes=$sizeBytes"</w:t>
      </w:r>
      <w:r>
        <w:br/>
      </w:r>
      <w:r>
        <w:rPr>
          <w:rFonts w:ascii="Consolas" w:hAnsi="Consolas"/>
          <w:b w:val="0"/>
          <w:i w:val="0"/>
          <w:color w:val="000000"/>
          <w:sz w:val="17"/>
        </w:rPr>
        <w:t xml:space="preserve">  'collection_count=52'</w:t>
      </w:r>
      <w:r>
        <w:br/>
      </w:r>
      <w:r>
        <w:rPr>
          <w:rFonts w:ascii="Consolas" w:hAnsi="Consolas"/>
          <w:b w:val="0"/>
          <w:i w:val="0"/>
          <w:color w:val="000000"/>
          <w:sz w:val="17"/>
        </w:rPr>
        <w:t xml:space="preserve">  'owner=vantage'</w:t>
      </w:r>
      <w:r>
        <w:br/>
      </w:r>
      <w:r>
        <w:rPr>
          <w:rFonts w:ascii="Consolas" w:hAnsi="Consolas"/>
          <w:b w:val="0"/>
          <w:i w:val="0"/>
          <w:color w:val="000000"/>
          <w:sz w:val="17"/>
        </w:rPr>
        <w:t>) -join ','</w:t>
      </w:r>
      <w:r>
        <w:br/>
      </w:r>
      <w:r>
        <w:rPr>
          <w:rFonts w:ascii="Consolas" w:hAnsi="Consolas"/>
          <w:b w:val="0"/>
          <w:i w:val="0"/>
          <w:color w:val="000000"/>
          <w:sz w:val="17"/>
        </w:rPr>
      </w:r>
      <w:r>
        <w:br/>
      </w:r>
      <w:r>
        <w:rPr>
          <w:rFonts w:ascii="Consolas" w:hAnsi="Consolas"/>
          <w:b w:val="0"/>
          <w:i w:val="0"/>
          <w:color w:val="000000"/>
          <w:sz w:val="17"/>
        </w:rPr>
        <w:t>gcloud storage cp "$backupFile" "$object" --if-generation-match=0 `</w:t>
      </w:r>
      <w:r>
        <w:br/>
      </w:r>
      <w:r>
        <w:rPr>
          <w:rFonts w:ascii="Consolas" w:hAnsi="Consolas"/>
          <w:b w:val="0"/>
          <w:i w:val="0"/>
          <w:color w:val="000000"/>
          <w:sz w:val="17"/>
        </w:rPr>
        <w:t xml:space="preserve">  --content-type='application/gzip' `</w:t>
      </w:r>
      <w:r>
        <w:br/>
      </w:r>
      <w:r>
        <w:rPr>
          <w:rFonts w:ascii="Consolas" w:hAnsi="Consolas"/>
          <w:b w:val="0"/>
          <w:i w:val="0"/>
          <w:color w:val="000000"/>
          <w:sz w:val="17"/>
        </w:rPr>
        <w:t xml:space="preserve">  --custom-metadata="$metadata"</w:t>
      </w:r>
      <w:r>
        <w:br/>
      </w:r>
      <w:r>
        <w:rPr>
          <w:rFonts w:ascii="Consolas" w:hAnsi="Consolas"/>
          <w:b w:val="0"/>
          <w:i w:val="0"/>
          <w:color w:val="000000"/>
          <w:sz w:val="17"/>
        </w:rPr>
        <w:t>if ($LASTEXITCODE -ne 0) { throw "upload failed: $LASTEXITCODE" }</w:t>
      </w:r>
    </w:p>
    <w:p>
      <w:pPr>
        <w:pStyle w:val="ListNumber"/>
      </w:pPr>
      <w:r>
        <w:t>Describe the uploaded object and record its generation, size, hashes, and metadata.</w:t>
      </w:r>
    </w:p>
    <w:p>
      <w:pPr>
        <w:pStyle w:val="CodeBlock"/>
        <w:keepLines/>
      </w:pPr>
      <w:r>
        <w:rPr>
          <w:rFonts w:ascii="Consolas" w:hAnsi="Consolas"/>
          <w:b w:val="0"/>
          <w:i w:val="0"/>
          <w:color w:val="000000"/>
          <w:sz w:val="17"/>
        </w:rPr>
        <w:t>gcloud storage objects describe "$object" --format=json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FF4CE"/>
          </w:tcPr>
          <w:p>
            <w:pPr>
              <w:spacing w:after="0"/>
            </w:pPr>
            <w:r>
              <w:rPr>
                <w:rFonts w:ascii="Calibri" w:hAnsi="Calibri"/>
                <w:b/>
                <w:i w:val="0"/>
                <w:color w:val="7A5A00"/>
                <w:sz w:val="22"/>
              </w:rPr>
              <w:t xml:space="preserve">Secret handling note: </w:t>
            </w:r>
            <w:r>
              <w:rPr>
                <w:rFonts w:ascii="Calibri" w:hAnsi="Calibri"/>
                <w:b w:val="0"/>
                <w:i w:val="0"/>
                <w:color w:val="000000"/>
                <w:sz w:val="22"/>
              </w:rPr>
              <w:t>The local command places the URI in a process environment variable. The scheduled implementation should fetch it from Secret Manager at runtime and must never echo it. Clear the local variable with Remove-Item Env:MONGO_URI when finished.</w:t>
            </w:r>
          </w:p>
        </w:tc>
      </w:tr>
    </w:tbl>
    <w:p>
      <w:pPr>
        <w:spacing w:after="0"/>
      </w:pPr>
    </w:p>
    <w:p>
      <w:pPr>
        <w:pStyle w:val="Heading1"/>
      </w:pPr>
      <w:r>
        <w:t>7. Verification and restore drill</w:t>
      </w:r>
    </w:p>
    <w:p>
      <w:r>
        <w:t>Upload success is not the same as recoverability. Every job must verify object creation; at least quarterly, download a selected archive and restore it into an isolated, disposable MongoDB deployment. Never aim a restore drill at production.</w:t>
      </w:r>
    </w:p>
    <w:p>
      <w:pPr>
        <w:pStyle w:val="ListNumber"/>
      </w:pPr>
      <w:r>
        <w:t>Download the exact object generation selected for the drill.</w:t>
      </w:r>
    </w:p>
    <w:p>
      <w:pPr>
        <w:pStyle w:val="ListNumber"/>
      </w:pPr>
      <w:r>
        <w:t>Recalculate SHA-256 and compare it with custom metadata.</w:t>
      </w:r>
    </w:p>
    <w:p>
      <w:pPr>
        <w:pStyle w:val="ListNumber"/>
      </w:pPr>
      <w:r>
        <w:t>Restore into an isolated database namespace using the same Database Tools version.</w:t>
      </w:r>
    </w:p>
    <w:p>
      <w:pPr>
        <w:pStyle w:val="CodeBlock"/>
        <w:keepLines/>
      </w:pPr>
      <w:r>
        <w:rPr>
          <w:rFonts w:ascii="Consolas" w:hAnsi="Consolas"/>
          <w:b w:val="0"/>
          <w:i w:val="0"/>
          <w:color w:val="000000"/>
          <w:sz w:val="17"/>
        </w:rPr>
        <w:t>mongorestore --uri="$env:RESTORE_MONGO_URI" `</w:t>
      </w:r>
      <w:r>
        <w:br/>
      </w:r>
      <w:r>
        <w:rPr>
          <w:rFonts w:ascii="Consolas" w:hAnsi="Consolas"/>
          <w:b w:val="0"/>
          <w:i w:val="0"/>
          <w:color w:val="000000"/>
          <w:sz w:val="17"/>
        </w:rPr>
        <w:t xml:space="preserve">  --archive="$downloadedBackup" --gzip `</w:t>
      </w:r>
      <w:r>
        <w:br/>
      </w:r>
      <w:r>
        <w:rPr>
          <w:rFonts w:ascii="Consolas" w:hAnsi="Consolas"/>
          <w:b w:val="0"/>
          <w:i w:val="0"/>
          <w:color w:val="000000"/>
          <w:sz w:val="17"/>
        </w:rPr>
        <w:t xml:space="preserve">  --nsFrom='vantagemovers.*' `</w:t>
      </w:r>
      <w:r>
        <w:br/>
      </w:r>
      <w:r>
        <w:rPr>
          <w:rFonts w:ascii="Consolas" w:hAnsi="Consolas"/>
          <w:b w:val="0"/>
          <w:i w:val="0"/>
          <w:color w:val="000000"/>
          <w:sz w:val="17"/>
        </w:rPr>
        <w:t xml:space="preserve">  --nsTo='restore_validation_YYYYMMDD.*'</w:t>
      </w:r>
    </w:p>
    <w:p>
      <w:pPr>
        <w:pStyle w:val="ListNumber"/>
      </w:pPr>
      <w:r>
        <w:t>Compare collection count and critical document counts; perform application-level smoke reads.</w:t>
      </w:r>
    </w:p>
    <w:p>
      <w:pPr>
        <w:pStyle w:val="ListNumber"/>
      </w:pPr>
      <w:r>
        <w:t>Destroy the disposable restore target and retain a short drill report with date, object generation, operator, and result.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CE8E6"/>
          </w:tcPr>
          <w:p>
            <w:pPr>
              <w:spacing w:after="0"/>
            </w:pPr>
            <w:r>
              <w:rPr>
                <w:rFonts w:ascii="Calibri" w:hAnsi="Calibri"/>
                <w:b/>
                <w:i w:val="0"/>
                <w:color w:val="9B1C1C"/>
                <w:sz w:val="22"/>
              </w:rPr>
              <w:t xml:space="preserve">Production warning: </w:t>
            </w:r>
            <w:r>
              <w:rPr>
                <w:rFonts w:ascii="Calibri" w:hAnsi="Calibri"/>
                <w:b w:val="0"/>
                <w:i w:val="0"/>
                <w:color w:val="000000"/>
                <w:sz w:val="22"/>
              </w:rPr>
              <w:t>Do not add --drop to a production restore command. A production recovery must use a separately approved incident procedure and a precisely identified target cluster.</w:t>
            </w:r>
          </w:p>
        </w:tc>
      </w:tr>
    </w:tbl>
    <w:p>
      <w:pPr>
        <w:spacing w:after="0"/>
      </w:pPr>
    </w:p>
    <w:p>
      <w:pPr>
        <w:pStyle w:val="Heading1"/>
      </w:pPr>
      <w:r>
        <w:t>8. Periodic workflow</w:t>
      </w:r>
    </w:p>
    <w:p>
      <w:r>
        <w:t>Recommended production design: Cloud Scheduler triggers a Cloud Run Job at 02:00 America/New_York. The job image pins MongoDB Database Tools 100.17.0, reads the Mongo URI from Secret Manager, writes one compressed archive to ephemeral disk, hashes it, uploads it to Cloud Storage, verifies object metadata, and emits structured success/failure logs.</w:t>
      </w:r>
    </w:p>
    <w:tbl>
      <w:tblPr>
        <w:tblStyle w:val="TableGrid"/>
        <w:tblW w:type="dxa" w:w="9360"/>
        <w:tblLayout w:type="fixed"/>
        <w:tblLook w:firstColumn="1" w:firstRow="1" w:lastColumn="0" w:lastRow="0" w:noHBand="0" w:noVBand="1" w:val="04A0"/>
        <w:jc w:val="left"/>
        <w:tblInd w:w="120" w:type="dxa"/>
      </w:tblPr>
      <w:tblGrid>
        <w:gridCol w:w="1500"/>
        <w:gridCol w:w="2100"/>
        <w:gridCol w:w="1800"/>
        <w:gridCol w:w="3960"/>
      </w:tblGrid>
      <w:tr>
        <w:trPr>
          <w:tblHeader w:val="true"/>
        </w:trPr>
        <w:tc>
          <w:tcPr>
            <w:tcW w:type="dxa" w:w="1500"/>
            <w:vAlign w:val="center"/>
            <w:tcMar>
              <w:top w:w="100" w:type="dxa"/>
              <w:start w:w="120" w:type="dxa"/>
              <w:bottom w:w="100" w:type="dxa"/>
              <w:end w:w="120" w:type="dxa"/>
            </w:tcMar>
            <w:shd w:fill="E8EEF5"/>
          </w:tcPr>
          <w:p>
            <w:r>
              <w:rPr>
                <w:rFonts w:ascii="Calibri" w:hAnsi="Calibri"/>
                <w:b/>
                <w:i w:val="0"/>
                <w:color w:val="17365D"/>
                <w:sz w:val="22"/>
              </w:rPr>
              <w:t>Class</w:t>
            </w:r>
          </w:p>
        </w:tc>
        <w:tc>
          <w:tcPr>
            <w:tcW w:type="dxa" w:w="2100"/>
            <w:vAlign w:val="center"/>
            <w:tcMar>
              <w:top w:w="100" w:type="dxa"/>
              <w:start w:w="120" w:type="dxa"/>
              <w:bottom w:w="100" w:type="dxa"/>
              <w:end w:w="120" w:type="dxa"/>
            </w:tcMar>
            <w:shd w:fill="E8EEF5"/>
          </w:tcPr>
          <w:p>
            <w:r>
              <w:rPr>
                <w:rFonts w:ascii="Calibri" w:hAnsi="Calibri"/>
                <w:b/>
                <w:i w:val="0"/>
                <w:color w:val="17365D"/>
                <w:sz w:val="22"/>
              </w:rPr>
              <w:t>Frequency</w:t>
            </w:r>
          </w:p>
        </w:tc>
        <w:tc>
          <w:tcPr>
            <w:tcW w:type="dxa" w:w="1800"/>
            <w:vAlign w:val="center"/>
            <w:tcMar>
              <w:top w:w="100" w:type="dxa"/>
              <w:start w:w="120" w:type="dxa"/>
              <w:bottom w:w="100" w:type="dxa"/>
              <w:end w:w="120" w:type="dxa"/>
            </w:tcMar>
            <w:shd w:fill="E8EEF5"/>
          </w:tcPr>
          <w:p>
            <w:r>
              <w:rPr>
                <w:rFonts w:ascii="Calibri" w:hAnsi="Calibri"/>
                <w:b/>
                <w:i w:val="0"/>
                <w:color w:val="17365D"/>
                <w:sz w:val="22"/>
              </w:rPr>
              <w:t>Retention</w:t>
            </w:r>
          </w:p>
        </w:tc>
        <w:tc>
          <w:tcPr>
            <w:tcW w:type="dxa" w:w="3960"/>
            <w:vAlign w:val="center"/>
            <w:tcMar>
              <w:top w:w="100" w:type="dxa"/>
              <w:start w:w="120" w:type="dxa"/>
              <w:bottom w:w="100" w:type="dxa"/>
              <w:end w:w="120" w:type="dxa"/>
            </w:tcMar>
            <w:shd w:fill="E8EEF5"/>
          </w:tcPr>
          <w:p>
            <w:r>
              <w:rPr>
                <w:rFonts w:ascii="Calibri" w:hAnsi="Calibri"/>
                <w:b/>
                <w:i w:val="0"/>
                <w:color w:val="17365D"/>
                <w:sz w:val="22"/>
              </w:rPr>
              <w:t>Prefix</w:t>
            </w:r>
          </w:p>
        </w:tc>
      </w:tr>
      <w:tr>
        <w:tc>
          <w:tcPr>
            <w:tcW w:type="dxa" w:w="1500"/>
            <w:vAlign w:val="center"/>
            <w:tcMar>
              <w:top w:w="100" w:type="dxa"/>
              <w:start w:w="120" w:type="dxa"/>
              <w:bottom w:w="100" w:type="dxa"/>
              <w:end w:w="120" w:type="dxa"/>
            </w:tcMar>
          </w:tcPr>
          <w:p>
            <w:pPr>
              <w:spacing w:after="0"/>
            </w:pPr>
            <w:r>
              <w:rPr>
                <w:rFonts w:ascii="Calibri" w:hAnsi="Calibri"/>
                <w:b w:val="0"/>
                <w:i w:val="0"/>
                <w:color w:val="000000"/>
                <w:sz w:val="19"/>
              </w:rPr>
              <w:t>Daily</w:t>
            </w:r>
          </w:p>
        </w:tc>
        <w:tc>
          <w:tcPr>
            <w:tcW w:type="dxa" w:w="2100"/>
            <w:vAlign w:val="center"/>
            <w:tcMar>
              <w:top w:w="100" w:type="dxa"/>
              <w:start w:w="120" w:type="dxa"/>
              <w:bottom w:w="100" w:type="dxa"/>
              <w:end w:w="120" w:type="dxa"/>
            </w:tcMar>
          </w:tcPr>
          <w:p>
            <w:pPr>
              <w:spacing w:after="0"/>
            </w:pPr>
            <w:r>
              <w:rPr>
                <w:rFonts w:ascii="Calibri" w:hAnsi="Calibri"/>
                <w:b w:val="0"/>
                <w:i w:val="0"/>
                <w:color w:val="000000"/>
                <w:sz w:val="19"/>
              </w:rPr>
              <w:t>Every day, 02:00 ET</w:t>
            </w:r>
          </w:p>
        </w:tc>
        <w:tc>
          <w:tcPr>
            <w:tcW w:type="dxa" w:w="1800"/>
            <w:vAlign w:val="center"/>
            <w:tcMar>
              <w:top w:w="100" w:type="dxa"/>
              <w:start w:w="120" w:type="dxa"/>
              <w:bottom w:w="100" w:type="dxa"/>
              <w:end w:w="120" w:type="dxa"/>
            </w:tcMar>
          </w:tcPr>
          <w:p>
            <w:pPr>
              <w:spacing w:after="0"/>
            </w:pPr>
            <w:r>
              <w:rPr>
                <w:rFonts w:ascii="Calibri" w:hAnsi="Calibri"/>
                <w:b w:val="0"/>
                <w:i w:val="0"/>
                <w:color w:val="000000"/>
                <w:sz w:val="19"/>
              </w:rPr>
              <w:t>30 days</w:t>
            </w:r>
          </w:p>
        </w:tc>
        <w:tc>
          <w:tcPr>
            <w:tcW w:type="dxa" w:w="3960"/>
            <w:vAlign w:val="center"/>
            <w:tcMar>
              <w:top w:w="100" w:type="dxa"/>
              <w:start w:w="120" w:type="dxa"/>
              <w:bottom w:w="100" w:type="dxa"/>
              <w:end w:w="120" w:type="dxa"/>
            </w:tcMar>
          </w:tcPr>
          <w:p>
            <w:pPr>
              <w:spacing w:after="0"/>
            </w:pPr>
            <w:r>
              <w:rPr>
                <w:rFonts w:ascii="Calibri" w:hAnsi="Calibri"/>
                <w:b w:val="0"/>
                <w:i w:val="0"/>
                <w:color w:val="000000"/>
                <w:sz w:val="19"/>
              </w:rPr>
              <w:t>.../daily/schema-v1/YYYY/MM/DD/</w:t>
            </w:r>
          </w:p>
        </w:tc>
      </w:tr>
      <w:tr>
        <w:tc>
          <w:tcPr>
            <w:tcW w:type="dxa" w:w="1500"/>
            <w:vAlign w:val="center"/>
            <w:tcMar>
              <w:top w:w="100" w:type="dxa"/>
              <w:start w:w="120" w:type="dxa"/>
              <w:bottom w:w="100" w:type="dxa"/>
              <w:end w:w="120" w:type="dxa"/>
            </w:tcMar>
          </w:tcPr>
          <w:p>
            <w:pPr>
              <w:spacing w:after="0"/>
            </w:pPr>
            <w:r>
              <w:rPr>
                <w:rFonts w:ascii="Calibri" w:hAnsi="Calibri"/>
                <w:b w:val="0"/>
                <w:i w:val="0"/>
                <w:color w:val="000000"/>
                <w:sz w:val="19"/>
              </w:rPr>
              <w:t>Monthly</w:t>
            </w:r>
          </w:p>
        </w:tc>
        <w:tc>
          <w:tcPr>
            <w:tcW w:type="dxa" w:w="2100"/>
            <w:vAlign w:val="center"/>
            <w:tcMar>
              <w:top w:w="100" w:type="dxa"/>
              <w:start w:w="120" w:type="dxa"/>
              <w:bottom w:w="100" w:type="dxa"/>
              <w:end w:w="120" w:type="dxa"/>
            </w:tcMar>
          </w:tcPr>
          <w:p>
            <w:pPr>
              <w:spacing w:after="0"/>
            </w:pPr>
            <w:r>
              <w:rPr>
                <w:rFonts w:ascii="Calibri" w:hAnsi="Calibri"/>
                <w:b w:val="0"/>
                <w:i w:val="0"/>
                <w:color w:val="000000"/>
                <w:sz w:val="19"/>
              </w:rPr>
              <w:t>First day of month</w:t>
            </w:r>
          </w:p>
        </w:tc>
        <w:tc>
          <w:tcPr>
            <w:tcW w:type="dxa" w:w="1800"/>
            <w:vAlign w:val="center"/>
            <w:tcMar>
              <w:top w:w="100" w:type="dxa"/>
              <w:start w:w="120" w:type="dxa"/>
              <w:bottom w:w="100" w:type="dxa"/>
              <w:end w:w="120" w:type="dxa"/>
            </w:tcMar>
          </w:tcPr>
          <w:p>
            <w:pPr>
              <w:spacing w:after="0"/>
            </w:pPr>
            <w:r>
              <w:rPr>
                <w:rFonts w:ascii="Calibri" w:hAnsi="Calibri"/>
                <w:b w:val="0"/>
                <w:i w:val="0"/>
                <w:color w:val="000000"/>
                <w:sz w:val="19"/>
              </w:rPr>
              <w:t>366 days</w:t>
            </w:r>
          </w:p>
        </w:tc>
        <w:tc>
          <w:tcPr>
            <w:tcW w:type="dxa" w:w="3960"/>
            <w:vAlign w:val="center"/>
            <w:tcMar>
              <w:top w:w="100" w:type="dxa"/>
              <w:start w:w="120" w:type="dxa"/>
              <w:bottom w:w="100" w:type="dxa"/>
              <w:end w:w="120" w:type="dxa"/>
            </w:tcMar>
          </w:tcPr>
          <w:p>
            <w:pPr>
              <w:spacing w:after="0"/>
            </w:pPr>
            <w:r>
              <w:rPr>
                <w:rFonts w:ascii="Calibri" w:hAnsi="Calibri"/>
                <w:b w:val="0"/>
                <w:i w:val="0"/>
                <w:color w:val="000000"/>
                <w:sz w:val="19"/>
              </w:rPr>
              <w:t>.../monthly/schema-v1/YYYY/MM/</w:t>
            </w:r>
          </w:p>
        </w:tc>
      </w:tr>
      <w:tr>
        <w:tc>
          <w:tcPr>
            <w:tcW w:type="dxa" w:w="1500"/>
            <w:vAlign w:val="center"/>
            <w:tcMar>
              <w:top w:w="100" w:type="dxa"/>
              <w:start w:w="120" w:type="dxa"/>
              <w:bottom w:w="100" w:type="dxa"/>
              <w:end w:w="120" w:type="dxa"/>
            </w:tcMar>
          </w:tcPr>
          <w:p>
            <w:pPr>
              <w:spacing w:after="0"/>
            </w:pPr>
            <w:r>
              <w:rPr>
                <w:rFonts w:ascii="Calibri" w:hAnsi="Calibri"/>
                <w:b w:val="0"/>
                <w:i w:val="0"/>
                <w:color w:val="000000"/>
                <w:sz w:val="19"/>
              </w:rPr>
              <w:t>Soft delete</w:t>
            </w:r>
          </w:p>
        </w:tc>
        <w:tc>
          <w:tcPr>
            <w:tcW w:type="dxa" w:w="2100"/>
            <w:vAlign w:val="center"/>
            <w:tcMar>
              <w:top w:w="100" w:type="dxa"/>
              <w:start w:w="120" w:type="dxa"/>
              <w:bottom w:w="100" w:type="dxa"/>
              <w:end w:w="120" w:type="dxa"/>
            </w:tcMar>
          </w:tcPr>
          <w:p>
            <w:pPr>
              <w:spacing w:after="0"/>
            </w:pPr>
            <w:r>
              <w:rPr>
                <w:rFonts w:ascii="Calibri" w:hAnsi="Calibri"/>
                <w:b w:val="0"/>
                <w:i w:val="0"/>
                <w:color w:val="000000"/>
                <w:sz w:val="19"/>
              </w:rPr>
              <w:t>On deletion/overwrite</w:t>
            </w:r>
          </w:p>
        </w:tc>
        <w:tc>
          <w:tcPr>
            <w:tcW w:type="dxa" w:w="1800"/>
            <w:vAlign w:val="center"/>
            <w:tcMar>
              <w:top w:w="100" w:type="dxa"/>
              <w:start w:w="120" w:type="dxa"/>
              <w:bottom w:w="100" w:type="dxa"/>
              <w:end w:w="120" w:type="dxa"/>
            </w:tcMar>
          </w:tcPr>
          <w:p>
            <w:pPr>
              <w:spacing w:after="0"/>
            </w:pPr>
            <w:r>
              <w:rPr>
                <w:rFonts w:ascii="Calibri" w:hAnsi="Calibri"/>
                <w:b w:val="0"/>
                <w:i w:val="0"/>
                <w:color w:val="000000"/>
                <w:sz w:val="19"/>
              </w:rPr>
              <w:t>Current: 7 days</w:t>
            </w:r>
          </w:p>
        </w:tc>
        <w:tc>
          <w:tcPr>
            <w:tcW w:type="dxa" w:w="3960"/>
            <w:vAlign w:val="center"/>
            <w:tcMar>
              <w:top w:w="100" w:type="dxa"/>
              <w:start w:w="120" w:type="dxa"/>
              <w:bottom w:w="100" w:type="dxa"/>
              <w:end w:w="120" w:type="dxa"/>
            </w:tcMar>
          </w:tcPr>
          <w:p>
            <w:pPr>
              <w:spacing w:after="0"/>
            </w:pPr>
            <w:r>
              <w:rPr>
                <w:rFonts w:ascii="Calibri" w:hAnsi="Calibri"/>
                <w:b w:val="0"/>
                <w:i w:val="0"/>
                <w:color w:val="000000"/>
                <w:sz w:val="19"/>
              </w:rPr>
              <w:t>Bucket-level protection</w:t>
            </w:r>
          </w:p>
        </w:tc>
      </w:tr>
      <w:tr>
        <w:tc>
          <w:tcPr>
            <w:tcW w:type="dxa" w:w="1500"/>
            <w:vAlign w:val="center"/>
            <w:tcMar>
              <w:top w:w="100" w:type="dxa"/>
              <w:start w:w="120" w:type="dxa"/>
              <w:bottom w:w="100" w:type="dxa"/>
              <w:end w:w="120" w:type="dxa"/>
            </w:tcMar>
          </w:tcPr>
          <w:p>
            <w:pPr>
              <w:spacing w:after="0"/>
            </w:pPr>
            <w:r>
              <w:rPr>
                <w:rFonts w:ascii="Calibri" w:hAnsi="Calibri"/>
                <w:b w:val="0"/>
                <w:i w:val="0"/>
                <w:color w:val="000000"/>
                <w:sz w:val="19"/>
              </w:rPr>
              <w:t>Restore drill</w:t>
            </w:r>
          </w:p>
        </w:tc>
        <w:tc>
          <w:tcPr>
            <w:tcW w:type="dxa" w:w="2100"/>
            <w:vAlign w:val="center"/>
            <w:tcMar>
              <w:top w:w="100" w:type="dxa"/>
              <w:start w:w="120" w:type="dxa"/>
              <w:bottom w:w="100" w:type="dxa"/>
              <w:end w:w="120" w:type="dxa"/>
            </w:tcMar>
          </w:tcPr>
          <w:p>
            <w:pPr>
              <w:spacing w:after="0"/>
            </w:pPr>
            <w:r>
              <w:rPr>
                <w:rFonts w:ascii="Calibri" w:hAnsi="Calibri"/>
                <w:b w:val="0"/>
                <w:i w:val="0"/>
                <w:color w:val="000000"/>
                <w:sz w:val="19"/>
              </w:rPr>
              <w:t>Quarterly</w:t>
            </w:r>
          </w:p>
        </w:tc>
        <w:tc>
          <w:tcPr>
            <w:tcW w:type="dxa" w:w="1800"/>
            <w:vAlign w:val="center"/>
            <w:tcMar>
              <w:top w:w="100" w:type="dxa"/>
              <w:start w:w="120" w:type="dxa"/>
              <w:bottom w:w="100" w:type="dxa"/>
              <w:end w:w="120" w:type="dxa"/>
            </w:tcMar>
          </w:tcPr>
          <w:p>
            <w:pPr>
              <w:spacing w:after="0"/>
            </w:pPr>
            <w:r>
              <w:rPr>
                <w:rFonts w:ascii="Calibri" w:hAnsi="Calibri"/>
                <w:b w:val="0"/>
                <w:i w:val="0"/>
                <w:color w:val="000000"/>
                <w:sz w:val="19"/>
              </w:rPr>
              <w:t>Keep latest report</w:t>
            </w:r>
          </w:p>
        </w:tc>
        <w:tc>
          <w:tcPr>
            <w:tcW w:type="dxa" w:w="3960"/>
            <w:vAlign w:val="center"/>
            <w:tcMar>
              <w:top w:w="100" w:type="dxa"/>
              <w:start w:w="120" w:type="dxa"/>
              <w:bottom w:w="100" w:type="dxa"/>
              <w:end w:w="120" w:type="dxa"/>
            </w:tcMar>
          </w:tcPr>
          <w:p>
            <w:pPr>
              <w:spacing w:after="0"/>
            </w:pPr>
            <w:r>
              <w:rPr>
                <w:rFonts w:ascii="Calibri" w:hAnsi="Calibri"/>
                <w:b w:val="0"/>
                <w:i w:val="0"/>
                <w:color w:val="000000"/>
                <w:sz w:val="19"/>
              </w:rPr>
              <w:t>Operational evidence, not backup data</w:t>
            </w:r>
          </w:p>
        </w:tc>
      </w:tr>
    </w:tbl>
    <w:p>
      <w:pPr>
        <w:spacing w:after="0"/>
      </w:pPr>
    </w:p>
    <w:p>
      <w:r>
        <w:t>Each file remains a full, independently restorable backup. Files are not merged. The monthly job may either generate a separate full dump or copy the first successful daily object of the month into the monthly prefix while preserving provenance metadata.</w:t>
      </w:r>
    </w:p>
    <w:p>
      <w:pPr>
        <w:pStyle w:val="ListBullet"/>
      </w:pPr>
      <w:r>
        <w:t>Cloud Scheduler service account: permission to run only the designated Cloud Run Job.</w:t>
      </w:r>
    </w:p>
    <w:p>
      <w:pPr>
        <w:pStyle w:val="ListBullet"/>
      </w:pPr>
      <w:r>
        <w:t>Cloud Run Job service account: Secret Manager access to only the Mongo URI secret and least-privilege object create/read access to the backup bucket.</w:t>
      </w:r>
    </w:p>
    <w:p>
      <w:pPr>
        <w:pStyle w:val="ListBullet"/>
      </w:pPr>
      <w:r>
        <w:t>Job timeout and ephemeral disk: sized for at least three times the current logical database size and expected growth.</w:t>
      </w:r>
    </w:p>
    <w:p>
      <w:pPr>
        <w:pStyle w:val="ListBullet"/>
      </w:pPr>
      <w:r>
        <w:t>Alerts: command failure, missing object, zero-byte/unusually small archive, checksum mismatch, runtime over threshold, or no successful backup within 26 hours.</w:t>
      </w:r>
    </w:p>
    <w:p>
      <w:pPr>
        <w:pStyle w:val="Heading1"/>
      </w:pPr>
      <w:r>
        <w:t>9. Retention and lifecycle</w:t>
      </w:r>
    </w:p>
    <w:p>
      <w:r>
        <w:t>A simple starting policy is 30 daily restore points and 12 monthly restore points. Lifecycle rules delete expired live objects by prefix. Seven-day soft delete then retains deleted objects offline for its configured recovery window, which can add temporary storage after lifecycle deletion.</w:t>
      </w:r>
    </w:p>
    <w:p>
      <w:pPr>
        <w:pStyle w:val="CodeBlock"/>
        <w:keepLines/>
      </w:pPr>
      <w:r>
        <w:rPr>
          <w:rFonts w:ascii="Consolas" w:hAnsi="Consolas"/>
          <w:b w:val="0"/>
          <w:i w:val="0"/>
          <w:color w:val="000000"/>
          <w:sz w:val="17"/>
        </w:rPr>
        <w:t>{</w:t>
      </w:r>
      <w:r>
        <w:br/>
      </w:r>
      <w:r>
        <w:rPr>
          <w:rFonts w:ascii="Consolas" w:hAnsi="Consolas"/>
          <w:b w:val="0"/>
          <w:i w:val="0"/>
          <w:color w:val="000000"/>
          <w:sz w:val="17"/>
        </w:rPr>
        <w:t xml:space="preserve">  "rule": [</w:t>
      </w:r>
      <w:r>
        <w:br/>
      </w:r>
      <w:r>
        <w:rPr>
          <w:rFonts w:ascii="Consolas" w:hAnsi="Consolas"/>
          <w:b w:val="0"/>
          <w:i w:val="0"/>
          <w:color w:val="000000"/>
          <w:sz w:val="17"/>
        </w:rPr>
        <w:t xml:space="preserve">    {</w:t>
      </w:r>
      <w:r>
        <w:br/>
      </w:r>
      <w:r>
        <w:rPr>
          <w:rFonts w:ascii="Consolas" w:hAnsi="Consolas"/>
          <w:b w:val="0"/>
          <w:i w:val="0"/>
          <w:color w:val="000000"/>
          <w:sz w:val="17"/>
        </w:rPr>
        <w:t xml:space="preserve">      "action": {"type": "Delete"},</w:t>
      </w:r>
      <w:r>
        <w:br/>
      </w:r>
      <w:r>
        <w:rPr>
          <w:rFonts w:ascii="Consolas" w:hAnsi="Consolas"/>
          <w:b w:val="0"/>
          <w:i w:val="0"/>
          <w:color w:val="000000"/>
          <w:sz w:val="17"/>
        </w:rPr>
        <w:t xml:space="preserve">      "condition": {</w:t>
      </w:r>
      <w:r>
        <w:br/>
      </w:r>
      <w:r>
        <w:rPr>
          <w:rFonts w:ascii="Consolas" w:hAnsi="Consolas"/>
          <w:b w:val="0"/>
          <w:i w:val="0"/>
          <w:color w:val="000000"/>
          <w:sz w:val="17"/>
        </w:rPr>
        <w:t xml:space="preserve">        "age": 30,</w:t>
      </w:r>
      <w:r>
        <w:br/>
      </w:r>
      <w:r>
        <w:rPr>
          <w:rFonts w:ascii="Consolas" w:hAnsi="Consolas"/>
          <w:b w:val="0"/>
          <w:i w:val="0"/>
          <w:color w:val="000000"/>
          <w:sz w:val="17"/>
        </w:rPr>
        <w:t xml:space="preserve">        "matchesPrefix": [</w:t>
      </w:r>
      <w:r>
        <w:br/>
      </w:r>
      <w:r>
        <w:rPr>
          <w:rFonts w:ascii="Consolas" w:hAnsi="Consolas"/>
          <w:b w:val="0"/>
          <w:i w:val="0"/>
          <w:color w:val="000000"/>
          <w:sz w:val="17"/>
        </w:rPr>
        <w:t xml:space="preserve">          "backups/mongodb/vantagemovers/daily/"</w:t>
      </w:r>
      <w:r>
        <w:br/>
      </w:r>
      <w:r>
        <w:rPr>
          <w:rFonts w:ascii="Consolas" w:hAnsi="Consolas"/>
          <w:b w:val="0"/>
          <w:i w:val="0"/>
          <w:color w:val="000000"/>
          <w:sz w:val="17"/>
        </w:rPr>
        <w:t xml:space="preserve">        ]</w:t>
      </w:r>
      <w:r>
        <w:br/>
      </w:r>
      <w:r>
        <w:rPr>
          <w:rFonts w:ascii="Consolas" w:hAnsi="Consolas"/>
          <w:b w:val="0"/>
          <w:i w:val="0"/>
          <w:color w:val="000000"/>
          <w:sz w:val="17"/>
        </w:rPr>
        <w:t xml:space="preserve">      }</w:t>
      </w:r>
      <w:r>
        <w:br/>
      </w:r>
      <w:r>
        <w:rPr>
          <w:rFonts w:ascii="Consolas" w:hAnsi="Consolas"/>
          <w:b w:val="0"/>
          <w:i w:val="0"/>
          <w:color w:val="000000"/>
          <w:sz w:val="17"/>
        </w:rPr>
        <w:t xml:space="preserve">    },</w:t>
      </w:r>
      <w:r>
        <w:br/>
      </w:r>
      <w:r>
        <w:rPr>
          <w:rFonts w:ascii="Consolas" w:hAnsi="Consolas"/>
          <w:b w:val="0"/>
          <w:i w:val="0"/>
          <w:color w:val="000000"/>
          <w:sz w:val="17"/>
        </w:rPr>
        <w:t xml:space="preserve">    {</w:t>
      </w:r>
      <w:r>
        <w:br/>
      </w:r>
      <w:r>
        <w:rPr>
          <w:rFonts w:ascii="Consolas" w:hAnsi="Consolas"/>
          <w:b w:val="0"/>
          <w:i w:val="0"/>
          <w:color w:val="000000"/>
          <w:sz w:val="17"/>
        </w:rPr>
        <w:t xml:space="preserve">      "action": {"type": "Delete"},</w:t>
      </w:r>
      <w:r>
        <w:br/>
      </w:r>
      <w:r>
        <w:rPr>
          <w:rFonts w:ascii="Consolas" w:hAnsi="Consolas"/>
          <w:b w:val="0"/>
          <w:i w:val="0"/>
          <w:color w:val="000000"/>
          <w:sz w:val="17"/>
        </w:rPr>
        <w:t xml:space="preserve">      "condition": {</w:t>
      </w:r>
      <w:r>
        <w:br/>
      </w:r>
      <w:r>
        <w:rPr>
          <w:rFonts w:ascii="Consolas" w:hAnsi="Consolas"/>
          <w:b w:val="0"/>
          <w:i w:val="0"/>
          <w:color w:val="000000"/>
          <w:sz w:val="17"/>
        </w:rPr>
        <w:t xml:space="preserve">        "age": 366,</w:t>
      </w:r>
      <w:r>
        <w:br/>
      </w:r>
      <w:r>
        <w:rPr>
          <w:rFonts w:ascii="Consolas" w:hAnsi="Consolas"/>
          <w:b w:val="0"/>
          <w:i w:val="0"/>
          <w:color w:val="000000"/>
          <w:sz w:val="17"/>
        </w:rPr>
        <w:t xml:space="preserve">        "matchesPrefix": [</w:t>
      </w:r>
      <w:r>
        <w:br/>
      </w:r>
      <w:r>
        <w:rPr>
          <w:rFonts w:ascii="Consolas" w:hAnsi="Consolas"/>
          <w:b w:val="0"/>
          <w:i w:val="0"/>
          <w:color w:val="000000"/>
          <w:sz w:val="17"/>
        </w:rPr>
        <w:t xml:space="preserve">          "backups/mongodb/vantagemovers/monthly/"</w:t>
      </w:r>
      <w:r>
        <w:br/>
      </w:r>
      <w:r>
        <w:rPr>
          <w:rFonts w:ascii="Consolas" w:hAnsi="Consolas"/>
          <w:b w:val="0"/>
          <w:i w:val="0"/>
          <w:color w:val="000000"/>
          <w:sz w:val="17"/>
        </w:rPr>
        <w:t xml:space="preserve">        ]</w:t>
      </w:r>
      <w:r>
        <w:br/>
      </w:r>
      <w:r>
        <w:rPr>
          <w:rFonts w:ascii="Consolas" w:hAnsi="Consolas"/>
          <w:b w:val="0"/>
          <w:i w:val="0"/>
          <w:color w:val="000000"/>
          <w:sz w:val="17"/>
        </w:rPr>
        <w:t xml:space="preserve">      }</w:t>
      </w:r>
      <w:r>
        <w:br/>
      </w:r>
      <w:r>
        <w:rPr>
          <w:rFonts w:ascii="Consolas" w:hAnsi="Consolas"/>
          <w:b w:val="0"/>
          <w:i w:val="0"/>
          <w:color w:val="000000"/>
          <w:sz w:val="17"/>
        </w:rPr>
        <w:t xml:space="preserve">    }</w:t>
      </w:r>
      <w:r>
        <w:br/>
      </w:r>
      <w:r>
        <w:rPr>
          <w:rFonts w:ascii="Consolas" w:hAnsi="Consolas"/>
          <w:b w:val="0"/>
          <w:i w:val="0"/>
          <w:color w:val="000000"/>
          <w:sz w:val="17"/>
        </w:rPr>
        <w:t xml:space="preserve">  ]</w:t>
      </w:r>
      <w:r>
        <w:br/>
      </w:r>
      <w:r>
        <w:rPr>
          <w:rFonts w:ascii="Consolas" w:hAnsi="Consolas"/>
          <w:b w:val="0"/>
          <w:i w:val="0"/>
          <w:color w:val="000000"/>
          <w:sz w:val="17"/>
        </w:rPr>
        <w:t>}</w:t>
      </w:r>
    </w:p>
    <w:p>
      <w:r>
        <w:t>Apply only after reviewing the prefixes carefully: gcloud storage buckets update gs://vantage-sheets-496816 --lifecycle-file=&lt;file&gt;. Bucket lifecycle rules affect all matching objects and are asynchronous.</w:t>
      </w:r>
    </w:p>
    <w:p>
      <w:pPr>
        <w:pStyle w:val="Heading1"/>
      </w:pPr>
      <w:r>
        <w:t>10. Today-ready implementation checklist</w:t>
      </w:r>
    </w:p>
    <w:p>
      <w:pPr>
        <w:pStyle w:val="ListBullet"/>
      </w:pPr>
      <w:r>
        <w:t>Approve the storage boundary: dedicated backup bucket or tightened/accepted access on vantage-sheets-496816.</w:t>
      </w:r>
    </w:p>
    <w:p>
      <w:pPr>
        <w:pStyle w:val="ListBullet"/>
      </w:pPr>
      <w:r>
        <w:t>Enforce Public Access Prevention on the selected bucket.</w:t>
      </w:r>
    </w:p>
    <w:p>
      <w:pPr>
        <w:pStyle w:val="ListBullet"/>
      </w:pPr>
      <w:r>
        <w:t>Install and pin MongoDB Database Tools 100.17.0.</w:t>
      </w:r>
    </w:p>
    <w:p>
      <w:pPr>
        <w:pStyle w:val="ListBullet"/>
      </w:pPr>
      <w:r>
        <w:t>Run the first full dump and record its exact compressed size and duration.</w:t>
      </w:r>
    </w:p>
    <w:p>
      <w:pPr>
        <w:pStyle w:val="ListBullet"/>
      </w:pPr>
      <w:r>
        <w:t>Upload with schema-v1 path, metadata, SHA-256, and --if-generation-match=0.</w:t>
      </w:r>
    </w:p>
    <w:p>
      <w:pPr>
        <w:pStyle w:val="ListBullet"/>
      </w:pPr>
      <w:r>
        <w:t>Download and restore the first archive to an isolated validation database.</w:t>
      </w:r>
    </w:p>
    <w:p>
      <w:pPr>
        <w:pStyle w:val="ListBullet"/>
      </w:pPr>
      <w:r>
        <w:t>Create the Cloud Run Job, Secret Manager secret, least-privilege identities, and Cloud Scheduler trigger.</w:t>
      </w:r>
    </w:p>
    <w:p>
      <w:pPr>
        <w:pStyle w:val="ListBullet"/>
      </w:pPr>
      <w:r>
        <w:t>Apply prefix-scoped lifecycle rules only after dry review.</w:t>
      </w:r>
    </w:p>
    <w:p>
      <w:pPr>
        <w:pStyle w:val="ListBullet"/>
      </w:pPr>
      <w:r>
        <w:t>Create alerts and schedule the first quarterly restore drill.</w:t>
      </w:r>
    </w:p>
    <w:p>
      <w:pPr>
        <w:pStyle w:val="Heading1"/>
      </w:pPr>
      <w:r>
        <w:t>11. Change control</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vAlign w:val="center"/>
            <w:tcMar>
              <w:top w:w="100" w:type="dxa"/>
              <w:start w:w="120" w:type="dxa"/>
              <w:bottom w:w="100" w:type="dxa"/>
              <w:end w:w="120" w:type="dxa"/>
            </w:tcMar>
            <w:shd w:fill="E8EEF5"/>
          </w:tcPr>
          <w:p>
            <w:r>
              <w:rPr>
                <w:rFonts w:ascii="Calibri" w:hAnsi="Calibri"/>
                <w:b/>
                <w:i w:val="0"/>
                <w:color w:val="17365D"/>
                <w:sz w:val="22"/>
              </w:rPr>
              <w:t>Item</w:t>
            </w:r>
          </w:p>
        </w:tc>
        <w:tc>
          <w:tcPr>
            <w:tcW w:type="dxa" w:w="6660"/>
            <w:vAlign w:val="center"/>
            <w:tcMar>
              <w:top w:w="100" w:type="dxa"/>
              <w:start w:w="120" w:type="dxa"/>
              <w:bottom w:w="100" w:type="dxa"/>
              <w:end w:w="120" w:type="dxa"/>
            </w:tcMar>
            <w:shd w:fill="E8EEF5"/>
          </w:tcPr>
          <w:p>
            <w:r>
              <w:rPr>
                <w:rFonts w:ascii="Calibri" w:hAnsi="Calibri"/>
                <w:b/>
                <w:i w:val="0"/>
                <w:color w:val="17365D"/>
                <w:sz w:val="22"/>
              </w:rPr>
              <w:t>Verified value</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Runbook version</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1.0</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Backup schema</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schema-v1</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Tools version</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MongoDB Database Tools 100.17.0</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Next review</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After the first successful restore drill, then every six months</w:t>
            </w:r>
          </w:p>
        </w:tc>
      </w:tr>
      <w:tr>
        <w:tc>
          <w:tcPr>
            <w:tcW w:type="dxa" w:w="2700"/>
            <w:vAlign w:val="center"/>
            <w:tcMar>
              <w:top w:w="100" w:type="dxa"/>
              <w:start w:w="120" w:type="dxa"/>
              <w:bottom w:w="100" w:type="dxa"/>
              <w:end w:w="120" w:type="dxa"/>
            </w:tcMar>
          </w:tcPr>
          <w:p>
            <w:pPr>
              <w:spacing w:after="0"/>
            </w:pPr>
            <w:r>
              <w:rPr>
                <w:rFonts w:ascii="Calibri" w:hAnsi="Calibri"/>
                <w:b w:val="0"/>
                <w:i w:val="0"/>
                <w:color w:val="000000"/>
                <w:sz w:val="22"/>
              </w:rPr>
              <w:t>Version bump triggers</w:t>
            </w:r>
          </w:p>
        </w:tc>
        <w:tc>
          <w:tcPr>
            <w:tcW w:type="dxa" w:w="6660"/>
            <w:vAlign w:val="center"/>
            <w:tcMar>
              <w:top w:w="100" w:type="dxa"/>
              <w:start w:w="120" w:type="dxa"/>
              <w:bottom w:w="100" w:type="dxa"/>
              <w:end w:w="120" w:type="dxa"/>
            </w:tcMar>
          </w:tcPr>
          <w:p>
            <w:pPr>
              <w:spacing w:after="0"/>
            </w:pPr>
            <w:r>
              <w:rPr>
                <w:rFonts w:ascii="Calibri" w:hAnsi="Calibri"/>
                <w:b w:val="0"/>
                <w:i w:val="0"/>
                <w:color w:val="000000"/>
                <w:sz w:val="22"/>
              </w:rPr>
              <w:t>Path/metadata changes, retention changes, tool upgrade, target database change, or recovery procedure change</w:t>
            </w:r>
          </w:p>
        </w:tc>
      </w:tr>
    </w:tbl>
    <w:p>
      <w:pPr>
        <w:spacing w:after="0"/>
      </w:pPr>
    </w:p>
    <w:p>
      <w:pPr>
        <w:pStyle w:val="Heading1"/>
      </w:pPr>
      <w:r>
        <w:t>12. Authoritative references</w:t>
      </w:r>
    </w:p>
    <w:p>
      <w:pPr>
        <w:pStyle w:val="ListBullet"/>
      </w:pPr>
      <w:r>
        <w:t>MongoDB mongodump: https://www.mongodb.com/docs/database-tools/mongodump/</w:t>
      </w:r>
    </w:p>
    <w:p>
      <w:pPr>
        <w:pStyle w:val="ListBullet"/>
      </w:pPr>
      <w:r>
        <w:t>MongoDB mongorestore: https://www.mongodb.com/docs/database-tools/mongorestore/</w:t>
      </w:r>
    </w:p>
    <w:p>
      <w:pPr>
        <w:pStyle w:val="ListBullet"/>
      </w:pPr>
      <w:r>
        <w:t>MongoDB Database Tools compatibility: https://www.mongodb.com/docs/database-tools/mongodump/mongodump-compatibility-and-installation/</w:t>
      </w:r>
    </w:p>
    <w:p>
      <w:pPr>
        <w:pStyle w:val="ListBullet"/>
      </w:pPr>
      <w:r>
        <w:t>Google Cloud Storage Object Versioning: https://cloud.google.com/storage/docs/object-versioning</w:t>
      </w:r>
    </w:p>
    <w:p>
      <w:pPr>
        <w:pStyle w:val="ListBullet"/>
      </w:pPr>
      <w:r>
        <w:t>Google Cloud Storage soft delete: https://cloud.google.com/storage/docs/soft-delete</w:t>
      </w:r>
    </w:p>
    <w:p>
      <w:pPr>
        <w:pStyle w:val="ListBullet"/>
      </w:pPr>
      <w:r>
        <w:t>Google Cloud Storage lifecycle rules: https://cloud.google.com/storage/docs/lifecycle-configurations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B6573"/>
        <w:sz w:val="18"/>
      </w:rPr>
      <w:t xml:space="preserve">Internal - Runbook v1.0  |  Page </w:t>
    </w:r>
    <w:r>
      <w:rPr>
        <w:rFonts w:ascii="Calibri" w:hAnsi="Calibri"/>
        <w:b w:val="0"/>
        <w:i w:val="0"/>
        <w:color w:val="5B65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573"/>
        <w:sz w:val="17"/>
      </w:rPr>
      <w:t>VANTAGE OPERATIONS  |  MONGODB BACKUP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16" w:right="216"/>
      <w:shd w:fill="F2F4F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MongoDB Backup &amp; Recovery Runbook</dc:title>
  <dc:subject>Vantage MongoDB backups to Google Cloud Storage</dc:subject>
  <dc:creator>Vantage Operations</dc:creator>
  <cp:keywords>MongoDB, backup, GCS, recovery, runbook</cp:keywords>
  <dc:description>Runbook version 1.0</dc:description>
  <cp:lastModifiedBy/>
  <cp:revision>1</cp:revision>
  <dcterms:created xsi:type="dcterms:W3CDTF">2013-12-23T23:15:00Z</dcterms:created>
  <dcterms:modified xsi:type="dcterms:W3CDTF">2013-12-23T23:15:00Z</dcterms:modified>
  <cp:category/>
</cp:coreProperties>
</file>