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thos-game-day-ghl-growth-system"/>
    <w:p>
      <w:pPr>
        <w:pStyle w:val="Heading1"/>
      </w:pPr>
      <w:r>
        <w:t xml:space="preserve">ETHOS — Game Day GHL Growth System</w:t>
      </w:r>
    </w:p>
    <w:bookmarkStart w:id="9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Deliver measurable revenue growth to Game Day Men’s Health franchises through automated CRM systems, trained AI integrators, and voice-matched content engines.</w:t>
      </w:r>
    </w:p>
    <w:bookmarkEnd w:id="9"/>
    <w:bookmarkStart w:id="10" w:name="development-principles"/>
    <w:p>
      <w:pPr>
        <w:pStyle w:val="Heading2"/>
      </w:pPr>
      <w:r>
        <w:t xml:space="preserve">Development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Revenue-first</w:t>
      </w:r>
      <w:r>
        <w:t xml:space="preserve"> </w:t>
      </w:r>
      <w:r>
        <w:t xml:space="preserve">— Every deliverable must connect to a measurable revenue outcome. Content without distribution strategy is waste. Automations without KPIs are decoration.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Compliance-first for healthcare</w:t>
      </w:r>
      <w:r>
        <w:t xml:space="preserve"> </w:t>
      </w:r>
      <w:r>
        <w:t xml:space="preserve">— HIPAA compliance is non-negotiable. No patient data in this repo. No PII in templates. Every workflow must be reviewed against healthcare marketing regulations before deployment.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Franchise-scalable</w:t>
      </w:r>
      <w:r>
        <w:t xml:space="preserve"> </w:t>
      </w:r>
      <w:r>
        <w:t xml:space="preserve">— Everything built for one location must work for 250+. No bespoke solutions that break at scale. Templates over custom builds. Documentation over tribal knowledge.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Voice authenticity over volume</w:t>
      </w:r>
      <w:r>
        <w:t xml:space="preserve"> </w:t>
      </w:r>
      <w:r>
        <w:t xml:space="preserve">— The Expert Series exists to amplify the real voice of real providers. Never fabricate stories, credentials, or patient experiences. Every piece must pass the</w:t>
      </w:r>
      <w:r>
        <w:t xml:space="preserve"> </w:t>
      </w:r>
      <w:r>
        <w:t xml:space="preserve">“would they actually say this?”</w:t>
      </w:r>
      <w:r>
        <w:t xml:space="preserve"> </w:t>
      </w:r>
      <w:r>
        <w:t xml:space="preserve">test.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Operator-empowering</w:t>
      </w:r>
      <w:r>
        <w:t xml:space="preserve"> </w:t>
      </w:r>
      <w:r>
        <w:t xml:space="preserve">— The goal is to make Tony’s team more capable, not more dependent. Systems should transfer knowledge, not create vendor lock-in.</w:t>
      </w:r>
    </w:p>
    <w:bookmarkEnd w:id="10"/>
    <w:bookmarkStart w:id="11" w:name="quality-bar"/>
    <w:p>
      <w:pPr>
        <w:pStyle w:val="Heading2"/>
      </w:pPr>
      <w:r>
        <w:t xml:space="preserve">Quality Bar</w:t>
      </w:r>
    </w:p>
    <w:p>
      <w:pPr>
        <w:pStyle w:val="Compact"/>
        <w:numPr>
          <w:ilvl w:val="0"/>
          <w:numId w:val="1002"/>
        </w:numPr>
      </w:pPr>
      <w:r>
        <w:t xml:space="preserve">GHL workflows must be tested with dummy data before client deployment</w:t>
      </w:r>
    </w:p>
    <w:p>
      <w:pPr>
        <w:pStyle w:val="Compact"/>
        <w:numPr>
          <w:ilvl w:val="0"/>
          <w:numId w:val="1002"/>
        </w:numPr>
      </w:pPr>
      <w:r>
        <w:t xml:space="preserve">Content pieces must pass the 3-agent quality gauntlet (Creator &gt; Critic &gt; Approver, score 75+)</w:t>
      </w:r>
    </w:p>
    <w:p>
      <w:pPr>
        <w:pStyle w:val="Compact"/>
        <w:numPr>
          <w:ilvl w:val="0"/>
          <w:numId w:val="1002"/>
        </w:numPr>
      </w:pPr>
      <w:r>
        <w:t xml:space="preserve">Revenue projections must state assumptions and show conservative/moderate/aggressive ranges</w:t>
      </w:r>
    </w:p>
    <w:p>
      <w:pPr>
        <w:pStyle w:val="Compact"/>
        <w:numPr>
          <w:ilvl w:val="0"/>
          <w:numId w:val="1002"/>
        </w:numPr>
      </w:pPr>
      <w:r>
        <w:t xml:space="preserve">All research must cite sources</w:t>
      </w:r>
    </w:p>
    <w:bookmarkEnd w:id="11"/>
    <w:bookmarkStart w:id="12" w:name="what-this-repo-will-never-do"/>
    <w:p>
      <w:pPr>
        <w:pStyle w:val="Heading2"/>
      </w:pPr>
      <w:r>
        <w:t xml:space="preserve">What This Repo Will Never Do</w:t>
      </w:r>
    </w:p>
    <w:p>
      <w:pPr>
        <w:pStyle w:val="Compact"/>
        <w:numPr>
          <w:ilvl w:val="0"/>
          <w:numId w:val="1003"/>
        </w:numPr>
      </w:pPr>
      <w:r>
        <w:t xml:space="preserve">Store patient data or protected health information</w:t>
      </w:r>
    </w:p>
    <w:p>
      <w:pPr>
        <w:pStyle w:val="Compact"/>
        <w:numPr>
          <w:ilvl w:val="0"/>
          <w:numId w:val="1003"/>
        </w:numPr>
      </w:pPr>
      <w:r>
        <w:t xml:space="preserve">Make medical claims or treatment recommendations</w:t>
      </w:r>
    </w:p>
    <w:p>
      <w:pPr>
        <w:pStyle w:val="Compact"/>
        <w:numPr>
          <w:ilvl w:val="0"/>
          <w:numId w:val="1003"/>
        </w:numPr>
      </w:pPr>
      <w:r>
        <w:t xml:space="preserve">Deploy untested automations to live patient databases</w:t>
      </w:r>
    </w:p>
    <w:p>
      <w:pPr>
        <w:pStyle w:val="Compact"/>
        <w:numPr>
          <w:ilvl w:val="0"/>
          <w:numId w:val="1003"/>
        </w:numPr>
      </w:pPr>
      <w:r>
        <w:t xml:space="preserve">Publish client voice profiles or proprietary story banks</w:t>
      </w:r>
    </w:p>
    <w:p>
      <w:pPr>
        <w:pStyle w:val="Compact"/>
        <w:numPr>
          <w:ilvl w:val="0"/>
          <w:numId w:val="1003"/>
        </w:numPr>
      </w:pPr>
      <w:r>
        <w:t xml:space="preserve">Guarantee specific revenue outcomes (projections are estimates, not promises)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