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2.png" ContentType="image/png"/>
  <Override PartName="/word/media/rId31.png" ContentType="image/png"/>
  <Override PartName="/word/media/rId3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21,</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1"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1"/>
    <w:bookmarkStart w:id="22"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2"/>
    <w:bookmarkEnd w:id="23"/>
    <w:bookmarkStart w:id="24"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4"/>
    <w:bookmarkStart w:id="54" w:name="results"/>
    <w:p>
      <w:pPr>
        <w:pStyle w:val="Heading1"/>
      </w:pPr>
      <w:r>
        <w:t xml:space="preserve">Results</w:t>
      </w:r>
    </w:p>
    <w:bookmarkStart w:id="39" w:name="gravettian-levels-6-7"/>
    <w:p>
      <w:pPr>
        <w:pStyle w:val="Heading2"/>
      </w:pPr>
      <w:r>
        <w:t xml:space="preserve">Gravettian (levels 6-7)</w:t>
      </w:r>
    </w:p>
    <w:p>
      <w:pPr>
        <w:pStyle w:val="FirstParagraph"/>
      </w:pPr>
      <w:r>
        <w:t xml:space="preserve">The sample studied for the Gravettian occupation (&gt;2012 excavations) of the Terrace area included 766 artifacts. When crossing the lithic class with chert type, we see that the local cherts show similar patterns, with T2 and T5 being the types with higher numbers of artefacts (n=110 and n=72, respectively). For all local cherts, blanks represent more than 50% of the artefacts. Cores and core maintenance products are only present in T2 and T5, although in small frequencies: for T2, cores represent 13.6% of the group and core preparation and maintenance products represent 1.8% (n=2). For T5 only 4 core fragments and 1 core preparation and maintenance product are present. Retouched tools seem to be especially relevant in T2 (~18%), being the most frequent class after blanks. The presence of burin spalls (8.1%) in T2 is expected due to the prevalence of burins (see below). In comparison, T5 shows similar percentages of retouched tools and shatter (~12% and ~14%, respectively). T1 (chalcedony) shows similar patterns, although with higher percentages of shatter (34.3%). In comparison, non-local chert types (especially T6 with n=169 and T7 with n=86) show similar percentages of blanks (~40-50%) but higher percentages of retouched tools (~30%). Cores, core fragments and core preparation and maintenance products are also present even if in small percentages (&lt;4%), as well as shatter (~12%). In both chert types burin spalls are also present (7.1% for T6 and 4.6% for T7). The TL cherts show, as expected, blanks and blank fragments (n=3 and n=2, respectively), and retouched tools (n=4). The presence of core maintenance products in TL is possibly related to the limited knapping of TL01 (jasper).</w:t>
      </w:r>
    </w:p>
    <w:tbl>
      <w:tblPr>
        <w:tblStyle w:val="Table"/>
        <w:tblW w:type="pct" w:w="5000"/>
        <w:tblLayout w:type="fixed"/>
        <w:tblLook w:firstRow="0" w:lastRow="0" w:firstColumn="0" w:lastColumn="0" w:noHBand="0" w:noVBand="0" w:val="0000"/>
      </w:tblPr>
      <w:tblGrid>
        <w:gridCol w:w="7920"/>
      </w:tblGrid>
      <w:tr>
        <w:tc>
          <w:tcPr/>
          <w:bookmarkStart w:id="25" w:name="tbl-general-gravettian"/>
          <w:p>
            <w:pPr>
              <w:jc w:val="center"/>
            </w:pPr>
            <w:pPr>
              <w:jc w:val="start"/>
              <w:spacing w:before="200"/>
              <w:pStyle w:val="ImageCaption"/>
            </w:pPr>
            <w:r>
              <w:t xml:space="preserve">Table 1: Number and percentage of technotypological classes by raw material type from the Gravettian assemblage (levels 6 and 7) of the Terrace area of Vale Boi.</w:t>
            </w:r>
          </w:p>
          <w:tbl>
            <w:tblPr>
              <w:tblStyle w:val="Table"/>
              <w:tblW w:type="pct" w:w="5000"/>
              <w:tblLayout w:type="fixed"/>
              <w:tblLook w:firstRow="1" w:lastRow="0" w:firstColumn="0" w:lastColumn="0" w:noHBand="0" w:noVBand="0" w:val="0020"/>
            </w:tblPr>
            <w:tblGrid>
              <w:gridCol w:w="787"/>
              <w:gridCol w:w="539"/>
              <w:gridCol w:w="580"/>
              <w:gridCol w:w="539"/>
              <w:gridCol w:w="539"/>
              <w:gridCol w:w="539"/>
              <w:gridCol w:w="580"/>
              <w:gridCol w:w="539"/>
              <w:gridCol w:w="497"/>
              <w:gridCol w:w="539"/>
              <w:gridCol w:w="539"/>
              <w:gridCol w:w="539"/>
              <w:gridCol w:w="580"/>
              <w:gridCol w:w="58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6 (17.14%)</w:t>
                  </w:r>
                </w:p>
              </w:tc>
              <w:tc>
                <w:tcPr/>
                <w:p>
                  <w:pPr>
                    <w:pStyle w:val="Compact"/>
                    <w:jc w:val="left"/>
                    <w:jc w:val="center"/>
                  </w:pPr>
                  <w:r>
                    <w:t xml:space="preserve">35 (31.82%)</w:t>
                  </w:r>
                </w:p>
              </w:tc>
              <w:tc>
                <w:tcPr/>
                <w:p>
                  <w:pPr>
                    <w:pStyle w:val="Compact"/>
                    <w:jc w:val="left"/>
                    <w:jc w:val="center"/>
                  </w:pPr>
                  <w:r>
                    <w:t xml:space="preserve">8 (47.06%)</w:t>
                  </w:r>
                </w:p>
              </w:tc>
              <w:tc>
                <w:tcPr/>
                <w:p>
                  <w:pPr>
                    <w:pStyle w:val="Compact"/>
                    <w:jc w:val="left"/>
                    <w:jc w:val="center"/>
                  </w:pPr>
                  <w:r>
                    <w:t xml:space="preserve">8 (61.54%)</w:t>
                  </w:r>
                </w:p>
              </w:tc>
              <w:tc>
                <w:tcPr/>
                <w:p>
                  <w:pPr>
                    <w:pStyle w:val="Compact"/>
                    <w:jc w:val="left"/>
                    <w:jc w:val="center"/>
                  </w:pPr>
                  <w:r>
                    <w:t xml:space="preserve">25 (34.72%)</w:t>
                  </w:r>
                </w:p>
              </w:tc>
              <w:tc>
                <w:tcPr/>
                <w:p>
                  <w:pPr>
                    <w:pStyle w:val="Compact"/>
                    <w:jc w:val="left"/>
                    <w:jc w:val="center"/>
                  </w:pPr>
                  <w:r>
                    <w:t xml:space="preserve">44 (26.04%)</w:t>
                  </w:r>
                </w:p>
              </w:tc>
              <w:tc>
                <w:tcPr/>
                <w:p>
                  <w:pPr>
                    <w:pStyle w:val="Compact"/>
                    <w:jc w:val="left"/>
                    <w:jc w:val="center"/>
                  </w:pPr>
                  <w:r>
                    <w:t xml:space="preserve">21 (24.42%)</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7 (38.89%)</w:t>
                  </w:r>
                </w:p>
              </w:tc>
              <w:tc>
                <w:tcPr/>
                <w:p>
                  <w:pPr>
                    <w:pStyle w:val="Compact"/>
                    <w:jc w:val="left"/>
                    <w:jc w:val="center"/>
                  </w:pPr>
                  <w:r>
                    <w:t xml:space="preserve">3 (25.00%)</w:t>
                  </w:r>
                </w:p>
              </w:tc>
              <w:tc>
                <w:tcPr/>
                <w:p>
                  <w:pPr>
                    <w:pStyle w:val="Compact"/>
                    <w:jc w:val="left"/>
                    <w:jc w:val="center"/>
                  </w:pPr>
                  <w:r>
                    <w:t xml:space="preserve">58 (27.75%)</w:t>
                  </w:r>
                </w:p>
              </w:tc>
              <w:tc>
                <w:tcPr/>
                <w:p>
                  <w:pPr>
                    <w:pStyle w:val="Compact"/>
                    <w:jc w:val="left"/>
                    <w:jc w:val="center"/>
                  </w:pPr>
                  <w:r>
                    <w:t xml:space="preserve">219 (28.59%)</w:t>
                  </w:r>
                </w:p>
              </w:tc>
            </w:tr>
            <w:tr>
              <w:tc>
                <w:tcPr/>
                <w:p>
                  <w:pPr>
                    <w:pStyle w:val="Compact"/>
                    <w:jc w:val="left"/>
                    <w:jc w:val="center"/>
                  </w:pPr>
                  <w:r>
                    <w:t xml:space="preserve">BlankFrag</w:t>
                  </w:r>
                </w:p>
              </w:tc>
              <w:tc>
                <w:tcPr/>
                <w:p>
                  <w:pPr>
                    <w:pStyle w:val="Compact"/>
                    <w:jc w:val="left"/>
                    <w:jc w:val="center"/>
                  </w:pPr>
                  <w:r>
                    <w:t xml:space="preserve">9 (25.71%)</w:t>
                  </w:r>
                </w:p>
              </w:tc>
              <w:tc>
                <w:tcPr/>
                <w:p>
                  <w:pPr>
                    <w:pStyle w:val="Compact"/>
                    <w:jc w:val="left"/>
                    <w:jc w:val="center"/>
                  </w:pPr>
                  <w:r>
                    <w:t xml:space="preserve">22 (20.00%)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21 (29.17%)</w:t>
                  </w:r>
                </w:p>
              </w:tc>
              <w:tc>
                <w:tcPr/>
                <w:p>
                  <w:pPr>
                    <w:pStyle w:val="Compact"/>
                    <w:jc w:val="left"/>
                    <w:jc w:val="center"/>
                  </w:pPr>
                  <w:r>
                    <w:t xml:space="preserve">24 (14.20%)</w:t>
                  </w:r>
                </w:p>
              </w:tc>
              <w:tc>
                <w:tcPr/>
                <w:p>
                  <w:pPr>
                    <w:pStyle w:val="Compact"/>
                    <w:jc w:val="left"/>
                    <w:jc w:val="center"/>
                  </w:pPr>
                  <w:r>
                    <w:t xml:space="preserve">21 (24.42%)</w:t>
                  </w:r>
                </w:p>
              </w:tc>
              <w:tc>
                <w:tcPr/>
                <w:p>
                  <w:pPr>
                    <w:pStyle w:val="Compact"/>
                    <w:jc w:val="left"/>
                    <w:jc w:val="center"/>
                  </w:pPr>
                  <w:r>
                    <w:t xml:space="preserve">2 (22.22%)</w:t>
                  </w:r>
                </w:p>
              </w:tc>
              <w:tc>
                <w:tcPr/>
                <w:p>
                  <w:pPr>
                    <w:pStyle w:val="Compact"/>
                    <w:jc w:val="left"/>
                    <w:jc w:val="center"/>
                  </w:pPr>
                  <w:r>
                    <w:t xml:space="preserve">4 (25.00%)</w:t>
                  </w:r>
                </w:p>
              </w:tc>
              <w:tc>
                <w:tcPr/>
                <w:p>
                  <w:pPr>
                    <w:pStyle w:val="Compact"/>
                    <w:jc w:val="left"/>
                    <w:jc w:val="center"/>
                  </w:pPr>
                  <w:r>
                    <w:t xml:space="preserve">3 (16.67%)</w:t>
                  </w:r>
                </w:p>
              </w:tc>
              <w:tc>
                <w:tcPr/>
                <w:p>
                  <w:pPr>
                    <w:pStyle w:val="Compact"/>
                    <w:jc w:val="left"/>
                    <w:jc w:val="center"/>
                  </w:pPr>
                  <w:r>
                    <w:t xml:space="preserve">2 (16.67%)</w:t>
                  </w:r>
                </w:p>
              </w:tc>
              <w:tc>
                <w:tcPr/>
                <w:p>
                  <w:pPr>
                    <w:pStyle w:val="Compact"/>
                    <w:jc w:val="left"/>
                    <w:jc w:val="center"/>
                  </w:pPr>
                  <w:r>
                    <w:t xml:space="preserve">65 (31.10%)</w:t>
                  </w:r>
                </w:p>
              </w:tc>
              <w:tc>
                <w:tcPr/>
                <w:p>
                  <w:pPr>
                    <w:pStyle w:val="Compact"/>
                    <w:jc w:val="left"/>
                    <w:jc w:val="center"/>
                  </w:pPr>
                  <w:r>
                    <w:t xml:space="preserve">176 (22.98%)</w:t>
                  </w:r>
                </w:p>
              </w:tc>
            </w:tr>
            <w:tr>
              <w:tc>
                <w:tcPr/>
                <w:p>
                  <w:pPr>
                    <w:pStyle w:val="Compact"/>
                    <w:jc w:val="left"/>
                    <w:jc w:val="center"/>
                  </w:pPr>
                  <w:r>
                    <w:t xml:space="preserve">BurinSpall</w:t>
                  </w:r>
                </w:p>
              </w:tc>
              <w:tc>
                <w:tcPr/>
                <w:p>
                  <w:pPr>
                    <w:pStyle w:val="Compact"/>
                    <w:jc w:val="left"/>
                    <w:jc w:val="center"/>
                  </w:pPr>
                  <w:r>
                    <w:t xml:space="preserve">0 (0.00%)</w:t>
                  </w:r>
                </w:p>
              </w:tc>
              <w:tc>
                <w:tcPr/>
                <w:p>
                  <w:pPr>
                    <w:pStyle w:val="Compact"/>
                    <w:jc w:val="left"/>
                    <w:jc w:val="center"/>
                  </w:pPr>
                  <w:r>
                    <w:t xml:space="preserve">9 (8.18%)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(2.78%)</w:t>
                  </w:r>
                </w:p>
              </w:tc>
              <w:tc>
                <w:tcPr/>
                <w:p>
                  <w:pPr>
                    <w:pStyle w:val="Compact"/>
                    <w:jc w:val="left"/>
                    <w:jc w:val="center"/>
                  </w:pPr>
                  <w:r>
                    <w:t xml:space="preserve">12 (7.10%)</w:t>
                  </w:r>
                </w:p>
              </w:tc>
              <w:tc>
                <w:tcPr/>
                <w:p>
                  <w:pPr>
                    <w:pStyle w:val="Compact"/>
                    <w:jc w:val="left"/>
                    <w:jc w:val="center"/>
                  </w:pPr>
                  <w:r>
                    <w:t xml:space="preserve">4 (4.65%)</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(8.33%)</w:t>
                  </w:r>
                </w:p>
              </w:tc>
              <w:tc>
                <w:tcPr/>
                <w:p>
                  <w:pPr>
                    <w:pStyle w:val="Compact"/>
                    <w:jc w:val="left"/>
                    <w:jc w:val="center"/>
                  </w:pPr>
                  <w:r>
                    <w:t xml:space="preserve">4 (1.91%)</w:t>
                  </w:r>
                </w:p>
              </w:tc>
              <w:tc>
                <w:tcPr/>
                <w:p>
                  <w:pPr>
                    <w:pStyle w:val="Compact"/>
                    <w:jc w:val="left"/>
                    <w:jc w:val="center"/>
                  </w:pPr>
                  <w:r>
                    <w:t xml:space="preserve">32 (4.18%)</w:t>
                  </w:r>
                </w:p>
              </w:tc>
            </w:tr>
            <w:tr>
              <w:tc>
                <w:tcPr/>
                <w:p>
                  <w:pPr>
                    <w:pStyle w:val="Compact"/>
                    <w:jc w:val="left"/>
                    <w:jc w:val="center"/>
                  </w:pPr>
                  <w:r>
                    <w:t xml:space="preserve">Core</w:t>
                  </w:r>
                </w:p>
              </w:tc>
              <w:tc>
                <w:tcPr/>
                <w:p>
                  <w:pPr>
                    <w:pStyle w:val="Compact"/>
                    <w:jc w:val="left"/>
                    <w:jc w:val="center"/>
                  </w:pPr>
                  <w:r>
                    <w:t xml:space="preserve">3 (8.57%)</w:t>
                  </w:r>
                </w:p>
              </w:tc>
              <w:tc>
                <w:tcPr/>
                <w:p>
                  <w:pPr>
                    <w:pStyle w:val="Compact"/>
                    <w:jc w:val="left"/>
                    <w:jc w:val="center"/>
                  </w:pPr>
                  <w:r>
                    <w:t xml:space="preserve">11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(3.55%)</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4 (1.91%)</w:t>
                  </w:r>
                </w:p>
              </w:tc>
              <w:tc>
                <w:tcPr/>
                <w:p>
                  <w:pPr>
                    <w:pStyle w:val="Compact"/>
                    <w:jc w:val="left"/>
                    <w:jc w:val="center"/>
                  </w:pPr>
                  <w:r>
                    <w:t xml:space="preserve">30 (3.92%)</w:t>
                  </w:r>
                </w:p>
              </w:tc>
            </w:tr>
            <w:tr>
              <w:tc>
                <w:tcPr/>
                <w:p>
                  <w:pPr>
                    <w:pStyle w:val="Compact"/>
                    <w:jc w:val="left"/>
                    <w:jc w:val="center"/>
                  </w:pPr>
                  <w:r>
                    <w:t xml:space="preserve">CoreFrag</w:t>
                  </w:r>
                </w:p>
              </w:tc>
              <w:tc>
                <w:tcPr/>
                <w:p>
                  <w:pPr>
                    <w:pStyle w:val="Compact"/>
                    <w:jc w:val="left"/>
                    <w:jc w:val="center"/>
                  </w:pPr>
                  <w:r>
                    <w:t xml:space="preserve">2 (5.71%)</w:t>
                  </w:r>
                </w:p>
              </w:tc>
              <w:tc>
                <w:tcPr/>
                <w:p>
                  <w:pPr>
                    <w:pStyle w:val="Compact"/>
                    <w:jc w:val="left"/>
                    <w:jc w:val="center"/>
                  </w:pPr>
                  <w:r>
                    <w:t xml:space="preserve">4 (3.64%)</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(5.56%)</w:t>
                  </w:r>
                </w:p>
              </w:tc>
              <w:tc>
                <w:tcPr/>
                <w:p>
                  <w:pPr>
                    <w:pStyle w:val="Compact"/>
                    <w:jc w:val="left"/>
                    <w:jc w:val="center"/>
                  </w:pPr>
                  <w:r>
                    <w:t xml:space="preserve">2 (1.18%)</w:t>
                  </w:r>
                </w:p>
              </w:tc>
              <w:tc>
                <w:tcPr/>
                <w:p>
                  <w:pPr>
                    <w:pStyle w:val="Compact"/>
                    <w:jc w:val="left"/>
                    <w:jc w:val="center"/>
                  </w:pPr>
                  <w:r>
                    <w:t xml:space="preserve">1 (1.16%)</w:t>
                  </w:r>
                </w:p>
              </w:tc>
              <w:tc>
                <w:tcPr/>
                <w:p>
                  <w:pPr>
                    <w:pStyle w:val="Compact"/>
                    <w:jc w:val="left"/>
                    <w:jc w:val="center"/>
                  </w:pPr>
                  <w:r>
                    <w:t xml:space="preserve">1 (11.11%)</w:t>
                  </w:r>
                </w:p>
              </w:tc>
              <w:tc>
                <w:tcPr/>
                <w:p>
                  <w:pPr>
                    <w:pStyle w:val="Compact"/>
                    <w:jc w:val="left"/>
                    <w:jc w:val="center"/>
                  </w:pPr>
                  <w:r>
                    <w:t xml:space="preserve">1 (6.25%)</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1 (0.48%)</w:t>
                  </w:r>
                </w:p>
              </w:tc>
              <w:tc>
                <w:tcPr/>
                <w:p>
                  <w:pPr>
                    <w:pStyle w:val="Compact"/>
                    <w:jc w:val="left"/>
                    <w:jc w:val="center"/>
                  </w:pPr>
                  <w:r>
                    <w:t xml:space="preserve">17 (2.22%)</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2 (1.82%)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2 (1.18%)</w:t>
                  </w:r>
                </w:p>
              </w:tc>
              <w:tc>
                <w:tcPr/>
                <w:p>
                  <w:pPr>
                    <w:pStyle w:val="Compact"/>
                    <w:jc w:val="left"/>
                    <w:jc w:val="center"/>
                  </w:pPr>
                  <w:r>
                    <w:t xml:space="preserve">2 (2.33%)</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0 (0.00%)</w:t>
                  </w:r>
                </w:p>
              </w:tc>
              <w:tc>
                <w:tcPr/>
                <w:p>
                  <w:pPr>
                    <w:pStyle w:val="Compact"/>
                    <w:jc w:val="left"/>
                    <w:jc w:val="center"/>
                  </w:pPr>
                  <w:r>
                    <w:t xml:space="preserve">2 (16.67%)</w:t>
                  </w:r>
                </w:p>
              </w:tc>
              <w:tc>
                <w:tcPr/>
                <w:p>
                  <w:pPr>
                    <w:pStyle w:val="Compact"/>
                    <w:jc w:val="left"/>
                    <w:jc w:val="center"/>
                  </w:pPr>
                  <w:r>
                    <w:t xml:space="preserve">0 (0.00%)</w:t>
                  </w:r>
                </w:p>
              </w:tc>
              <w:tc>
                <w:tcPr/>
                <w:p>
                  <w:pPr>
                    <w:pStyle w:val="Compact"/>
                    <w:jc w:val="left"/>
                    <w:jc w:val="center"/>
                  </w:pPr>
                  <w:r>
                    <w:t xml:space="preserve">10 (1.31%)</w:t>
                  </w:r>
                </w:p>
              </w:tc>
            </w:tr>
            <w:tr>
              <w:tc>
                <w:tcPr/>
                <w:p>
                  <w:pPr>
                    <w:pStyle w:val="Compact"/>
                    <w:jc w:val="left"/>
                    <w:jc w:val="center"/>
                  </w:pPr>
                  <w:r>
                    <w:t xml:space="preserve">RetouchedPiece</w:t>
                  </w:r>
                </w:p>
              </w:tc>
              <w:tc>
                <w:tcPr/>
                <w:p>
                  <w:pPr>
                    <w:pStyle w:val="Compact"/>
                    <w:jc w:val="left"/>
                    <w:jc w:val="center"/>
                  </w:pPr>
                  <w:r>
                    <w:t xml:space="preserve">3 (8.57%)</w:t>
                  </w:r>
                </w:p>
              </w:tc>
              <w:tc>
                <w:tcPr/>
                <w:p>
                  <w:pPr>
                    <w:pStyle w:val="Compact"/>
                    <w:jc w:val="left"/>
                    <w:jc w:val="center"/>
                  </w:pPr>
                  <w:r>
                    <w:t xml:space="preserve">19 (17.27%)</w:t>
                  </w:r>
                </w:p>
              </w:tc>
              <w:tc>
                <w:tcPr/>
                <w:p>
                  <w:pPr>
                    <w:pStyle w:val="Compact"/>
                    <w:jc w:val="left"/>
                    <w:jc w:val="center"/>
                  </w:pPr>
                  <w:r>
                    <w:t xml:space="preserve">4 (23.53%)</w:t>
                  </w:r>
                </w:p>
              </w:tc>
              <w:tc>
                <w:tcPr/>
                <w:p>
                  <w:pPr>
                    <w:pStyle w:val="Compact"/>
                    <w:jc w:val="left"/>
                    <w:jc w:val="center"/>
                  </w:pPr>
                  <w:r>
                    <w:t xml:space="preserve">2 (15.38%)</w:t>
                  </w:r>
                </w:p>
              </w:tc>
              <w:tc>
                <w:tcPr/>
                <w:p>
                  <w:pPr>
                    <w:pStyle w:val="Compact"/>
                    <w:jc w:val="left"/>
                    <w:jc w:val="center"/>
                  </w:pPr>
                  <w:r>
                    <w:t xml:space="preserve">8 (11.11%)</w:t>
                  </w:r>
                </w:p>
              </w:tc>
              <w:tc>
                <w:tcPr/>
                <w:p>
                  <w:pPr>
                    <w:pStyle w:val="Compact"/>
                    <w:jc w:val="left"/>
                    <w:jc w:val="center"/>
                  </w:pPr>
                  <w:r>
                    <w:t xml:space="preserve">55 (32.54%)</w:t>
                  </w:r>
                </w:p>
              </w:tc>
              <w:tc>
                <w:tcPr/>
                <w:p>
                  <w:pPr>
                    <w:pStyle w:val="Compact"/>
                    <w:jc w:val="left"/>
                    <w:jc w:val="center"/>
                  </w:pPr>
                  <w:r>
                    <w:t xml:space="preserve">23 (26.74%)</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4 (33.33%)</w:t>
                  </w:r>
                </w:p>
              </w:tc>
              <w:tc>
                <w:tcPr/>
                <w:p>
                  <w:pPr>
                    <w:pStyle w:val="Compact"/>
                    <w:jc w:val="left"/>
                    <w:jc w:val="center"/>
                  </w:pPr>
                  <w:r>
                    <w:t xml:space="preserve">32 (15.31%)</w:t>
                  </w:r>
                </w:p>
              </w:tc>
              <w:tc>
                <w:tcPr/>
                <w:p>
                  <w:pPr>
                    <w:pStyle w:val="Compact"/>
                    <w:jc w:val="left"/>
                    <w:jc w:val="center"/>
                  </w:pPr>
                  <w:r>
                    <w:t xml:space="preserve">156 (20.37%)</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1 (0.91%)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3 (1.78%)</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7 (3.35%)</w:t>
                  </w:r>
                </w:p>
              </w:tc>
              <w:tc>
                <w:tcPr/>
                <w:p>
                  <w:pPr>
                    <w:pStyle w:val="Compact"/>
                    <w:jc w:val="left"/>
                    <w:jc w:val="center"/>
                  </w:pPr>
                  <w:r>
                    <w:t xml:space="preserve">14 (1.83%)</w:t>
                  </w:r>
                </w:p>
              </w:tc>
            </w:tr>
            <w:tr>
              <w:tc>
                <w:tcPr/>
                <w:p>
                  <w:pPr>
                    <w:pStyle w:val="Compact"/>
                    <w:jc w:val="left"/>
                    <w:jc w:val="center"/>
                  </w:pPr>
                  <w:r>
                    <w:t xml:space="preserve">Shatter</w:t>
                  </w:r>
                </w:p>
              </w:tc>
              <w:tc>
                <w:tcPr/>
                <w:p>
                  <w:pPr>
                    <w:pStyle w:val="Compact"/>
                    <w:jc w:val="left"/>
                    <w:jc w:val="center"/>
                  </w:pPr>
                  <w:r>
                    <w:t xml:space="preserve">12 (34.29%)</w:t>
                  </w:r>
                </w:p>
              </w:tc>
              <w:tc>
                <w:tcPr/>
                <w:p>
                  <w:pPr>
                    <w:pStyle w:val="Compact"/>
                    <w:jc w:val="left"/>
                    <w:jc w:val="center"/>
                  </w:pPr>
                  <w:r>
                    <w:t xml:space="preserve">7 (6.36%)</w:t>
                  </w:r>
                </w:p>
              </w:tc>
              <w:tc>
                <w:tcPr/>
                <w:p>
                  <w:pPr>
                    <w:pStyle w:val="Compact"/>
                    <w:jc w:val="left"/>
                    <w:jc w:val="center"/>
                  </w:pPr>
                  <w:r>
                    <w:t xml:space="preserve">2 (11.76%)</w:t>
                  </w:r>
                </w:p>
              </w:tc>
              <w:tc>
                <w:tcPr/>
                <w:p>
                  <w:pPr>
                    <w:pStyle w:val="Compact"/>
                    <w:jc w:val="left"/>
                    <w:jc w:val="center"/>
                  </w:pPr>
                  <w:r>
                    <w:t xml:space="preserve">3 (23.08%)</w:t>
                  </w:r>
                </w:p>
              </w:tc>
              <w:tc>
                <w:tcPr/>
                <w:p>
                  <w:pPr>
                    <w:pStyle w:val="Compact"/>
                    <w:jc w:val="left"/>
                    <w:jc w:val="center"/>
                  </w:pPr>
                  <w:r>
                    <w:t xml:space="preserve">10 (13.89%)</w:t>
                  </w:r>
                </w:p>
              </w:tc>
              <w:tc>
                <w:tcPr/>
                <w:p>
                  <w:pPr>
                    <w:pStyle w:val="Compact"/>
                    <w:jc w:val="left"/>
                    <w:jc w:val="center"/>
                  </w:pPr>
                  <w:r>
                    <w:t xml:space="preserve">21 (12.43%)</w:t>
                  </w:r>
                </w:p>
              </w:tc>
              <w:tc>
                <w:tcPr/>
                <w:p>
                  <w:pPr>
                    <w:pStyle w:val="Compact"/>
                    <w:jc w:val="left"/>
                    <w:jc w:val="center"/>
                  </w:pPr>
                  <w:r>
                    <w:t xml:space="preserve">10 (11.63%)</w:t>
                  </w:r>
                </w:p>
              </w:tc>
              <w:tc>
                <w:tcPr/>
                <w:p>
                  <w:pPr>
                    <w:pStyle w:val="Compact"/>
                    <w:jc w:val="left"/>
                    <w:jc w:val="center"/>
                  </w:pPr>
                  <w:r>
                    <w:t xml:space="preserve">0 (0.00%)</w:t>
                  </w:r>
                </w:p>
              </w:tc>
              <w:tc>
                <w:tcPr/>
                <w:p>
                  <w:pPr>
                    <w:pStyle w:val="Compact"/>
                    <w:jc w:val="left"/>
                    <w:jc w:val="center"/>
                  </w:pPr>
                  <w:r>
                    <w:t xml:space="preserve">7 (43.75%)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38 (18.18%)</w:t>
                  </w:r>
                </w:p>
              </w:tc>
              <w:tc>
                <w:tcPr/>
                <w:p>
                  <w:pPr>
                    <w:pStyle w:val="Compact"/>
                    <w:jc w:val="left"/>
                    <w:jc w:val="center"/>
                  </w:pPr>
                  <w:r>
                    <w:t xml:space="preserve">112 (14.62%)</w:t>
                  </w:r>
                </w:p>
              </w:tc>
            </w:tr>
            <w:tr>
              <w:tc>
                <w:tcPr/>
                <w:p>
                  <w:pPr>
                    <w:pStyle w:val="Compact"/>
                    <w:jc w:val="left"/>
                    <w:jc w:val="center"/>
                  </w:pPr>
                  <w:r>
                    <w:t xml:space="preserve">Total</w:t>
                  </w:r>
                </w:p>
              </w:tc>
              <w:tc>
                <w:tcPr/>
                <w:p>
                  <w:pPr>
                    <w:pStyle w:val="Compact"/>
                    <w:jc w:val="left"/>
                    <w:jc w:val="center"/>
                  </w:pPr>
                  <w:r>
                    <w:t xml:space="preserve">35 (100.00%)</w:t>
                  </w:r>
                </w:p>
              </w:tc>
              <w:tc>
                <w:tcPr/>
                <w:p>
                  <w:pPr>
                    <w:pStyle w:val="Compact"/>
                    <w:jc w:val="left"/>
                    <w:jc w:val="center"/>
                  </w:pPr>
                  <w:r>
                    <w:t xml:space="preserve">110 (100.00%)</w:t>
                  </w:r>
                </w:p>
              </w:tc>
              <w:tc>
                <w:tcPr/>
                <w:p>
                  <w:pPr>
                    <w:pStyle w:val="Compact"/>
                    <w:jc w:val="left"/>
                    <w:jc w:val="center"/>
                  </w:pPr>
                  <w:r>
                    <w:t xml:space="preserve">17 (100.00%)</w:t>
                  </w:r>
                </w:p>
              </w:tc>
              <w:tc>
                <w:tcPr/>
                <w:p>
                  <w:pPr>
                    <w:pStyle w:val="Compact"/>
                    <w:jc w:val="left"/>
                    <w:jc w:val="center"/>
                  </w:pPr>
                  <w:r>
                    <w:t xml:space="preserve">13 (100.00%)</w:t>
                  </w:r>
                </w:p>
              </w:tc>
              <w:tc>
                <w:tcPr/>
                <w:p>
                  <w:pPr>
                    <w:pStyle w:val="Compact"/>
                    <w:jc w:val="left"/>
                    <w:jc w:val="center"/>
                  </w:pPr>
                  <w:r>
                    <w:t xml:space="preserve">72 (100.00%)</w:t>
                  </w:r>
                </w:p>
              </w:tc>
              <w:tc>
                <w:tcPr/>
                <w:p>
                  <w:pPr>
                    <w:pStyle w:val="Compact"/>
                    <w:jc w:val="left"/>
                    <w:jc w:val="center"/>
                  </w:pPr>
                  <w:r>
                    <w:t xml:space="preserve">169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16 (100.00%)</w:t>
                  </w:r>
                </w:p>
              </w:tc>
              <w:tc>
                <w:tcPr/>
                <w:p>
                  <w:pPr>
                    <w:pStyle w:val="Compact"/>
                    <w:jc w:val="left"/>
                    <w:jc w:val="center"/>
                  </w:pPr>
                  <w:r>
                    <w:t xml:space="preserve">18 (100.00%)</w:t>
                  </w:r>
                </w:p>
              </w:tc>
              <w:tc>
                <w:tcPr/>
                <w:p>
                  <w:pPr>
                    <w:pStyle w:val="Compact"/>
                    <w:jc w:val="left"/>
                    <w:jc w:val="center"/>
                  </w:pPr>
                  <w:r>
                    <w:t xml:space="preserve">12 (100.00%)</w:t>
                  </w:r>
                </w:p>
              </w:tc>
              <w:tc>
                <w:tcPr/>
                <w:p>
                  <w:pPr>
                    <w:pStyle w:val="Compact"/>
                    <w:jc w:val="left"/>
                    <w:jc w:val="center"/>
                  </w:pPr>
                  <w:r>
                    <w:t xml:space="preserve">209 (100.00%)</w:t>
                  </w:r>
                </w:p>
              </w:tc>
              <w:tc>
                <w:tcPr/>
                <w:p>
                  <w:pPr>
                    <w:pStyle w:val="Compact"/>
                    <w:jc w:val="left"/>
                    <w:jc w:val="center"/>
                  </w:pPr>
                  <w:r>
                    <w:t xml:space="preserve">766 (100.00%)</w:t>
                  </w:r>
                </w:p>
              </w:tc>
            </w:tr>
          </w:tbl>
          <w:bookmarkEnd w:id="25"/>
          <w:p/>
        </w:tc>
      </w:tr>
    </w:tbl>
    <w:p>
      <w:pPr>
        <w:pStyle w:val="BodyText"/>
      </w:pPr>
      <w:r>
        <w:t xml:space="preserve">As seen in table **, 170 retouched tools were identified, with 22.9% (n=39) having an unidentified chert type. From the identified chert types, 24.1% of retouched tools are from local types and 52.9% from non-local cherts. Regarding typologies, 15 types of retouched tools were identified (excluding retouched tool fragments). All these typologies were found in the non-local chert group, while only 7 retouched tool typologies were identified in local cherts/chalcedony. The most common typologies identified in the assemblage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w:t>
      </w:r>
    </w:p>
    <w:tbl>
      <w:tblPr>
        <w:tblStyle w:val="Table"/>
        <w:tblW w:type="pct" w:w="5000"/>
        <w:tblLayout w:type="fixed"/>
        <w:tblLook w:firstRow="0" w:lastRow="0" w:firstColumn="0" w:lastColumn="0" w:noHBand="0" w:noVBand="0" w:val="0000"/>
      </w:tblPr>
      <w:tblGrid>
        <w:gridCol w:w="7920"/>
      </w:tblGrid>
      <w:tr>
        <w:tc>
          <w:tcPr/>
          <w:bookmarkStart w:id="26" w:name="tbl-retouch-gravettian"/>
          <w:p>
            <w:pPr>
              <w:jc w:val="center"/>
            </w:pPr>
            <w:pPr>
              <w:jc w:val="start"/>
              <w:spacing w:before="200"/>
              <w:pStyle w:val="ImageCaption"/>
            </w:pPr>
            <w:r>
              <w:t xml:space="preserve">Table 2: Number and percentage of retouched tools by raw material of the Gravettian assemblage (levels 6 and 7) of the Terrace area.</w:t>
            </w:r>
          </w:p>
          <w:tbl>
            <w:tblPr>
              <w:tblStyle w:val="Table"/>
              <w:tblW w:type="pct" w:w="5000"/>
              <w:tblLayout w:type="fixed"/>
              <w:tblLook w:firstRow="1" w:lastRow="0" w:firstColumn="0" w:lastColumn="0" w:noHBand="0" w:noVBand="0" w:val="0020"/>
            </w:tblPr>
            <w:tblGrid>
              <w:gridCol w:w="2996"/>
              <w:gridCol w:w="321"/>
              <w:gridCol w:w="321"/>
              <w:gridCol w:w="321"/>
              <w:gridCol w:w="321"/>
              <w:gridCol w:w="321"/>
              <w:gridCol w:w="321"/>
              <w:gridCol w:w="321"/>
              <w:gridCol w:w="321"/>
              <w:gridCol w:w="321"/>
              <w:gridCol w:w="428"/>
              <w:gridCol w:w="321"/>
              <w:gridCol w:w="642"/>
              <w:gridCol w:w="6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6</w:t>
                  </w:r>
                </w:p>
              </w:tc>
            </w:tr>
            <w:tr>
              <w:tc>
                <w:tcPr/>
                <w:p>
                  <w:pPr>
                    <w:pStyle w:val="Compact"/>
                    <w:jc w:val="left"/>
                    <w:jc w:val="center"/>
                  </w:pPr>
                  <w:r>
                    <w:t xml:space="preserve">Backed flake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Burin</w:t>
                  </w:r>
                </w:p>
              </w:tc>
              <w:tc>
                <w:tcPr/>
                <w:p>
                  <w:pPr>
                    <w:pStyle w:val="Compact"/>
                    <w:jc w:val="left"/>
                    <w:jc w:val="center"/>
                  </w:pPr>
                  <w:r>
                    <w:t xml:space="preserve">1</w:t>
                  </w:r>
                </w:p>
              </w:tc>
              <w:tc>
                <w:tcPr/>
                <w:p>
                  <w:pPr>
                    <w:pStyle w:val="Compact"/>
                    <w:jc w:val="left"/>
                    <w:jc w:val="center"/>
                  </w:pPr>
                  <w:r>
                    <w:t xml:space="preserve">8</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16</w:t>
                  </w:r>
                </w:p>
              </w:tc>
              <w:tc>
                <w:tcPr/>
                <w:p>
                  <w:pPr>
                    <w:pStyle w:val="Compact"/>
                    <w:jc w:val="left"/>
                    <w:jc w:val="center"/>
                  </w:pPr>
                  <w:r>
                    <w:t xml:space="preserve">9</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10</w:t>
                  </w:r>
                </w:p>
              </w:tc>
              <w:tc>
                <w:tcPr/>
                <w:p>
                  <w:pPr>
                    <w:pStyle w:val="Compact"/>
                    <w:jc w:val="right"/>
                    <w:jc w:val="center"/>
                  </w:pPr>
                  <w:r>
                    <w:t xml:space="preserve">52</w:t>
                  </w:r>
                </w:p>
              </w:tc>
            </w:tr>
            <w:tr>
              <w:tc>
                <w:tcPr/>
                <w:p>
                  <w:pPr>
                    <w:pStyle w:val="Compact"/>
                    <w:jc w:val="left"/>
                    <w:jc w:val="center"/>
                  </w:pPr>
                  <w:r>
                    <w:t xml:space="preserve">Carenated endscrapper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Endscrapper</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Endscrapper-burin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Notch</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13</w:t>
                  </w:r>
                </w:p>
              </w:tc>
            </w:tr>
            <w:tr>
              <w:tc>
                <w:tcPr/>
                <w:p>
                  <w:pPr>
                    <w:pStyle w:val="Compact"/>
                    <w:jc w:val="left"/>
                    <w:jc w:val="center"/>
                  </w:pPr>
                  <w:r>
                    <w:t xml:space="preserve">Perforator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4</w:t>
                  </w:r>
                </w:p>
              </w:tc>
            </w:tr>
            <w:tr>
              <w:tc>
                <w:tcPr/>
                <w:p>
                  <w:pPr>
                    <w:pStyle w:val="Compact"/>
                    <w:jc w:val="left"/>
                    <w:jc w:val="center"/>
                  </w:pPr>
                  <w:r>
                    <w:t xml:space="preserve">Retouched bladelet fragment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 spall</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4</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12</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6</w:t>
                  </w:r>
                </w:p>
              </w:tc>
              <w:tc>
                <w:tcPr/>
                <w:p>
                  <w:pPr>
                    <w:pStyle w:val="Compact"/>
                    <w:jc w:val="right"/>
                    <w:jc w:val="center"/>
                  </w:pPr>
                  <w:r>
                    <w:t xml:space="preserve">28</w:t>
                  </w:r>
                </w:p>
              </w:tc>
            </w:tr>
            <w:tr>
              <w:tc>
                <w:tcPr/>
                <w:p>
                  <w:pPr>
                    <w:pStyle w:val="Compact"/>
                    <w:jc w:val="left"/>
                    <w:jc w:val="center"/>
                  </w:pPr>
                  <w:r>
                    <w:t xml:space="preserve">Retouched flake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4</w:t>
                  </w:r>
                </w:p>
              </w:tc>
              <w:tc>
                <w:tcPr/>
                <w:p>
                  <w:pPr>
                    <w:pStyle w:val="Compact"/>
                    <w:jc w:val="right"/>
                    <w:jc w:val="center"/>
                  </w:pPr>
                  <w:r>
                    <w:t xml:space="preserve">6</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8</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4</w:t>
                  </w:r>
                </w:p>
              </w:tc>
              <w:tc>
                <w:tcPr/>
                <w:p>
                  <w:pPr>
                    <w:pStyle w:val="Compact"/>
                    <w:jc w:val="right"/>
                    <w:jc w:val="center"/>
                  </w:pPr>
                  <w:r>
                    <w:t xml:space="preserve">24</w:t>
                  </w:r>
                </w:p>
              </w:tc>
            </w:tr>
            <w:tr>
              <w:tc>
                <w:tcPr/>
                <w:p>
                  <w:pPr>
                    <w:pStyle w:val="Compact"/>
                    <w:jc w:val="left"/>
                    <w:jc w:val="center"/>
                  </w:pPr>
                  <w:r>
                    <w:t xml:space="preserve">Splintered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20</w:t>
                  </w:r>
                </w:p>
              </w:tc>
              <w:tc>
                <w:tcPr/>
                <w:p>
                  <w:pPr>
                    <w:pStyle w:val="Compact"/>
                    <w:jc w:val="left"/>
                    <w:jc w:val="center"/>
                  </w:pPr>
                  <w:r>
                    <w:t xml:space="preserve">4</w:t>
                  </w:r>
                </w:p>
              </w:tc>
              <w:tc>
                <w:tcPr/>
                <w:p>
                  <w:pPr>
                    <w:pStyle w:val="Compact"/>
                    <w:jc w:val="left"/>
                    <w:jc w:val="center"/>
                  </w:pPr>
                  <w:r>
                    <w:t xml:space="preserve">2</w:t>
                  </w:r>
                </w:p>
              </w:tc>
              <w:tc>
                <w:tcPr/>
                <w:p>
                  <w:pPr>
                    <w:pStyle w:val="Compact"/>
                    <w:jc w:val="left"/>
                    <w:jc w:val="center"/>
                  </w:pPr>
                  <w:r>
                    <w:t xml:space="preserve">9</w:t>
                  </w:r>
                </w:p>
              </w:tc>
              <w:tc>
                <w:tcPr/>
                <w:p>
                  <w:pPr>
                    <w:pStyle w:val="Compact"/>
                    <w:jc w:val="left"/>
                    <w:jc w:val="center"/>
                  </w:pPr>
                  <w:r>
                    <w:t xml:space="preserve">58</w:t>
                  </w:r>
                </w:p>
              </w:tc>
              <w:tc>
                <w:tcPr/>
                <w:p>
                  <w:pPr>
                    <w:pStyle w:val="Compact"/>
                    <w:jc w:val="left"/>
                    <w:jc w:val="center"/>
                  </w:pPr>
                  <w:r>
                    <w:t xml:space="preserve">24</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39</w:t>
                  </w:r>
                </w:p>
              </w:tc>
              <w:tc>
                <w:tcPr/>
                <w:p>
                  <w:pPr>
                    <w:pStyle w:val="Compact"/>
                    <w:jc w:val="right"/>
                    <w:jc w:val="center"/>
                  </w:pPr>
                  <w:r>
                    <w:t xml:space="preserve">170</w:t>
                  </w:r>
                </w:p>
              </w:tc>
            </w:tr>
          </w:tbl>
          <w:bookmarkEnd w:id="26"/>
          <w:p/>
        </w:tc>
      </w:tr>
    </w:tbl>
    <w:p>
      <w:pPr>
        <w:pStyle w:val="BodyText"/>
      </w:pPr>
      <w:r>
        <w:t xml:space="preserve">Regarding the sizes of the lithic artifacts (width, length and weight), blanks (flakes and elongated products) and retouched tools show little differences in the measurements of artefacts of local and non-local chert types. The only exception are T6 and T7 flakes, which show slightly lower weight means (~2.6-3.0 gr) and lower maximum length (~20-22 mm) than the other types. For cores, T2 shows bigger (heavier) values than T6 (means of 21.3 and 12.6, and maximum weight of 37.2 gr and 22.5 gr, respectively), even if they seem to vary in morphology, with little patterns regarding thickness, width and length.</w:t>
      </w:r>
    </w:p>
    <w:tbl>
      <w:tblPr>
        <w:tblStyle w:val="Table"/>
        <w:tblW w:type="pct" w:w="5000"/>
        <w:tblLayout w:type="fixed"/>
        <w:tblLook w:firstRow="0" w:lastRow="0" w:firstColumn="0" w:lastColumn="0" w:noHBand="0" w:noVBand="0" w:val="0000"/>
      </w:tblPr>
      <w:tblGrid>
        <w:gridCol w:w="7920"/>
      </w:tblGrid>
      <w:tr>
        <w:tc>
          <w:tcPr/>
          <w:bookmarkStart w:id="30" w:name="fig-gravettian-boxplots"/>
          <w:p>
            <w:pPr>
              <w:pStyle w:val="Compact"/>
              <w:jc w:val="center"/>
            </w:pPr>
            <w:r>
              <w:drawing>
                <wp:inline>
                  <wp:extent cx="5943600" cy="4754880"/>
                  <wp:effectExtent b="0" l="0" r="0" t="0"/>
                  <wp:docPr descr="" title="" id="28" name="Picture"/>
                  <a:graphic>
                    <a:graphicData uri="http://schemas.openxmlformats.org/drawingml/2006/picture">
                      <pic:pic>
                        <pic:nvPicPr>
                          <pic:cNvPr descr="paper_files/figure-docx/fig-gravettian-boxplot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Boxplots Solutrean</w:t>
            </w:r>
          </w:p>
          <w:bookmarkEnd w:id="30"/>
        </w:tc>
      </w:tr>
    </w:tbl>
    <w:p>
      <w:pPr>
        <w:pStyle w:val="BodyText"/>
      </w:pPr>
      <w:r>
        <w:t xml:space="preserve">As mentioned in the methodology, two different ratios were calculated: blank-to-core and tools-to-debitage. In general, non-local chert types show higher values for these ratios. Local types (T1 and T2) show lower ratios (&lt;4) of blanks to cores, although other local types (T3-T5) have no identified cores. The non-local types, especially T6 and T7 show higher ratios (~8) of blanks to cores. T1 to T5 show low ratios (0.25-0.5) of retouched to debitage, while TL and T6-T8 show higher ratios (0.9-1.0). The exception is T10 (non-local type), which shows a lower ratio (0.28), more akin to local cherts.</w:t>
      </w:r>
    </w:p>
    <w:tbl>
      <w:tblPr>
        <w:tblStyle w:val="Table"/>
        <w:tblW w:type="pct" w:w="5000"/>
        <w:tblLayout w:type="fixed"/>
        <w:tblLook w:firstRow="0" w:lastRow="0" w:firstColumn="0" w:lastColumn="0" w:noHBand="0" w:noVBand="0" w:val="0000"/>
      </w:tblPr>
      <w:tblGrid>
        <w:gridCol w:w="7920"/>
      </w:tblGrid>
      <w:tr>
        <w:tc>
          <w:tcPr/>
          <w:bookmarkStart w:id="34" w:name="fig-ratiobc"/>
          <w:p>
            <w:pPr>
              <w:pStyle w:val="Compact"/>
              <w:jc w:val="center"/>
            </w:pPr>
            <w:r>
              <w:drawing>
                <wp:inline>
                  <wp:extent cx="5943600" cy="4754880"/>
                  <wp:effectExtent b="0" l="0" r="0" t="0"/>
                  <wp:docPr descr="" title="" id="32" name="Picture"/>
                  <a:graphic>
                    <a:graphicData uri="http://schemas.openxmlformats.org/drawingml/2006/picture">
                      <pic:pic>
                        <pic:nvPicPr>
                          <pic:cNvPr descr="paper_files/figure-docx/fig-ratiobc-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4"/>
        </w:tc>
      </w:tr>
    </w:tbl>
    <w:tbl>
      <w:tblPr>
        <w:tblStyle w:val="Table"/>
        <w:tblW w:type="pct" w:w="5000"/>
        <w:tblLayout w:type="fixed"/>
        <w:tblLook w:firstRow="0" w:lastRow="0" w:firstColumn="0" w:lastColumn="0" w:noHBand="0" w:noVBand="0" w:val="0000"/>
      </w:tblPr>
      <w:tblGrid>
        <w:gridCol w:w="7920"/>
      </w:tblGrid>
      <w:tr>
        <w:tc>
          <w:tcPr/>
          <w:bookmarkStart w:id="38" w:name="fig-ratiotd"/>
          <w:p>
            <w:pPr>
              <w:pStyle w:val="Compact"/>
              <w:jc w:val="center"/>
            </w:pPr>
            <w:r>
              <w:drawing>
                <wp:inline>
                  <wp:extent cx="5943600" cy="4754880"/>
                  <wp:effectExtent b="0" l="0" r="0" t="0"/>
                  <wp:docPr descr="" title="" id="36" name="Picture"/>
                  <a:graphic>
                    <a:graphicData uri="http://schemas.openxmlformats.org/drawingml/2006/picture">
                      <pic:pic>
                        <pic:nvPicPr>
                          <pic:cNvPr descr="paper_files/figure-docx/fig-ratiotd-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8"/>
        </w:tc>
      </w:tr>
    </w:tbl>
    <w:bookmarkEnd w:id="39"/>
    <w:bookmarkStart w:id="46" w:name="Xdc9bfa082fbc374357b71b2ba253a89572bfd69"/>
    <w:p>
      <w:pPr>
        <w:pStyle w:val="Heading2"/>
      </w:pPr>
      <w:r>
        <w:t xml:space="preserve">Proto-Solutrean (levels 4E and top of level 5)</w:t>
      </w:r>
    </w:p>
    <w:p>
      <w:pPr>
        <w:pStyle w:val="FirstParagraph"/>
      </w:pPr>
      <w:r>
        <w:t xml:space="preserve">The final lithic sample from the Proto-Solutrean assemblage, consisting of the levels 4E and top of level 5, consists of 635 artifacts. When crossing the lithic class with chert type, we see that the local types show high frequency of blanks (&gt;50%, including blank fragments), followed by shatter (~11-27%), cores (~9-12%) and retouched tools (~5-15%). A single burin spall was identified in T4. There is also the absence of core preparation and maintenance products across all local cherts. T1 (chalcedony) is composed mostly of blanks and a retouched tool (Vale Comprido point). The absence of cores but presence of shatter may hint at the knapping of this raw material at the site, but the absence of formal cores perhaps due to the quality of nodules/lenses, which are characterised by fractures. For non-local types, especially those with higher number of artefacts (T6-T8), blanks and blank fragments are the most frequent class (48.3%, 53.1% and 69.2%, respectively). Retouched tools are present in smaller frequencies for the previous mentioned chert types (~17-23%). For T6 the absence of cores but the presence of shatter and a single core preparation and maintenance product suggests knapping on site. Similarly, T7 shows the presence of cores and core fragments (8.4%), shatter (17.0%) and a single core preparation and maintenance product. In comparison, T8, despite more limited in number (n=13), shows only one core, with the rest of the artefacts being blanks (as previously noted) or retouched tools (23.1% and n=3). Aside from the TL artefacts, all non-local cores show at least 1 core and frequently the presence of shatter. As expected, the TL artifacts include a blank and a retouched. However, a shatter was also identified.</w:t>
      </w:r>
      <w:r>
        <w:t xml:space="preserve"> </w:t>
      </w:r>
      <w:r>
        <w:t xml:space="preserve">In total, 65 chert retouched tools were identified, with 23.1% (n=15) having an unidentified chert type. A total of 26 retouched tools correspond to local cherts, while 23 correspond to non-local cherts.</w:t>
      </w:r>
    </w:p>
    <w:tbl>
      <w:tblPr>
        <w:tblStyle w:val="Table"/>
        <w:tblW w:type="pct" w:w="5000"/>
        <w:tblLayout w:type="fixed"/>
        <w:tblLook w:firstRow="0" w:lastRow="0" w:firstColumn="0" w:lastColumn="0" w:noHBand="0" w:noVBand="0" w:val="0000"/>
      </w:tblPr>
      <w:tblGrid>
        <w:gridCol w:w="7920"/>
      </w:tblGrid>
      <w:tr>
        <w:tc>
          <w:tcPr/>
          <w:bookmarkStart w:id="40" w:name="tbl-general-proto"/>
          <w:p>
            <w:pPr>
              <w:jc w:val="center"/>
            </w:pPr>
            <w:pPr>
              <w:jc w:val="start"/>
              <w:spacing w:before="200"/>
              <w:pStyle w:val="ImageCaption"/>
            </w:pPr>
            <w:r>
              <w:t xml:space="preserve">Table 3: Number and percentage of technotypological classes by raw material type from the Proto-Solutrean assemblage (levels 4E and top of level 5) of the Terrace area of Vale Boi.</w:t>
            </w:r>
          </w:p>
          <w:tbl>
            <w:tblPr>
              <w:tblStyle w:val="Table"/>
              <w:tblW w:type="pct" w:w="5000"/>
              <w:tblLayout w:type="fixed"/>
              <w:tblLook w:firstRow="1" w:lastRow="0" w:firstColumn="0" w:lastColumn="0" w:noHBand="0" w:noVBand="0" w:val="0020"/>
            </w:tblPr>
            <w:tblGrid>
              <w:gridCol w:w="800"/>
              <w:gridCol w:w="547"/>
              <w:gridCol w:w="547"/>
              <w:gridCol w:w="547"/>
              <w:gridCol w:w="589"/>
              <w:gridCol w:w="547"/>
              <w:gridCol w:w="547"/>
              <w:gridCol w:w="547"/>
              <w:gridCol w:w="547"/>
              <w:gridCol w:w="505"/>
              <w:gridCol w:w="505"/>
              <w:gridCol w:w="505"/>
              <w:gridCol w:w="589"/>
              <w:gridCol w:w="589"/>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16 (50.00%)</w:t>
                  </w:r>
                </w:p>
              </w:tc>
              <w:tc>
                <w:tcPr/>
                <w:p>
                  <w:pPr>
                    <w:pStyle w:val="Compact"/>
                    <w:jc w:val="left"/>
                    <w:jc w:val="center"/>
                  </w:pPr>
                  <w:r>
                    <w:t xml:space="preserve">29 (46.77%)</w:t>
                  </w:r>
                </w:p>
              </w:tc>
              <w:tc>
                <w:tcPr/>
                <w:p>
                  <w:pPr>
                    <w:pStyle w:val="Compact"/>
                    <w:jc w:val="left"/>
                    <w:jc w:val="center"/>
                  </w:pPr>
                  <w:r>
                    <w:t xml:space="preserve">14 (43.75%)</w:t>
                  </w:r>
                </w:p>
              </w:tc>
              <w:tc>
                <w:tcPr/>
                <w:p>
                  <w:pPr>
                    <w:pStyle w:val="Compact"/>
                    <w:jc w:val="left"/>
                    <w:jc w:val="center"/>
                  </w:pPr>
                  <w:r>
                    <w:t xml:space="preserve">72 (45.57%)</w:t>
                  </w:r>
                </w:p>
              </w:tc>
              <w:tc>
                <w:tcPr/>
                <w:p>
                  <w:pPr>
                    <w:pStyle w:val="Compact"/>
                    <w:jc w:val="left"/>
                    <w:jc w:val="center"/>
                  </w:pPr>
                  <w:r>
                    <w:t xml:space="preserve">23 (45.10%)</w:t>
                  </w:r>
                </w:p>
              </w:tc>
              <w:tc>
                <w:tcPr/>
                <w:p>
                  <w:pPr>
                    <w:pStyle w:val="Compact"/>
                    <w:jc w:val="left"/>
                    <w:jc w:val="center"/>
                  </w:pPr>
                  <w:r>
                    <w:t xml:space="preserve">23 (38.33%)</w:t>
                  </w:r>
                </w:p>
              </w:tc>
              <w:tc>
                <w:tcPr/>
                <w:p>
                  <w:pPr>
                    <w:pStyle w:val="Compact"/>
                    <w:jc w:val="left"/>
                    <w:jc w:val="center"/>
                  </w:pPr>
                  <w:r>
                    <w:t xml:space="preserve">19 (40.43%)</w:t>
                  </w:r>
                </w:p>
              </w:tc>
              <w:tc>
                <w:tcPr/>
                <w:p>
                  <w:pPr>
                    <w:pStyle w:val="Compact"/>
                    <w:jc w:val="left"/>
                    <w:jc w:val="center"/>
                  </w:pPr>
                  <w:r>
                    <w:t xml:space="preserve">6 (46.15%)</w:t>
                  </w:r>
                </w:p>
              </w:tc>
              <w:tc>
                <w:tcPr/>
                <w:p>
                  <w:pPr>
                    <w:pStyle w:val="Compact"/>
                    <w:jc w:val="left"/>
                    <w:jc w:val="center"/>
                  </w:pPr>
                  <w:r>
                    <w:t xml:space="preserve">1 (11.11%)</w:t>
                  </w:r>
                </w:p>
              </w:tc>
              <w:tc>
                <w:tcPr/>
                <w:p>
                  <w:pPr>
                    <w:pStyle w:val="Compact"/>
                    <w:jc w:val="left"/>
                    <w:jc w:val="center"/>
                  </w:pPr>
                  <w:r>
                    <w:t xml:space="preserve">1 (100.00%)</w:t>
                  </w:r>
                </w:p>
              </w:tc>
              <w:tc>
                <w:tcPr/>
                <w:p>
                  <w:pPr>
                    <w:pStyle w:val="Compact"/>
                    <w:jc w:val="left"/>
                    <w:jc w:val="center"/>
                  </w:pPr>
                  <w:r>
                    <w:t xml:space="preserve">1 (33.33%)</w:t>
                  </w:r>
                </w:p>
              </w:tc>
              <w:tc>
                <w:tcPr/>
                <w:p>
                  <w:pPr>
                    <w:pStyle w:val="Compact"/>
                    <w:jc w:val="left"/>
                    <w:jc w:val="center"/>
                  </w:pPr>
                  <w:r>
                    <w:t xml:space="preserve">70 (41.92%)</w:t>
                  </w:r>
                </w:p>
              </w:tc>
              <w:tc>
                <w:tcPr/>
                <w:p>
                  <w:pPr>
                    <w:pStyle w:val="Compact"/>
                    <w:jc w:val="left"/>
                    <w:jc w:val="center"/>
                  </w:pPr>
                  <w:r>
                    <w:t xml:space="preserve">275 (43.31%)</w:t>
                  </w:r>
                </w:p>
              </w:tc>
            </w:tr>
            <w:tr>
              <w:tc>
                <w:tcPr/>
                <w:p>
                  <w:pPr>
                    <w:pStyle w:val="Compact"/>
                    <w:jc w:val="left"/>
                    <w:jc w:val="center"/>
                  </w:pPr>
                  <w:r>
                    <w:t xml:space="preserve">BlankFrag</w:t>
                  </w:r>
                </w:p>
              </w:tc>
              <w:tc>
                <w:tcPr/>
                <w:p>
                  <w:pPr>
                    <w:pStyle w:val="Compact"/>
                    <w:jc w:val="left"/>
                    <w:jc w:val="center"/>
                  </w:pPr>
                  <w:r>
                    <w:t xml:space="preserve">5 (15.62%)</w:t>
                  </w:r>
                </w:p>
              </w:tc>
              <w:tc>
                <w:tcPr/>
                <w:p>
                  <w:pPr>
                    <w:pStyle w:val="Compact"/>
                    <w:jc w:val="left"/>
                    <w:jc w:val="center"/>
                  </w:pPr>
                  <w:r>
                    <w:t xml:space="preserve">10 (16.13%)</w:t>
                  </w:r>
                </w:p>
              </w:tc>
              <w:tc>
                <w:tcPr/>
                <w:p>
                  <w:pPr>
                    <w:pStyle w:val="Compact"/>
                    <w:jc w:val="left"/>
                    <w:jc w:val="center"/>
                  </w:pPr>
                  <w:r>
                    <w:t xml:space="preserve">5 (15.62%)</w:t>
                  </w:r>
                </w:p>
              </w:tc>
              <w:tc>
                <w:tcPr/>
                <w:p>
                  <w:pPr>
                    <w:pStyle w:val="Compact"/>
                    <w:jc w:val="left"/>
                    <w:jc w:val="center"/>
                  </w:pPr>
                  <w:r>
                    <w:t xml:space="preserve">20 (12.66%)</w:t>
                  </w:r>
                </w:p>
              </w:tc>
              <w:tc>
                <w:tcPr/>
                <w:p>
                  <w:pPr>
                    <w:pStyle w:val="Compact"/>
                    <w:jc w:val="left"/>
                    <w:jc w:val="center"/>
                  </w:pPr>
                  <w:r>
                    <w:t xml:space="preserve">4 (7.84%)</w:t>
                  </w:r>
                </w:p>
              </w:tc>
              <w:tc>
                <w:tcPr/>
                <w:p>
                  <w:pPr>
                    <w:pStyle w:val="Compact"/>
                    <w:jc w:val="left"/>
                    <w:jc w:val="center"/>
                  </w:pPr>
                  <w:r>
                    <w:t xml:space="preserve">6 (10.00%)</w:t>
                  </w:r>
                </w:p>
              </w:tc>
              <w:tc>
                <w:tcPr/>
                <w:p>
                  <w:pPr>
                    <w:pStyle w:val="Compact"/>
                    <w:jc w:val="left"/>
                    <w:jc w:val="center"/>
                  </w:pPr>
                  <w:r>
                    <w:t xml:space="preserve">6 (12.77%)</w:t>
                  </w:r>
                </w:p>
              </w:tc>
              <w:tc>
                <w:tcPr/>
                <w:p>
                  <w:pPr>
                    <w:pStyle w:val="Compact"/>
                    <w:jc w:val="left"/>
                    <w:jc w:val="center"/>
                  </w:pPr>
                  <w:r>
                    <w:t xml:space="preserve">3 (23.08%)</w:t>
                  </w:r>
                </w:p>
              </w:tc>
              <w:tc>
                <w:tcPr/>
                <w:p>
                  <w:pPr>
                    <w:pStyle w:val="Compact"/>
                    <w:jc w:val="left"/>
                    <w:jc w:val="center"/>
                  </w:pPr>
                  <w:r>
                    <w:t xml:space="preserve">2 (22.22%)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30 (17.96%)</w:t>
                  </w:r>
                </w:p>
              </w:tc>
              <w:tc>
                <w:tcPr/>
                <w:p>
                  <w:pPr>
                    <w:pStyle w:val="Compact"/>
                    <w:jc w:val="left"/>
                    <w:jc w:val="center"/>
                  </w:pPr>
                  <w:r>
                    <w:t xml:space="preserve">91 (14.33%)</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(0.16%)</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4 (6.45%)</w:t>
                  </w:r>
                </w:p>
              </w:tc>
              <w:tc>
                <w:tcPr/>
                <w:p>
                  <w:pPr>
                    <w:pStyle w:val="Compact"/>
                    <w:jc w:val="left"/>
                    <w:jc w:val="center"/>
                  </w:pPr>
                  <w:r>
                    <w:t xml:space="preserve">5 (15.62%)</w:t>
                  </w:r>
                </w:p>
              </w:tc>
              <w:tc>
                <w:tcPr/>
                <w:p>
                  <w:pPr>
                    <w:pStyle w:val="Compact"/>
                    <w:jc w:val="left"/>
                    <w:jc w:val="center"/>
                  </w:pPr>
                  <w:r>
                    <w:t xml:space="preserve">13 (8.23%)</w:t>
                  </w:r>
                </w:p>
              </w:tc>
              <w:tc>
                <w:tcPr/>
                <w:p>
                  <w:pPr>
                    <w:pStyle w:val="Compact"/>
                    <w:jc w:val="left"/>
                    <w:jc w:val="center"/>
                  </w:pPr>
                  <w:r>
                    <w:t xml:space="preserve">6 (11.76%)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1 (7.69%)</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(2.40%)</w:t>
                  </w:r>
                </w:p>
              </w:tc>
              <w:tc>
                <w:tcPr/>
                <w:p>
                  <w:pPr>
                    <w:pStyle w:val="Compact"/>
                    <w:jc w:val="left"/>
                    <w:jc w:val="center"/>
                  </w:pPr>
                  <w:r>
                    <w:t xml:space="preserve">36 (5.67%)</w:t>
                  </w:r>
                </w:p>
              </w:tc>
            </w:tr>
            <w:tr>
              <w:tc>
                <w:tcPr/>
                <w:p>
                  <w:pPr>
                    <w:pStyle w:val="Compact"/>
                    <w:jc w:val="left"/>
                    <w:jc w:val="center"/>
                  </w:pPr>
                  <w:r>
                    <w:t xml:space="preserve">CoreFrag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1 (1.96%)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(0.94%)</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1 (2.13%)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4 (0.63%)</w:t>
                  </w:r>
                </w:p>
              </w:tc>
            </w:tr>
            <w:tr>
              <w:tc>
                <w:tcPr/>
                <w:p>
                  <w:pPr>
                    <w:pStyle w:val="Compact"/>
                    <w:jc w:val="left"/>
                    <w:jc w:val="center"/>
                  </w:pPr>
                  <w:r>
                    <w:t xml:space="preserve">RetouchedPiece</w:t>
                  </w:r>
                </w:p>
              </w:tc>
              <w:tc>
                <w:tcPr/>
                <w:p>
                  <w:pPr>
                    <w:pStyle w:val="Compact"/>
                    <w:jc w:val="left"/>
                    <w:jc w:val="center"/>
                  </w:pPr>
                  <w:r>
                    <w:t xml:space="preserve">1 (3.12%)</w:t>
                  </w:r>
                </w:p>
              </w:tc>
              <w:tc>
                <w:tcPr/>
                <w:p>
                  <w:pPr>
                    <w:pStyle w:val="Compact"/>
                    <w:jc w:val="left"/>
                    <w:jc w:val="center"/>
                  </w:pPr>
                  <w:r>
                    <w:t xml:space="preserve">8 (12.90%)</w:t>
                  </w:r>
                </w:p>
              </w:tc>
              <w:tc>
                <w:tcPr/>
                <w:p>
                  <w:pPr>
                    <w:pStyle w:val="Compact"/>
                    <w:jc w:val="left"/>
                    <w:jc w:val="center"/>
                  </w:pPr>
                  <w:r>
                    <w:t xml:space="preserve">2 (6.25%)</w:t>
                  </w:r>
                </w:p>
              </w:tc>
              <w:tc>
                <w:tcPr/>
                <w:p>
                  <w:pPr>
                    <w:pStyle w:val="Compact"/>
                    <w:jc w:val="left"/>
                    <w:jc w:val="center"/>
                  </w:pPr>
                  <w:r>
                    <w:t xml:space="preserve">7 (4.43%)</w:t>
                  </w:r>
                </w:p>
              </w:tc>
              <w:tc>
                <w:tcPr/>
                <w:p>
                  <w:pPr>
                    <w:pStyle w:val="Compact"/>
                    <w:jc w:val="left"/>
                    <w:jc w:val="center"/>
                  </w:pPr>
                  <w:r>
                    <w:t xml:space="preserve">5 (9.80%)</w:t>
                  </w:r>
                </w:p>
              </w:tc>
              <w:tc>
                <w:tcPr/>
                <w:p>
                  <w:pPr>
                    <w:pStyle w:val="Compact"/>
                    <w:jc w:val="left"/>
                    <w:jc w:val="center"/>
                  </w:pPr>
                  <w:r>
                    <w:t xml:space="preserve">9 (15.00%)</w:t>
                  </w:r>
                </w:p>
              </w:tc>
              <w:tc>
                <w:tcPr/>
                <w:p>
                  <w:pPr>
                    <w:pStyle w:val="Compact"/>
                    <w:jc w:val="left"/>
                    <w:jc w:val="center"/>
                  </w:pPr>
                  <w:r>
                    <w:t xml:space="preserve">9 (19.15%)</w:t>
                  </w:r>
                </w:p>
              </w:tc>
              <w:tc>
                <w:tcPr/>
                <w:p>
                  <w:pPr>
                    <w:pStyle w:val="Compact"/>
                    <w:jc w:val="left"/>
                    <w:jc w:val="center"/>
                  </w:pPr>
                  <w:r>
                    <w:t xml:space="preserve">3 (23.08%)</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13 (7.78%)</w:t>
                  </w:r>
                </w:p>
              </w:tc>
              <w:tc>
                <w:tcPr/>
                <w:p>
                  <w:pPr>
                    <w:pStyle w:val="Compact"/>
                    <w:jc w:val="left"/>
                    <w:jc w:val="center"/>
                  </w:pPr>
                  <w:r>
                    <w:t xml:space="preserve">59 (9.29%)</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6 (0.94%)</w:t>
                  </w:r>
                </w:p>
              </w:tc>
            </w:tr>
            <w:tr>
              <w:tc>
                <w:tcPr/>
                <w:p>
                  <w:pPr>
                    <w:pStyle w:val="Compact"/>
                    <w:jc w:val="left"/>
                    <w:jc w:val="center"/>
                  </w:pPr>
                  <w:r>
                    <w:t xml:space="preserve">Shatter</w:t>
                  </w:r>
                </w:p>
              </w:tc>
              <w:tc>
                <w:tcPr/>
                <w:p>
                  <w:pPr>
                    <w:pStyle w:val="Compact"/>
                    <w:jc w:val="left"/>
                    <w:jc w:val="center"/>
                  </w:pPr>
                  <w:r>
                    <w:t xml:space="preserve">10 (31.25%)</w:t>
                  </w:r>
                </w:p>
              </w:tc>
              <w:tc>
                <w:tcPr/>
                <w:p>
                  <w:pPr>
                    <w:pStyle w:val="Compact"/>
                    <w:jc w:val="left"/>
                    <w:jc w:val="center"/>
                  </w:pPr>
                  <w:r>
                    <w:t xml:space="preserve">7 (11.29%)</w:t>
                  </w:r>
                </w:p>
              </w:tc>
              <w:tc>
                <w:tcPr/>
                <w:p>
                  <w:pPr>
                    <w:pStyle w:val="Compact"/>
                    <w:jc w:val="left"/>
                    <w:jc w:val="center"/>
                  </w:pPr>
                  <w:r>
                    <w:t xml:space="preserve">6 (18.75%)</w:t>
                  </w:r>
                </w:p>
              </w:tc>
              <w:tc>
                <w:tcPr/>
                <w:p>
                  <w:pPr>
                    <w:pStyle w:val="Compact"/>
                    <w:jc w:val="left"/>
                    <w:jc w:val="center"/>
                  </w:pPr>
                  <w:r>
                    <w:t xml:space="preserve">43 (27.22%)</w:t>
                  </w:r>
                </w:p>
              </w:tc>
              <w:tc>
                <w:tcPr/>
                <w:p>
                  <w:pPr>
                    <w:pStyle w:val="Compact"/>
                    <w:jc w:val="left"/>
                    <w:jc w:val="center"/>
                  </w:pPr>
                  <w:r>
                    <w:t xml:space="preserve">12 (23.53%)</w:t>
                  </w:r>
                </w:p>
              </w:tc>
              <w:tc>
                <w:tcPr/>
                <w:p>
                  <w:pPr>
                    <w:pStyle w:val="Compact"/>
                    <w:jc w:val="left"/>
                    <w:jc w:val="center"/>
                  </w:pPr>
                  <w:r>
                    <w:t xml:space="preserve">20 (33.33%)</w:t>
                  </w:r>
                </w:p>
              </w:tc>
              <w:tc>
                <w:tcPr/>
                <w:p>
                  <w:pPr>
                    <w:pStyle w:val="Compact"/>
                    <w:jc w:val="left"/>
                    <w:jc w:val="center"/>
                  </w:pPr>
                  <w:r>
                    <w:t xml:space="preserve">8 (17.02%)</w:t>
                  </w:r>
                </w:p>
              </w:tc>
              <w:tc>
                <w:tcPr/>
                <w:p>
                  <w:pPr>
                    <w:pStyle w:val="Compact"/>
                    <w:jc w:val="left"/>
                    <w:jc w:val="center"/>
                  </w:pPr>
                  <w:r>
                    <w:t xml:space="preserve">0 (0.00%)</w:t>
                  </w:r>
                </w:p>
              </w:tc>
              <w:tc>
                <w:tcPr/>
                <w:p>
                  <w:pPr>
                    <w:pStyle w:val="Compact"/>
                    <w:jc w:val="left"/>
                    <w:jc w:val="center"/>
                  </w:pPr>
                  <w:r>
                    <w:t xml:space="preserve">4 (44.44%)</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46 (27.54%)</w:t>
                  </w:r>
                </w:p>
              </w:tc>
              <w:tc>
                <w:tcPr/>
                <w:p>
                  <w:pPr>
                    <w:pStyle w:val="Compact"/>
                    <w:jc w:val="left"/>
                    <w:jc w:val="center"/>
                  </w:pPr>
                  <w:r>
                    <w:t xml:space="preserve">157 (24.72%)</w:t>
                  </w:r>
                </w:p>
              </w:tc>
            </w:tr>
            <w:tr>
              <w:tc>
                <w:tcPr/>
                <w:p>
                  <w:pPr>
                    <w:pStyle w:val="Compact"/>
                    <w:jc w:val="left"/>
                    <w:jc w:val="center"/>
                  </w:pPr>
                  <w:r>
                    <w:t xml:space="preserve">Total</w:t>
                  </w:r>
                </w:p>
              </w:tc>
              <w:tc>
                <w:tcPr/>
                <w:p>
                  <w:pPr>
                    <w:pStyle w:val="Compact"/>
                    <w:jc w:val="left"/>
                    <w:jc w:val="center"/>
                  </w:pPr>
                  <w:r>
                    <w:t xml:space="preserve">32 (100.00%)</w:t>
                  </w:r>
                </w:p>
              </w:tc>
              <w:tc>
                <w:tcPr/>
                <w:p>
                  <w:pPr>
                    <w:pStyle w:val="Compact"/>
                    <w:jc w:val="left"/>
                    <w:jc w:val="center"/>
                  </w:pPr>
                  <w:r>
                    <w:t xml:space="preserve">62 (100.00%)</w:t>
                  </w:r>
                </w:p>
              </w:tc>
              <w:tc>
                <w:tcPr/>
                <w:p>
                  <w:pPr>
                    <w:pStyle w:val="Compact"/>
                    <w:jc w:val="left"/>
                    <w:jc w:val="center"/>
                  </w:pPr>
                  <w:r>
                    <w:t xml:space="preserve">32 (100.00%)</w:t>
                  </w:r>
                </w:p>
              </w:tc>
              <w:tc>
                <w:tcPr/>
                <w:p>
                  <w:pPr>
                    <w:pStyle w:val="Compact"/>
                    <w:jc w:val="left"/>
                    <w:jc w:val="center"/>
                  </w:pPr>
                  <w:r>
                    <w:t xml:space="preserve">158 (100.00%)</w:t>
                  </w:r>
                </w:p>
              </w:tc>
              <w:tc>
                <w:tcPr/>
                <w:p>
                  <w:pPr>
                    <w:pStyle w:val="Compact"/>
                    <w:jc w:val="left"/>
                    <w:jc w:val="center"/>
                  </w:pPr>
                  <w:r>
                    <w:t xml:space="preserve">51 (100.00%)</w:t>
                  </w:r>
                </w:p>
              </w:tc>
              <w:tc>
                <w:tcPr/>
                <w:p>
                  <w:pPr>
                    <w:pStyle w:val="Compact"/>
                    <w:jc w:val="left"/>
                    <w:jc w:val="center"/>
                  </w:pPr>
                  <w:r>
                    <w:t xml:space="preserve">60 (100.00%)</w:t>
                  </w:r>
                </w:p>
              </w:tc>
              <w:tc>
                <w:tcPr/>
                <w:p>
                  <w:pPr>
                    <w:pStyle w:val="Compact"/>
                    <w:jc w:val="left"/>
                    <w:jc w:val="center"/>
                  </w:pPr>
                  <w:r>
                    <w:t xml:space="preserve">47 (100.00%)</w:t>
                  </w:r>
                </w:p>
              </w:tc>
              <w:tc>
                <w:tcPr/>
                <w:p>
                  <w:pPr>
                    <w:pStyle w:val="Compact"/>
                    <w:jc w:val="left"/>
                    <w:jc w:val="center"/>
                  </w:pPr>
                  <w:r>
                    <w:t xml:space="preserve">13 (100.00%)</w:t>
                  </w:r>
                </w:p>
              </w:tc>
              <w:tc>
                <w:tcPr/>
                <w:p>
                  <w:pPr>
                    <w:pStyle w:val="Compact"/>
                    <w:jc w:val="left"/>
                    <w:jc w:val="center"/>
                  </w:pPr>
                  <w:r>
                    <w:t xml:space="preserve">9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167 (100.00%)</w:t>
                  </w:r>
                </w:p>
              </w:tc>
              <w:tc>
                <w:tcPr/>
                <w:p>
                  <w:pPr>
                    <w:pStyle w:val="Compact"/>
                    <w:jc w:val="left"/>
                    <w:jc w:val="center"/>
                  </w:pPr>
                  <w:r>
                    <w:t xml:space="preserve">635 (100.00%)</w:t>
                  </w:r>
                </w:p>
              </w:tc>
            </w:tr>
          </w:tbl>
          <w:bookmarkEnd w:id="40"/>
          <w:p/>
        </w:tc>
      </w:tr>
    </w:tbl>
    <w:p>
      <w:pPr>
        <w:pStyle w:val="BodyText"/>
      </w:pPr>
      <w:r>
        <w:t xml:space="preserve">Regarding the typology, 14 different types of retouched tools were identified. Endscrappers (26.2%), splintered pieces (17%), burins (12.3%) and retouched flakes (7.7%) were the most prevalent. Vale Comprido points, the Proto-Solutrean fossil director, are barely present in chalcedony and chert (n=1), as they are mostly present in dolerite, while chert was mainly used for other tools as seen in previous studies (Belmiro et al., 2021). Regarding the types of chalcedony and chert,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tbl>
      <w:tblPr>
        <w:tblStyle w:val="Table"/>
        <w:tblW w:type="pct" w:w="5000"/>
        <w:tblLayout w:type="fixed"/>
        <w:tblLook w:firstRow="0" w:lastRow="0" w:firstColumn="0" w:lastColumn="0" w:noHBand="0" w:noVBand="0" w:val="0000"/>
      </w:tblPr>
      <w:tblGrid>
        <w:gridCol w:w="7920"/>
      </w:tblGrid>
      <w:tr>
        <w:tc>
          <w:tcPr/>
          <w:bookmarkStart w:id="41" w:name="tbl-retouch-proto"/>
          <w:p>
            <w:pPr>
              <w:jc w:val="center"/>
            </w:pPr>
            <w:pPr>
              <w:jc w:val="start"/>
              <w:spacing w:before="200"/>
              <w:pStyle w:val="ImageCaption"/>
            </w:pPr>
            <w:r>
              <w:t xml:space="preserve">Table 4: Number and percentage of retouched tools by raw material of the Proto-Solutrean assemblage (levels 4E and top of level 5) of the Terrace area.</w:t>
            </w:r>
          </w:p>
          <w:tbl>
            <w:tblPr>
              <w:tblStyle w:val="Table"/>
              <w:tblW w:type="pct" w:w="5000"/>
              <w:tblLayout w:type="fixed"/>
              <w:tblLook w:firstRow="1" w:lastRow="0" w:firstColumn="0" w:lastColumn="0" w:noHBand="0" w:noVBand="0" w:val="0020"/>
            </w:tblPr>
            <w:tblGrid>
              <w:gridCol w:w="2722"/>
              <w:gridCol w:w="371"/>
              <w:gridCol w:w="371"/>
              <w:gridCol w:w="371"/>
              <w:gridCol w:w="371"/>
              <w:gridCol w:w="371"/>
              <w:gridCol w:w="371"/>
              <w:gridCol w:w="371"/>
              <w:gridCol w:w="371"/>
              <w:gridCol w:w="371"/>
              <w:gridCol w:w="371"/>
              <w:gridCol w:w="742"/>
              <w:gridCol w:w="7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Burin</w:t>
                  </w: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8</w:t>
                  </w:r>
                </w:p>
              </w:tc>
            </w:tr>
            <w:tr>
              <w:tc>
                <w:tcPr/>
                <w:p>
                  <w:pPr>
                    <w:pStyle w:val="Compact"/>
                    <w:jc w:val="left"/>
                    <w:jc w:val="center"/>
                  </w:pPr>
                  <w:r>
                    <w:t xml:space="preserve">Carenated 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Endscraper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Notch</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3</w:t>
                  </w:r>
                </w:p>
              </w:tc>
            </w:tr>
            <w:tr>
              <w:tc>
                <w:tcPr/>
                <w:p>
                  <w:pPr>
                    <w:pStyle w:val="Compact"/>
                    <w:jc w:val="left"/>
                    <w:jc w:val="center"/>
                  </w:pPr>
                  <w:r>
                    <w:t xml:space="preserve">Perforator-endscraper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7</w:t>
                  </w:r>
                </w:p>
              </w:tc>
            </w:tr>
            <w:tr>
              <w:tc>
                <w:tcPr/>
                <w:p>
                  <w:pPr>
                    <w:pStyle w:val="Compact"/>
                    <w:jc w:val="left"/>
                    <w:jc w:val="center"/>
                  </w:pPr>
                  <w:r>
                    <w:t xml:space="preserve">Solutrean retouch</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11</w:t>
                  </w:r>
                </w:p>
              </w:tc>
            </w:tr>
            <w:tr>
              <w:tc>
                <w:tcPr/>
                <w:p>
                  <w:pPr>
                    <w:pStyle w:val="Compact"/>
                    <w:jc w:val="left"/>
                    <w:jc w:val="center"/>
                  </w:pPr>
                  <w:r>
                    <w:t xml:space="preserve">Truncation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Vale Comprido Point</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1</w:t>
                  </w:r>
                </w:p>
              </w:tc>
              <w:tc>
                <w:tcPr/>
                <w:p>
                  <w:pPr>
                    <w:pStyle w:val="Compact"/>
                    <w:jc w:val="left"/>
                    <w:jc w:val="center"/>
                  </w:pPr>
                  <w:r>
                    <w:t xml:space="preserve">10</w:t>
                  </w:r>
                </w:p>
              </w:tc>
              <w:tc>
                <w:tcPr/>
                <w:p>
                  <w:pPr>
                    <w:pStyle w:val="Compact"/>
                    <w:jc w:val="left"/>
                    <w:jc w:val="center"/>
                  </w:pPr>
                  <w:r>
                    <w:t xml:space="preserve">2</w:t>
                  </w:r>
                </w:p>
              </w:tc>
              <w:tc>
                <w:tcPr/>
                <w:p>
                  <w:pPr>
                    <w:pStyle w:val="Compact"/>
                    <w:jc w:val="left"/>
                    <w:jc w:val="center"/>
                  </w:pPr>
                  <w:r>
                    <w:t xml:space="preserve">8</w:t>
                  </w:r>
                </w:p>
              </w:tc>
              <w:tc>
                <w:tcPr/>
                <w:p>
                  <w:pPr>
                    <w:pStyle w:val="Compact"/>
                    <w:jc w:val="left"/>
                    <w:jc w:val="center"/>
                  </w:pPr>
                  <w:r>
                    <w:t xml:space="preserve">5</w:t>
                  </w:r>
                </w:p>
              </w:tc>
              <w:tc>
                <w:tcPr/>
                <w:p>
                  <w:pPr>
                    <w:pStyle w:val="Compact"/>
                    <w:jc w:val="left"/>
                    <w:jc w:val="center"/>
                  </w:pPr>
                  <w:r>
                    <w:t xml:space="preserve">10</w:t>
                  </w:r>
                </w:p>
              </w:tc>
              <w:tc>
                <w:tcPr/>
                <w:p>
                  <w:pPr>
                    <w:pStyle w:val="Compact"/>
                    <w:jc w:val="left"/>
                    <w:jc w:val="center"/>
                  </w:pPr>
                  <w:r>
                    <w:t xml:space="preserve">9</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15</w:t>
                  </w:r>
                </w:p>
              </w:tc>
              <w:tc>
                <w:tcPr/>
                <w:p>
                  <w:pPr>
                    <w:pStyle w:val="Compact"/>
                    <w:jc w:val="right"/>
                    <w:jc w:val="center"/>
                  </w:pPr>
                  <w:r>
                    <w:t xml:space="preserve">65</w:t>
                  </w:r>
                </w:p>
              </w:tc>
            </w:tr>
          </w:tbl>
          <w:bookmarkEnd w:id="41"/>
          <w:p/>
        </w:tc>
      </w:tr>
    </w:tbl>
    <w:p>
      <w:pPr>
        <w:pStyle w:val="BodyText"/>
      </w:pPr>
      <w:r>
        <w:t xml:space="preserve">Regarding the debitage, cores and tool sizes, flakes show slightly higher means in local cherts (~21-22 mm for length and 3.5-4.5 gr for weight), in comparison to non-local cherts, especially T6-T8 (~19-20 mm for length and 1.3-2.6 gr in weight), with exception of chalcedony which shows consistently low sizes (21.8 mm for length and 2.8 gr for weight). Elongated blank however, show no differences between local and non-local chert types. In retouched tools, weight also shows smaller means for non-local cherts (~3-2 gr), although with higher standard deviation (~1.6). Regarding cores, the sample size for non-local cherts is small and only T7 statistics could be obtained. Despite this, when compared to local cherts (T2-T5), T7 cores show smaller mean and maximum values (7.3 gr and 8 gr, respectively).</w:t>
      </w:r>
    </w:p>
    <w:tbl>
      <w:tblPr>
        <w:tblStyle w:val="Table"/>
        <w:tblW w:type="pct" w:w="5000"/>
        <w:tblLayout w:type="fixed"/>
        <w:tblLook w:firstRow="0" w:lastRow="0" w:firstColumn="0" w:lastColumn="0" w:noHBand="0" w:noVBand="0" w:val="0000"/>
      </w:tblPr>
      <w:tblGrid>
        <w:gridCol w:w="7920"/>
      </w:tblGrid>
      <w:tr>
        <w:tc>
          <w:tcPr/>
          <w:bookmarkStart w:id="45" w:name="fig-proto-boxplots"/>
          <w:p>
            <w:pPr>
              <w:pStyle w:val="Compact"/>
              <w:jc w:val="center"/>
            </w:pPr>
            <w:r>
              <w:drawing>
                <wp:inline>
                  <wp:extent cx="5943600" cy="4754880"/>
                  <wp:effectExtent b="0" l="0" r="0" t="0"/>
                  <wp:docPr descr="" title="" id="43" name="Picture"/>
                  <a:graphic>
                    <a:graphicData uri="http://schemas.openxmlformats.org/drawingml/2006/picture">
                      <pic:pic>
                        <pic:nvPicPr>
                          <pic:cNvPr descr="paper_files/figure-docx/fig-proto-boxplots-1.png" id="44"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45"/>
        </w:tc>
      </w:tr>
    </w:tbl>
    <w:p>
      <w:pPr>
        <w:pStyle w:val="BodyText"/>
      </w:pPr>
      <w:r>
        <w:t xml:space="preserve">Similar to the Gravettian, non-local cherts seem to show the highest values in the calculated blank-to-core and tool-to-debitage ratios. T2 and T4 show the lowest ratios (8.7 and 6.2 respectively) of blanks per cores, while the non-local T7 shows the highest ratios (11.0) of blanks to cores. Unlike the Gravettian, T1 (local chalcedony) and T6 (non-local chert) have no cores. The lowest ratio of retouched to debitage is seen in T1 and T4, with values below 0.1, while other local types show slightly higher values (0.1-0.2). Following the same trend as the Gravettian, the non-local cherts show slightly higher ratios (0.3-0.5) of retouched to debitage.</w:t>
      </w:r>
    </w:p>
    <w:bookmarkEnd w:id="46"/>
    <w:bookmarkStart w:id="53" w:name="solutrean-levels-a-to-c"/>
    <w:p>
      <w:pPr>
        <w:pStyle w:val="Heading2"/>
      </w:pPr>
      <w:r>
        <w:t xml:space="preserve">Solutrean (levels A to C)</w:t>
      </w:r>
    </w:p>
    <w:p>
      <w:pPr>
        <w:pStyle w:val="FirstParagraph"/>
      </w:pPr>
      <w:r>
        <w:t xml:space="preserve">The Solutrean assemblages show similar patterns to those observed in previous assemblages. The final sample from levels A, B and C from the Solutrean occupations of the Shelter area consists of 914 artifacts. When crossing the class data with type of raw material, we see that local chert, especially T2 (n=506) which accounts for the majority of local chert present in the studied samples, the majority of the debitage is composed of flakes and elongated blanks (83.9%). Cores are also present (10.5%), alongside a small percentage of core preparation and maintenance products (1.3%). In comparison to debitage products, retouched tools are scarce in the sample (~3%). The non-local cherts most present in the Solutrean of the Shelter area are T6 (n=86) and T8 (n=30). These show similar patterns to the local cherts, with high percentages of blanks (&gt;50%). Cores and core preparation and maintenance are also present in small percentages (~3-6% and 3.5% only for T6, respectively), as well as retouched tools (&lt;10%). However, these specific results are truncated by the lack of shatter, which were not present in the sample used for the study (see Materials and Methods section). It is important to notice, however, that alike previous results from the Solutrean assemblages of the Terrace area, a large portion of the studied sample was altered and did not allow for a chert type attribution (21.9912473%).</w:t>
      </w:r>
    </w:p>
    <w:tbl>
      <w:tblPr>
        <w:tblStyle w:val="Table"/>
        <w:tblW w:type="pct" w:w="5000"/>
        <w:tblLayout w:type="fixed"/>
        <w:tblLook w:firstRow="0" w:lastRow="0" w:firstColumn="0" w:lastColumn="0" w:noHBand="0" w:noVBand="0" w:val="0000"/>
      </w:tblPr>
      <w:tblGrid>
        <w:gridCol w:w="7920"/>
      </w:tblGrid>
      <w:tr>
        <w:tc>
          <w:tcPr/>
          <w:bookmarkStart w:id="47" w:name="tbl-general-solutrean"/>
          <w:p>
            <w:pPr>
              <w:jc w:val="center"/>
            </w:pPr>
            <w:pPr>
              <w:jc w:val="start"/>
              <w:spacing w:before="200"/>
              <w:pStyle w:val="ImageCaption"/>
            </w:pPr>
            <w:r>
              <w:t xml:space="preserve">Table 5: Number and percentage of technotypological classes by raw material type from the Solutrean assemblage (levels A to C) of the Shelter area of Vale Boi.</w:t>
            </w:r>
          </w:p>
          <w:tbl>
            <w:tblPr>
              <w:tblStyle w:val="Table"/>
              <w:tblW w:type="pct" w:w="5000"/>
              <w:tblLayout w:type="fixed"/>
              <w:tblLook w:firstRow="1" w:lastRow="0" w:firstColumn="0" w:lastColumn="0" w:noHBand="0" w:noVBand="0" w:val="0020"/>
            </w:tblPr>
            <w:tblGrid>
              <w:gridCol w:w="965"/>
              <w:gridCol w:w="502"/>
              <w:gridCol w:w="540"/>
              <w:gridCol w:w="463"/>
              <w:gridCol w:w="502"/>
              <w:gridCol w:w="502"/>
              <w:gridCol w:w="502"/>
              <w:gridCol w:w="463"/>
              <w:gridCol w:w="502"/>
              <w:gridCol w:w="463"/>
              <w:gridCol w:w="463"/>
              <w:gridCol w:w="502"/>
              <w:gridCol w:w="463"/>
              <w:gridCol w:w="540"/>
              <w:gridCol w:w="54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TYPE 11</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1 (0.20%)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(0.11%)</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52 (10.28%)</w:t>
                  </w:r>
                </w:p>
              </w:tc>
              <w:tc>
                <w:tcPr/>
                <w:p>
                  <w:pPr>
                    <w:pStyle w:val="Compact"/>
                    <w:jc w:val="left"/>
                    <w:jc w:val="center"/>
                  </w:pPr>
                  <w:r>
                    <w:t xml:space="preserve">0 (0.00%)</w:t>
                  </w:r>
                </w:p>
              </w:tc>
              <w:tc>
                <w:tcPr/>
                <w:p>
                  <w:pPr>
                    <w:pStyle w:val="Compact"/>
                    <w:jc w:val="left"/>
                    <w:jc w:val="center"/>
                  </w:pPr>
                  <w:r>
                    <w:t xml:space="preserve">2 (20.00%)</w:t>
                  </w:r>
                </w:p>
              </w:tc>
              <w:tc>
                <w:tcPr/>
                <w:p>
                  <w:pPr>
                    <w:pStyle w:val="Compact"/>
                    <w:jc w:val="left"/>
                    <w:jc w:val="center"/>
                  </w:pPr>
                  <w:r>
                    <w:t xml:space="preserve">7 (23.33%)</w:t>
                  </w:r>
                </w:p>
              </w:tc>
              <w:tc>
                <w:tcPr/>
                <w:p>
                  <w:pPr>
                    <w:pStyle w:val="Compact"/>
                    <w:jc w:val="left"/>
                    <w:jc w:val="center"/>
                  </w:pPr>
                  <w:r>
                    <w:t xml:space="preserve">6 (6.98%)</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6 (2.99%)</w:t>
                  </w:r>
                </w:p>
              </w:tc>
              <w:tc>
                <w:tcPr/>
                <w:p>
                  <w:pPr>
                    <w:pStyle w:val="Compact"/>
                    <w:jc w:val="left"/>
                    <w:jc w:val="center"/>
                  </w:pPr>
                  <w:r>
                    <w:t xml:space="preserve">76 (8.32%)</w:t>
                  </w:r>
                </w:p>
              </w:tc>
            </w:tr>
            <w:tr>
              <w:tc>
                <w:tcPr/>
                <w:p>
                  <w:pPr>
                    <w:pStyle w:val="Compact"/>
                    <w:jc w:val="left"/>
                    <w:jc w:val="center"/>
                  </w:pPr>
                  <w:r>
                    <w:t xml:space="preserve">Core fragment</w:t>
                  </w:r>
                </w:p>
              </w:tc>
              <w:tc>
                <w:tcPr/>
                <w:p>
                  <w:pPr>
                    <w:pStyle w:val="Compact"/>
                    <w:jc w:val="left"/>
                    <w:jc w:val="center"/>
                  </w:pPr>
                  <w:r>
                    <w:t xml:space="preserve">0 (0.00%)</w:t>
                  </w:r>
                </w:p>
              </w:tc>
              <w:tc>
                <w:tcPr/>
                <w:p>
                  <w:pPr>
                    <w:pStyle w:val="Compact"/>
                    <w:jc w:val="left"/>
                    <w:jc w:val="center"/>
                  </w:pPr>
                  <w:r>
                    <w:t xml:space="preserve">2 (0.40%)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(0.33%)</w:t>
                  </w:r>
                </w:p>
              </w:tc>
            </w:tr>
            <w:tr>
              <w:tc>
                <w:tcPr/>
                <w:p>
                  <w:pPr>
                    <w:pStyle w:val="Compact"/>
                    <w:jc w:val="left"/>
                    <w:jc w:val="center"/>
                  </w:pPr>
                  <w:r>
                    <w:t xml:space="preserve">CorePrepProd</w:t>
                  </w:r>
                </w:p>
              </w:tc>
              <w:tc>
                <w:tcPr/>
                <w:p>
                  <w:pPr>
                    <w:pStyle w:val="Compact"/>
                    <w:jc w:val="left"/>
                    <w:jc w:val="center"/>
                  </w:pPr>
                  <w:r>
                    <w:t xml:space="preserve">0 (0.00%)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10 (1.09%)</w:t>
                  </w:r>
                </w:p>
              </w:tc>
            </w:tr>
            <w:tr>
              <w:tc>
                <w:tcPr/>
                <w:p>
                  <w:pPr>
                    <w:pStyle w:val="Compact"/>
                    <w:jc w:val="left"/>
                    <w:jc w:val="center"/>
                  </w:pPr>
                  <w:r>
                    <w:t xml:space="preserve">ElongBlank</w:t>
                  </w:r>
                </w:p>
              </w:tc>
              <w:tc>
                <w:tcPr/>
                <w:p>
                  <w:pPr>
                    <w:pStyle w:val="Compact"/>
                    <w:jc w:val="left"/>
                    <w:jc w:val="center"/>
                  </w:pPr>
                  <w:r>
                    <w:t xml:space="preserve">1 (6.25%)</w:t>
                  </w:r>
                </w:p>
              </w:tc>
              <w:tc>
                <w:tcPr/>
                <w:p>
                  <w:pPr>
                    <w:pStyle w:val="Compact"/>
                    <w:jc w:val="left"/>
                    <w:jc w:val="center"/>
                  </w:pPr>
                  <w:r>
                    <w:t xml:space="preserve">90 (17.79%)</w:t>
                  </w:r>
                </w:p>
              </w:tc>
              <w:tc>
                <w:tcPr/>
                <w:p>
                  <w:pPr>
                    <w:pStyle w:val="Compact"/>
                    <w:jc w:val="left"/>
                    <w:jc w:val="center"/>
                  </w:pPr>
                  <w:r>
                    <w:t xml:space="preserve">1 (25.00%)</w:t>
                  </w:r>
                </w:p>
              </w:tc>
              <w:tc>
                <w:tcPr/>
                <w:p>
                  <w:pPr>
                    <w:pStyle w:val="Compact"/>
                    <w:jc w:val="left"/>
                    <w:jc w:val="center"/>
                  </w:pPr>
                  <w:r>
                    <w:t xml:space="preserve">1 (10.00%)</w:t>
                  </w:r>
                </w:p>
              </w:tc>
              <w:tc>
                <w:tcPr/>
                <w:p>
                  <w:pPr>
                    <w:pStyle w:val="Compact"/>
                    <w:jc w:val="left"/>
                    <w:jc w:val="center"/>
                  </w:pPr>
                  <w:r>
                    <w:t xml:space="preserve">5 (16.67%)</w:t>
                  </w:r>
                </w:p>
              </w:tc>
              <w:tc>
                <w:tcPr/>
                <w:p>
                  <w:pPr>
                    <w:pStyle w:val="Compact"/>
                    <w:jc w:val="left"/>
                    <w:jc w:val="center"/>
                  </w:pPr>
                  <w:r>
                    <w:t xml:space="preserve">7 (8.14%)</w:t>
                  </w:r>
                </w:p>
              </w:tc>
              <w:tc>
                <w:tcPr/>
                <w:p>
                  <w:pPr>
                    <w:pStyle w:val="Compact"/>
                    <w:jc w:val="left"/>
                    <w:jc w:val="center"/>
                  </w:pPr>
                  <w:r>
                    <w:t xml:space="preserve">2 (22.22%)</w:t>
                  </w:r>
                </w:p>
              </w:tc>
              <w:tc>
                <w:tcPr/>
                <w:p>
                  <w:pPr>
                    <w:pStyle w:val="Compact"/>
                    <w:jc w:val="left"/>
                    <w:jc w:val="center"/>
                  </w:pPr>
                  <w:r>
                    <w:t xml:space="preserve">5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15 (7.46%)</w:t>
                  </w:r>
                </w:p>
              </w:tc>
              <w:tc>
                <w:tcPr/>
                <w:p>
                  <w:pPr>
                    <w:pStyle w:val="Compact"/>
                    <w:jc w:val="left"/>
                    <w:jc w:val="center"/>
                  </w:pPr>
                  <w:r>
                    <w:t xml:space="preserve">128 (14.00%)</w:t>
                  </w:r>
                </w:p>
              </w:tc>
            </w:tr>
            <w:tr>
              <w:tc>
                <w:tcPr/>
                <w:p>
                  <w:pPr>
                    <w:pStyle w:val="Compact"/>
                    <w:jc w:val="left"/>
                    <w:jc w:val="center"/>
                  </w:pPr>
                  <w:r>
                    <w:t xml:space="preserve">ElongBlankFrag</w:t>
                  </w:r>
                </w:p>
              </w:tc>
              <w:tc>
                <w:tcPr/>
                <w:p>
                  <w:pPr>
                    <w:pStyle w:val="Compact"/>
                    <w:jc w:val="left"/>
                    <w:jc w:val="center"/>
                  </w:pPr>
                  <w:r>
                    <w:t xml:space="preserve">1 (6.25%)</w:t>
                  </w:r>
                </w:p>
              </w:tc>
              <w:tc>
                <w:tcPr/>
                <w:p>
                  <w:pPr>
                    <w:pStyle w:val="Compact"/>
                    <w:jc w:val="left"/>
                    <w:jc w:val="center"/>
                  </w:pPr>
                  <w:r>
                    <w:t xml:space="preserve">54 (10.67%)</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2 (6.67%)</w:t>
                  </w:r>
                </w:p>
              </w:tc>
              <w:tc>
                <w:tcPr/>
                <w:p>
                  <w:pPr>
                    <w:pStyle w:val="Compact"/>
                    <w:jc w:val="left"/>
                    <w:jc w:val="center"/>
                  </w:pPr>
                  <w:r>
                    <w:t xml:space="preserve">5 (5.81%)</w:t>
                  </w:r>
                </w:p>
              </w:tc>
              <w:tc>
                <w:tcPr/>
                <w:p>
                  <w:pPr>
                    <w:pStyle w:val="Compact"/>
                    <w:jc w:val="left"/>
                    <w:jc w:val="center"/>
                  </w:pPr>
                  <w:r>
                    <w:t xml:space="preserve">2 (22.22%)</w:t>
                  </w:r>
                </w:p>
              </w:tc>
              <w:tc>
                <w:tcPr/>
                <w:p>
                  <w:pPr>
                    <w:pStyle w:val="Compact"/>
                    <w:jc w:val="left"/>
                    <w:jc w:val="center"/>
                  </w:pPr>
                  <w:r>
                    <w:t xml:space="preserve">2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23 (11.44%)</w:t>
                  </w:r>
                </w:p>
              </w:tc>
              <w:tc>
                <w:tcPr/>
                <w:p>
                  <w:pPr>
                    <w:pStyle w:val="Compact"/>
                    <w:jc w:val="left"/>
                    <w:jc w:val="center"/>
                  </w:pPr>
                  <w:r>
                    <w:t xml:space="preserve">91 (9.96%)</w:t>
                  </w:r>
                </w:p>
              </w:tc>
            </w:tr>
            <w:tr>
              <w:tc>
                <w:tcPr/>
                <w:p>
                  <w:pPr>
                    <w:pStyle w:val="Compact"/>
                    <w:jc w:val="left"/>
                    <w:jc w:val="center"/>
                  </w:pPr>
                  <w:r>
                    <w:t xml:space="preserve">Flake</w:t>
                  </w:r>
                </w:p>
              </w:tc>
              <w:tc>
                <w:tcPr/>
                <w:p>
                  <w:pPr>
                    <w:pStyle w:val="Compact"/>
                    <w:jc w:val="left"/>
                    <w:jc w:val="center"/>
                  </w:pPr>
                  <w:r>
                    <w:t xml:space="preserve">10 (62.50%)</w:t>
                  </w:r>
                </w:p>
              </w:tc>
              <w:tc>
                <w:tcPr/>
                <w:p>
                  <w:pPr>
                    <w:pStyle w:val="Compact"/>
                    <w:jc w:val="left"/>
                    <w:jc w:val="center"/>
                  </w:pPr>
                  <w:r>
                    <w:t xml:space="preserve">213 (42.09%)</w:t>
                  </w:r>
                </w:p>
              </w:tc>
              <w:tc>
                <w:tcPr/>
                <w:p>
                  <w:pPr>
                    <w:pStyle w:val="Compact"/>
                    <w:jc w:val="left"/>
                    <w:jc w:val="center"/>
                  </w:pPr>
                  <w:r>
                    <w:t xml:space="preserve">2 (50.00%)</w:t>
                  </w:r>
                </w:p>
              </w:tc>
              <w:tc>
                <w:tcPr/>
                <w:p>
                  <w:pPr>
                    <w:pStyle w:val="Compact"/>
                    <w:jc w:val="left"/>
                    <w:jc w:val="center"/>
                  </w:pPr>
                  <w:r>
                    <w:t xml:space="preserve">6 (60.00%)</w:t>
                  </w:r>
                </w:p>
              </w:tc>
              <w:tc>
                <w:tcPr/>
                <w:p>
                  <w:pPr>
                    <w:pStyle w:val="Compact"/>
                    <w:jc w:val="left"/>
                    <w:jc w:val="center"/>
                  </w:pPr>
                  <w:r>
                    <w:t xml:space="preserve">9 (30.00%)</w:t>
                  </w:r>
                </w:p>
              </w:tc>
              <w:tc>
                <w:tcPr/>
                <w:p>
                  <w:pPr>
                    <w:pStyle w:val="Compact"/>
                    <w:jc w:val="left"/>
                    <w:jc w:val="center"/>
                  </w:pPr>
                  <w:r>
                    <w:t xml:space="preserve">41 (47.67%)</w:t>
                  </w:r>
                </w:p>
              </w:tc>
              <w:tc>
                <w:tcPr/>
                <w:p>
                  <w:pPr>
                    <w:pStyle w:val="Compact"/>
                    <w:jc w:val="left"/>
                    <w:jc w:val="center"/>
                  </w:pPr>
                  <w:r>
                    <w:t xml:space="preserve">2 (22.22%)</w:t>
                  </w:r>
                </w:p>
              </w:tc>
              <w:tc>
                <w:tcPr/>
                <w:p>
                  <w:pPr>
                    <w:pStyle w:val="Compact"/>
                    <w:jc w:val="left"/>
                    <w:jc w:val="center"/>
                  </w:pPr>
                  <w:r>
                    <w:t xml:space="preserve">14 (46.67%)</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7 (41.18%)</w:t>
                  </w:r>
                </w:p>
              </w:tc>
              <w:tc>
                <w:tcPr/>
                <w:p>
                  <w:pPr>
                    <w:pStyle w:val="Compact"/>
                    <w:jc w:val="left"/>
                    <w:jc w:val="center"/>
                  </w:pPr>
                  <w:r>
                    <w:t xml:space="preserve">1 (100.00%)</w:t>
                  </w:r>
                </w:p>
              </w:tc>
              <w:tc>
                <w:tcPr/>
                <w:p>
                  <w:pPr>
                    <w:pStyle w:val="Compact"/>
                    <w:jc w:val="left"/>
                    <w:jc w:val="center"/>
                  </w:pPr>
                  <w:r>
                    <w:t xml:space="preserve">87 (43.28%)</w:t>
                  </w:r>
                </w:p>
              </w:tc>
              <w:tc>
                <w:tcPr/>
                <w:p>
                  <w:pPr>
                    <w:pStyle w:val="Compact"/>
                    <w:jc w:val="left"/>
                    <w:jc w:val="center"/>
                  </w:pPr>
                  <w:r>
                    <w:t xml:space="preserve">393 (43.00%)</w:t>
                  </w:r>
                </w:p>
              </w:tc>
            </w:tr>
            <w:tr>
              <w:tc>
                <w:tcPr/>
                <w:p>
                  <w:pPr>
                    <w:pStyle w:val="Compact"/>
                    <w:jc w:val="left"/>
                    <w:jc w:val="center"/>
                  </w:pPr>
                  <w:r>
                    <w:t xml:space="preserve">FlakeFrag</w:t>
                  </w:r>
                </w:p>
              </w:tc>
              <w:tc>
                <w:tcPr/>
                <w:p>
                  <w:pPr>
                    <w:pStyle w:val="Compact"/>
                    <w:jc w:val="left"/>
                    <w:jc w:val="center"/>
                  </w:pPr>
                  <w:r>
                    <w:t xml:space="preserve">1 (6.25%)</w:t>
                  </w:r>
                </w:p>
              </w:tc>
              <w:tc>
                <w:tcPr/>
                <w:p>
                  <w:pPr>
                    <w:pStyle w:val="Compact"/>
                    <w:jc w:val="left"/>
                    <w:jc w:val="center"/>
                  </w:pPr>
                  <w:r>
                    <w:t xml:space="preserve">68 (13.44%)</w:t>
                  </w:r>
                </w:p>
              </w:tc>
              <w:tc>
                <w:tcPr/>
                <w:p>
                  <w:pPr>
                    <w:pStyle w:val="Compact"/>
                    <w:jc w:val="left"/>
                    <w:jc w:val="center"/>
                  </w:pPr>
                  <w:r>
                    <w:t xml:space="preserve">1 (25.00%)</w:t>
                  </w:r>
                </w:p>
              </w:tc>
              <w:tc>
                <w:tcPr/>
                <w:p>
                  <w:pPr>
                    <w:pStyle w:val="Compact"/>
                    <w:jc w:val="left"/>
                    <w:jc w:val="center"/>
                  </w:pPr>
                  <w:r>
                    <w:t xml:space="preserve">0 (0.00%)</w:t>
                  </w:r>
                </w:p>
              </w:tc>
              <w:tc>
                <w:tcPr/>
                <w:p>
                  <w:pPr>
                    <w:pStyle w:val="Compact"/>
                    <w:jc w:val="left"/>
                    <w:jc w:val="center"/>
                  </w:pPr>
                  <w:r>
                    <w:t xml:space="preserve">5 (16.67%)</w:t>
                  </w:r>
                </w:p>
              </w:tc>
              <w:tc>
                <w:tcPr/>
                <w:p>
                  <w:pPr>
                    <w:pStyle w:val="Compact"/>
                    <w:jc w:val="left"/>
                    <w:jc w:val="center"/>
                  </w:pPr>
                  <w:r>
                    <w:t xml:space="preserve">16 (18.60%)</w:t>
                  </w:r>
                </w:p>
              </w:tc>
              <w:tc>
                <w:tcPr/>
                <w:p>
                  <w:pPr>
                    <w:pStyle w:val="Compact"/>
                    <w:jc w:val="left"/>
                    <w:jc w:val="center"/>
                  </w:pPr>
                  <w:r>
                    <w:t xml:space="preserve">2 (22.22%)</w:t>
                  </w:r>
                </w:p>
              </w:tc>
              <w:tc>
                <w:tcPr/>
                <w:p>
                  <w:pPr>
                    <w:pStyle w:val="Compact"/>
                    <w:jc w:val="left"/>
                    <w:jc w:val="center"/>
                  </w:pPr>
                  <w:r>
                    <w:t xml:space="preserve">3 (10.00%)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44 (21.89%)</w:t>
                  </w:r>
                </w:p>
              </w:tc>
              <w:tc>
                <w:tcPr/>
                <w:p>
                  <w:pPr>
                    <w:pStyle w:val="Compact"/>
                    <w:jc w:val="left"/>
                    <w:jc w:val="center"/>
                  </w:pPr>
                  <w:r>
                    <w:t xml:space="preserve">144 (15.75%)</w:t>
                  </w:r>
                </w:p>
              </w:tc>
            </w:tr>
            <w:tr>
              <w:tc>
                <w:tcPr/>
                <w:p>
                  <w:pPr>
                    <w:pStyle w:val="Compact"/>
                    <w:jc w:val="left"/>
                    <w:jc w:val="center"/>
                  </w:pPr>
                  <w:r>
                    <w:t xml:space="preserve">Retouched piece</w:t>
                  </w:r>
                </w:p>
              </w:tc>
              <w:tc>
                <w:tcPr/>
                <w:p>
                  <w:pPr>
                    <w:pStyle w:val="Compact"/>
                    <w:jc w:val="left"/>
                    <w:jc w:val="center"/>
                  </w:pPr>
                  <w:r>
                    <w:t xml:space="preserve">2 (12.50%)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6 (6.98%)</w:t>
                  </w:r>
                </w:p>
              </w:tc>
              <w:tc>
                <w:tcPr/>
                <w:p>
                  <w:pPr>
                    <w:pStyle w:val="Compact"/>
                    <w:jc w:val="left"/>
                    <w:jc w:val="center"/>
                  </w:pPr>
                  <w:r>
                    <w:t xml:space="preserve">1 (11.11%)</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12 (5.97%)</w:t>
                  </w:r>
                </w:p>
              </w:tc>
              <w:tc>
                <w:tcPr/>
                <w:p>
                  <w:pPr>
                    <w:pStyle w:val="Compact"/>
                    <w:jc w:val="left"/>
                    <w:jc w:val="center"/>
                  </w:pPr>
                  <w:r>
                    <w:t xml:space="preserve">33 (3.61%)</w:t>
                  </w:r>
                </w:p>
              </w:tc>
            </w:tr>
            <w:tr>
              <w:tc>
                <w:tcPr/>
                <w:p>
                  <w:pPr>
                    <w:pStyle w:val="Compact"/>
                    <w:jc w:val="left"/>
                    <w:jc w:val="center"/>
                  </w:pPr>
                  <w:r>
                    <w:t xml:space="preserve">Retouched piece fragment</w:t>
                  </w:r>
                </w:p>
              </w:tc>
              <w:tc>
                <w:tcPr/>
                <w:p>
                  <w:pPr>
                    <w:pStyle w:val="Compact"/>
                    <w:jc w:val="left"/>
                    <w:jc w:val="center"/>
                  </w:pPr>
                  <w:r>
                    <w:t xml:space="preserve">1 (6.25%)</w:t>
                  </w:r>
                </w:p>
              </w:tc>
              <w:tc>
                <w:tcPr/>
                <w:p>
                  <w:pPr>
                    <w:pStyle w:val="Compact"/>
                    <w:jc w:val="left"/>
                    <w:jc w:val="center"/>
                  </w:pPr>
                  <w:r>
                    <w:t xml:space="preserve">8 (1.58%)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(1.99%)</w:t>
                  </w:r>
                </w:p>
              </w:tc>
              <w:tc>
                <w:tcPr/>
                <w:p>
                  <w:pPr>
                    <w:pStyle w:val="Compact"/>
                    <w:jc w:val="left"/>
                    <w:jc w:val="center"/>
                  </w:pPr>
                  <w:r>
                    <w:t xml:space="preserve">15 (1.64%)</w:t>
                  </w:r>
                </w:p>
              </w:tc>
            </w:tr>
            <w:tr>
              <w:tc>
                <w:tcPr/>
                <w:p>
                  <w:pPr>
                    <w:pStyle w:val="Compact"/>
                    <w:jc w:val="left"/>
                    <w:jc w:val="center"/>
                  </w:pPr>
                  <w:r>
                    <w:t xml:space="preserve">Thinning flake</w:t>
                  </w:r>
                </w:p>
              </w:tc>
              <w:tc>
                <w:tcPr/>
                <w:p>
                  <w:pPr>
                    <w:pStyle w:val="Compact"/>
                    <w:jc w:val="left"/>
                    <w:jc w:val="center"/>
                  </w:pPr>
                  <w:r>
                    <w:t xml:space="preserve">0 (0.00%)</w:t>
                  </w:r>
                </w:p>
              </w:tc>
              <w:tc>
                <w:tcPr/>
                <w:p>
                  <w:pPr>
                    <w:pStyle w:val="Compact"/>
                    <w:jc w:val="left"/>
                    <w:jc w:val="center"/>
                  </w:pPr>
                  <w:r>
                    <w:t xml:space="preserve">4 (0.79%)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3 (10.00%)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10 (4.98%)</w:t>
                  </w:r>
                </w:p>
              </w:tc>
              <w:tc>
                <w:tcPr/>
                <w:p>
                  <w:pPr>
                    <w:pStyle w:val="Compact"/>
                    <w:jc w:val="left"/>
                    <w:jc w:val="center"/>
                  </w:pPr>
                  <w:r>
                    <w:t xml:space="preserve">20 (2.19%)</w:t>
                  </w:r>
                </w:p>
              </w:tc>
            </w:tr>
            <w:tr>
              <w:tc>
                <w:tcPr/>
                <w:p>
                  <w:pPr>
                    <w:pStyle w:val="Compact"/>
                    <w:jc w:val="left"/>
                    <w:jc w:val="center"/>
                  </w:pPr>
                  <w:r>
                    <w:t xml:space="preserve">Total</w:t>
                  </w:r>
                </w:p>
              </w:tc>
              <w:tc>
                <w:tcPr/>
                <w:p>
                  <w:pPr>
                    <w:pStyle w:val="Compact"/>
                    <w:jc w:val="left"/>
                    <w:jc w:val="center"/>
                  </w:pPr>
                  <w:r>
                    <w:t xml:space="preserve">16 (100.00%)</w:t>
                  </w:r>
                </w:p>
              </w:tc>
              <w:tc>
                <w:tcPr/>
                <w:p>
                  <w:pPr>
                    <w:pStyle w:val="Compact"/>
                    <w:jc w:val="left"/>
                    <w:jc w:val="center"/>
                  </w:pPr>
                  <w:r>
                    <w:t xml:space="preserve">506 (100.00%)</w:t>
                  </w:r>
                </w:p>
              </w:tc>
              <w:tc>
                <w:tcPr/>
                <w:p>
                  <w:pPr>
                    <w:pStyle w:val="Compact"/>
                    <w:jc w:val="left"/>
                    <w:jc w:val="center"/>
                  </w:pPr>
                  <w:r>
                    <w:t xml:space="preserve">4 (100.00%)</w:t>
                  </w:r>
                </w:p>
              </w:tc>
              <w:tc>
                <w:tcPr/>
                <w:p>
                  <w:pPr>
                    <w:pStyle w:val="Compact"/>
                    <w:jc w:val="left"/>
                    <w:jc w:val="center"/>
                  </w:pPr>
                  <w:r>
                    <w:t xml:space="preserve">10 (100.00%)</w:t>
                  </w:r>
                </w:p>
              </w:tc>
              <w:tc>
                <w:tcPr/>
                <w:p>
                  <w:pPr>
                    <w:pStyle w:val="Compact"/>
                    <w:jc w:val="left"/>
                    <w:jc w:val="center"/>
                  </w:pPr>
                  <w:r>
                    <w:t xml:space="preserve">30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30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17 (100.00%)</w:t>
                  </w:r>
                </w:p>
              </w:tc>
              <w:tc>
                <w:tcPr/>
                <w:p>
                  <w:pPr>
                    <w:pStyle w:val="Compact"/>
                    <w:jc w:val="left"/>
                    <w:jc w:val="center"/>
                  </w:pPr>
                  <w:r>
                    <w:t xml:space="preserve">1 (100.00%)</w:t>
                  </w:r>
                </w:p>
              </w:tc>
              <w:tc>
                <w:tcPr/>
                <w:p>
                  <w:pPr>
                    <w:pStyle w:val="Compact"/>
                    <w:jc w:val="left"/>
                    <w:jc w:val="center"/>
                  </w:pPr>
                  <w:r>
                    <w:t xml:space="preserve">201 (100.00%)</w:t>
                  </w:r>
                </w:p>
              </w:tc>
              <w:tc>
                <w:tcPr/>
                <w:p>
                  <w:pPr>
                    <w:pStyle w:val="Compact"/>
                    <w:jc w:val="left"/>
                    <w:jc w:val="center"/>
                  </w:pPr>
                  <w:r>
                    <w:t xml:space="preserve">914 (100.00%)</w:t>
                  </w:r>
                </w:p>
              </w:tc>
            </w:tr>
          </w:tbl>
          <w:bookmarkEnd w:id="47"/>
          <w:p/>
        </w:tc>
      </w:tr>
    </w:tbl>
    <w:p>
      <w:pPr>
        <w:pStyle w:val="BodyText"/>
      </w:pPr>
      <w:r>
        <w:t xml:space="preserve">The analysed Solutrean sample has a total of 43 retouched tools (complete and fragments), with a high variety of retouched tools (11), ranging from 5 (11.6%) to 4 (9.3%) per tool type. These results however, are significantly reduced from the original dataset (Cascalheira et al., 2013), possibly due to no bucket coordinates being used. The typologies which are most frequently present in the studied sample are bifacial blanks and bifacial fragments, amounting to a total of 23.2% of products related to bifacial tool/point production. Two types of points were identified: shouldered points (2 complete and 1 fragment, amounting to a total of 6.9%) and tanged and 4 winged points (9.3%). Other frequent retouched typologies are end scrappers (9.3%), notches (11.6%), retouched blanks (~14%) and splintered pieces (11.6%). Regarding chert type, a substantial portion of retouched tools are of unidentified chert types (n=13), mostly due to alterations (fire and post depositional). Most retouched tools with identified chert are local (n=13, accounting to 30.2325581%), followed by Type 6 cherts, previously suggested to be from Central Portugal (n=7, accounting to 16.2790698%). Local types show a higher variability retouched typologies (9 types), although this may be related to the higher number of tools. In comparison, Type 6 shows only 5 different typologies.</w:t>
      </w:r>
    </w:p>
    <w:tbl>
      <w:tblPr>
        <w:tblStyle w:val="Table"/>
        <w:tblW w:type="pct" w:w="5000"/>
        <w:tblLayout w:type="fixed"/>
        <w:tblLook w:firstRow="0" w:lastRow="0" w:firstColumn="0" w:lastColumn="0" w:noHBand="0" w:noVBand="0" w:val="0000"/>
      </w:tblPr>
      <w:tblGrid>
        <w:gridCol w:w="7920"/>
      </w:tblGrid>
      <w:tr>
        <w:tc>
          <w:tcPr/>
          <w:bookmarkStart w:id="48" w:name="tbl-retouch-solutrean"/>
          <w:p>
            <w:pPr>
              <w:jc w:val="center"/>
            </w:pPr>
            <w:pPr>
              <w:jc w:val="start"/>
              <w:spacing w:before="200"/>
              <w:pStyle w:val="ImageCaption"/>
            </w:pPr>
            <w:r>
              <w:t xml:space="preserve">Table 6: Number and percentage of retouched tools by raw material of the Solutrean assemblage (level A to C) of the Shelter area.</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T11</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Bifacial blank</w:t>
                  </w: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5</w:t>
                  </w:r>
                </w:p>
              </w:tc>
            </w:tr>
            <w:tr>
              <w:tc>
                <w:tcPr/>
                <w:p>
                  <w:pPr>
                    <w:pStyle w:val="Compact"/>
                    <w:jc w:val="left"/>
                    <w:jc w:val="center"/>
                  </w:pPr>
                  <w:r>
                    <w:t xml:space="preserve">Bifacial fragment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jc w:val="right"/>
                    <w:jc w:val="center"/>
                  </w:pPr>
                  <w:r>
                    <w:t xml:space="preserve">5</w:t>
                  </w:r>
                </w:p>
              </w:tc>
            </w:tr>
            <w:tr>
              <w:tc>
                <w:tcPr/>
                <w:p>
                  <w:pPr>
                    <w:pStyle w:val="Compact"/>
                    <w:jc w:val="left"/>
                    <w:jc w:val="center"/>
                  </w:pPr>
                  <w:r>
                    <w:t xml:space="preserve">Burin</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Endscrapper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Notch</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Retouched blank</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right"/>
                    <w:jc w:val="center"/>
                  </w:pPr>
                  <w:r>
                    <w:t xml:space="preserve">6</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Shouldered point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Shouldered point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Tanged and winged point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Truncation</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13</w:t>
                  </w: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3</w:t>
                  </w:r>
                </w:p>
              </w:tc>
              <w:tc>
                <w:tcPr/>
                <w:p>
                  <w:pPr>
                    <w:pStyle w:val="Compact"/>
                    <w:jc w:val="left"/>
                    <w:jc w:val="center"/>
                  </w:pPr>
                  <w:r>
                    <w:t xml:space="preserve">13</w:t>
                  </w:r>
                </w:p>
              </w:tc>
              <w:tc>
                <w:tcPr/>
                <w:p>
                  <w:pPr>
                    <w:pStyle w:val="Compact"/>
                    <w:jc w:val="right"/>
                    <w:jc w:val="center"/>
                  </w:pPr>
                  <w:r>
                    <w:t xml:space="preserve">43</w:t>
                  </w:r>
                </w:p>
              </w:tc>
            </w:tr>
          </w:tbl>
          <w:bookmarkEnd w:id="48"/>
          <w:p/>
        </w:tc>
      </w:tr>
    </w:tbl>
    <w:p>
      <w:pPr>
        <w:pStyle w:val="BodyText"/>
      </w:pPr>
      <w:r>
        <w:t xml:space="preserve">For the Solutrean assemblage, there seems to be no clear difference in the measurements and weights of artefacts between local and non-local cherts. This is true especially for the most represented classes (flakes and elongated blanks). Regarding cores, many of the local and non-local cherts are not available for the statistics due to missing data. However, the smallest weight mean seem to be for cores of T6 (16.5 gr), although with high standard deviation and maximum value (16.5 and 48.6 gr, respectively).</w:t>
      </w:r>
    </w:p>
    <w:tbl>
      <w:tblPr>
        <w:tblStyle w:val="Table"/>
        <w:tblW w:type="pct" w:w="5000"/>
        <w:tblLayout w:type="fixed"/>
        <w:tblLook w:firstRow="0" w:lastRow="0" w:firstColumn="0" w:lastColumn="0" w:noHBand="0" w:noVBand="0" w:val="0000"/>
      </w:tblPr>
      <w:tblGrid>
        <w:gridCol w:w="7920"/>
      </w:tblGrid>
      <w:tr>
        <w:tc>
          <w:tcPr/>
          <w:bookmarkStart w:id="52" w:name="fig-solutrean-boxplots"/>
          <w:p>
            <w:pPr>
              <w:pStyle w:val="Compact"/>
              <w:jc w:val="center"/>
            </w:pPr>
            <w:r>
              <w:drawing>
                <wp:inline>
                  <wp:extent cx="5943600" cy="4754880"/>
                  <wp:effectExtent b="0" l="0" r="0" t="0"/>
                  <wp:docPr descr="" title="" id="50" name="Picture"/>
                  <a:graphic>
                    <a:graphicData uri="http://schemas.openxmlformats.org/drawingml/2006/picture">
                      <pic:pic>
                        <pic:nvPicPr>
                          <pic:cNvPr descr="paper_files/figure-docx/fig-solutrean-boxplots-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Gravettian.</w:t>
            </w:r>
          </w:p>
          <w:bookmarkEnd w:id="52"/>
        </w:tc>
      </w:tr>
    </w:tbl>
    <w:p>
      <w:pPr>
        <w:pStyle w:val="BodyText"/>
      </w:pPr>
      <w:r>
        <w:t xml:space="preserve">Regarding the blank-to-core and tools-to-debitage ratios, the Solutrean assemblage shows similar patterns as the previous assemblages, with the local cherts showing lower blank to core ratios (&lt;7), while the non-local cherts show higher ratios (&gt;9). Similar to the Proto-Solutrean, chalcedony cores were also not identified in the studied sample. Similarly, local cherts (T2-T5) show low retouch to debitage ratios (&lt;0.1), with the exception of T1 (chalcedony), which shows a ratio of 1.8. Other non-local cherts (T6-T7 and T11) show slightly higher retouch to debitage ratios (0.1-0.3).</w:t>
      </w:r>
    </w:p>
    <w:bookmarkEnd w:id="53"/>
    <w:bookmarkEnd w:id="54"/>
    <w:bookmarkStart w:id="55"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55"/>
    <w:bookmarkStart w:id="56" w:name="conclusion"/>
    <w:p>
      <w:pPr>
        <w:pStyle w:val="Heading1"/>
      </w:pPr>
      <w:r>
        <w:t xml:space="preserve">Conclusion</w:t>
      </w:r>
    </w:p>
    <w:bookmarkEnd w:id="56"/>
    <w:bookmarkStart w:id="57" w:name="acknowledgements"/>
    <w:p>
      <w:pPr>
        <w:pStyle w:val="Heading1"/>
      </w:pPr>
      <w:r>
        <w:t xml:space="preserve">Acknowledgements</w:t>
      </w:r>
    </w:p>
    <w:p>
      <w:r>
        <w:br w:type="page"/>
      </w:r>
    </w:p>
    <w:bookmarkEnd w:id="57"/>
    <w:bookmarkStart w:id="62" w:name="references"/>
    <w:p>
      <w:pPr>
        <w:pStyle w:val="Heading1"/>
      </w:pPr>
      <w:r>
        <w:t xml:space="preserve">References</w:t>
      </w:r>
    </w:p>
    <w:bookmarkStart w:id="60" w:name="refs"/>
    <w:bookmarkStart w:id="59"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8">
        <w:r>
          <w:rPr>
            <w:rStyle w:val="Hyperlink"/>
          </w:rPr>
          <w:t xml:space="preserve">https://doi.org/10.1016/j.jaa.2004.09.001</w:t>
        </w:r>
      </w:hyperlink>
    </w:p>
    <w:bookmarkEnd w:id="59"/>
    <w:bookmarkEnd w:id="60"/>
    <w:p>
      <w:r>
        <w:br w:type="page"/>
      </w:r>
    </w:p>
    <w:bookmarkStart w:id="61" w:name="colophon"/>
    <w:p>
      <w:pPr>
        <w:pStyle w:val="Heading3"/>
      </w:pPr>
      <w:r>
        <w:t xml:space="preserve">Colophon</w:t>
      </w:r>
    </w:p>
    <w:p>
      <w:pPr>
        <w:pStyle w:val="FirstParagraph"/>
      </w:pPr>
      <w:r>
        <w:t xml:space="preserve">This report was generated on 2025-01-21 16:14:36.490365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2025-01-21</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1"/>
    <w:bookmarkEnd w:id="62"/>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4C579B"/>
    <w:rsid w:val="004E29B3"/>
    <w:rsid w:val="00590D07"/>
    <w:rsid w:val="005A091B"/>
    <w:rsid w:val="00705E12"/>
    <w:rsid w:val="00784D58"/>
    <w:rsid w:val="00884F3F"/>
    <w:rsid w:val="008D6863"/>
    <w:rsid w:val="00970303"/>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2025-01-21T16:14:39Z</dcterms:created>
  <dcterms:modified xsi:type="dcterms:W3CDTF">2025-01-21T16:14:39Z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21,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