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9.png" ContentType="image/png"/>
  <Override PartName="/word/media/rId43.png" ContentType="image/png"/>
  <Override PartName="/word/media/rId31.png" ContentType="image/png"/>
  <Override PartName="/word/media/rId3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March</w:t>
      </w:r>
      <w:r>
        <w:t xml:space="preserve"> </w:t>
      </w:r>
      <w:r>
        <w:t xml:space="preserve">1,</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4"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2"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tbl>
      <w:tblPr>
        <w:tblStyle w:val="Table"/>
        <w:tblW w:type="pct" w:w="5000"/>
        <w:tblLayout w:type="fixed"/>
        <w:tblLook w:firstRow="0" w:lastRow="0" w:firstColumn="0" w:lastColumn="0" w:noHBand="0" w:noVBand="0" w:val="0000"/>
      </w:tblPr>
      <w:tblGrid>
        <w:gridCol w:w="7920"/>
      </w:tblGrid>
      <w:tr>
        <w:tc>
          <w:tcPr/>
          <w:bookmarkStart w:id="21" w:name="tbl-expectations"/>
          <w:p>
            <w:pPr>
              <w:jc w:val="center"/>
            </w:pPr>
            <w:pPr>
              <w:jc w:val="start"/>
              <w:spacing w:before="200"/>
              <w:pStyle w:val="ImageCaption"/>
            </w:pPr>
            <w:r>
              <w:t xml:space="preserve">Table 1: A table.</w:t>
            </w:r>
          </w:p>
          <w:tbl>
            <w:tblPr>
              <w:tblStyle w:val="Table"/>
              <w:tblW w:type="pct" w:w="5000"/>
              <w:tblLayout w:type="fixed"/>
              <w:tblLook w:firstRow="1" w:lastRow="0" w:firstColumn="0" w:lastColumn="0" w:noHBand="0" w:noVBand="0" w:val="0020"/>
            </w:tblPr>
            <w:tblGrid>
              <w:gridCol w:w="2752"/>
              <w:gridCol w:w="5167"/>
            </w:tblGrid>
            <w:tr>
              <w:trPr>
                <w:tblHeader w:val="on"/>
              </w:trPr>
              <w:tc>
                <w:tcPr/>
                <w:p>
                  <w:pPr>
                    <w:pStyle w:val="Compact"/>
                    <w:jc w:val="left"/>
                    <w:jc w:val="center"/>
                  </w:pPr>
                  <w:r>
                    <w:t xml:space="preserve">1. Local raw materials</w:t>
                  </w:r>
                </w:p>
              </w:tc>
              <w:tc>
                <w:tcPr/>
                <w:p>
                  <w:pPr>
                    <w:pStyle w:val="Compact"/>
                    <w:jc w:val="left"/>
                    <w:jc w:val="center"/>
                  </w:pPr>
                  <w:r>
                    <w:t xml:space="preserve">2. Non-local raw materials</w:t>
                  </w:r>
                </w:p>
              </w:tc>
            </w:tr>
            <w:tr>
              <w:tc>
                <w:tcPr/>
                <w:p>
                  <w:pPr>
                    <w:pStyle w:val="Compact"/>
                    <w:jc w:val="left"/>
                    <w:jc w:val="center"/>
                  </w:pPr>
                  <w:r>
                    <w:t xml:space="preserve">1a) Low use-lives, with knapping strategies characterised by manufacture, use and discard</w:t>
                  </w:r>
                </w:p>
              </w:tc>
              <w:tc>
                <w:tcPr/>
                <w:p>
                  <w:pPr>
                    <w:pStyle w:val="Compact"/>
                    <w:jc w:val="left"/>
                    <w:jc w:val="center"/>
                  </w:pPr>
                  <w:r>
                    <w:t xml:space="preserve">2a) Majority of formal tools, in the case of individual provisioning or higher use-lives, with knapping strategies characterised by the manufacture, use and maintenance</w:t>
                  </w:r>
                </w:p>
              </w:tc>
            </w:tr>
            <w:tr>
              <w:tc>
                <w:tcPr/>
                <w:p>
                  <w:pPr>
                    <w:pStyle w:val="Compact"/>
                    <w:jc w:val="left"/>
                    <w:jc w:val="center"/>
                  </w:pPr>
                  <w:r>
                    <w:t xml:space="preserve">1b) Decreased reduction intensity and low tools to debitage ratio</w:t>
                  </w:r>
                </w:p>
              </w:tc>
              <w:tc>
                <w:tcPr/>
                <w:p>
                  <w:pPr>
                    <w:pStyle w:val="Compact"/>
                    <w:jc w:val="left"/>
                    <w:jc w:val="center"/>
                  </w:pPr>
                  <w:r>
                    <w:t xml:space="preserve">2b) Increased reduction intensity and high tools to debitage ratio</w:t>
                  </w:r>
                </w:p>
              </w:tc>
            </w:tr>
            <w:tr>
              <w:tc>
                <w:tcPr/>
                <w:p>
                  <w:pPr>
                    <w:pStyle w:val="Compact"/>
                    <w:jc w:val="left"/>
                    <w:jc w:val="center"/>
                  </w:pPr>
                  <w:r>
                    <w:t xml:space="preserve">1c) Larger cores and lower blank-to-core ratio</w:t>
                  </w:r>
                </w:p>
              </w:tc>
              <w:tc>
                <w:tcPr/>
                <w:p>
                  <w:pPr>
                    <w:pStyle w:val="Compact"/>
                    <w:jc w:val="left"/>
                    <w:jc w:val="center"/>
                  </w:pPr>
                  <w:r>
                    <w:t xml:space="preserve">2c) Smaller cores and higher blank-to-core ratio</w:t>
                  </w:r>
                </w:p>
              </w:tc>
            </w:tr>
            <w:tr>
              <w:tc>
                <w:tcPr/>
                <w:p>
                  <w:pPr>
                    <w:pStyle w:val="Compact"/>
                    <w:jc w:val="left"/>
                    <w:jc w:val="center"/>
                  </w:pPr>
                  <w:r>
                    <w:t xml:space="preserve">1d) Less extensive reduction and reworking of tools</w:t>
                  </w:r>
                </w:p>
              </w:tc>
              <w:tc>
                <w:tcPr/>
                <w:p>
                  <w:pPr>
                    <w:pStyle w:val="Compact"/>
                    <w:jc w:val="left"/>
                    <w:jc w:val="center"/>
                  </w:pPr>
                  <w:r>
                    <w:t xml:space="preserve">2d) More extensive reduction and high presence of retouch and/or tool maintenance</w:t>
                  </w:r>
                </w:p>
              </w:tc>
            </w:tr>
            <w:tr>
              <w:tc>
                <w:tcPr/>
                <w:p>
                  <w:pPr>
                    <w:pStyle w:val="Compact"/>
                    <w:jc w:val="left"/>
                    <w:jc w:val="center"/>
                  </w:pPr>
                  <w:r>
                    <w:t xml:space="preserve">1e) Higher tool typology diversity</w:t>
                  </w:r>
                </w:p>
              </w:tc>
              <w:tc>
                <w:tcPr/>
                <w:p>
                  <w:pPr>
                    <w:pStyle w:val="Compact"/>
                    <w:jc w:val="left"/>
                    <w:jc w:val="center"/>
                  </w:pPr>
                  <w:r>
                    <w:t xml:space="preserve">2e) Lower tool diversity, characterised by less specialised tool</w:t>
                  </w:r>
                </w:p>
              </w:tc>
            </w:tr>
          </w:tbl>
          <w:bookmarkEnd w:id="21"/>
          <w:p/>
        </w:tc>
      </w:tr>
    </w:tbl>
    <w:p>
      <w:pPr>
        <w:pStyle w:val="BodyText"/>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2"/>
    <w:bookmarkStart w:id="23"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3"/>
    <w:bookmarkEnd w:id="24"/>
    <w:bookmarkStart w:id="26"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Style w:val="Table"/>
        <w:tblW w:type="pct" w:w="5000"/>
        <w:tblLayout w:type="fixed"/>
        <w:tblLook w:firstRow="0" w:lastRow="0" w:firstColumn="0" w:lastColumn="0" w:noHBand="0" w:noVBand="0" w:val="0000"/>
      </w:tblPr>
      <w:tblGrid>
        <w:gridCol w:w="7920"/>
      </w:tblGrid>
      <w:tr>
        <w:tc>
          <w:tcPr/>
          <w:bookmarkStart w:id="25" w:name="tbl-samples"/>
          <w:p>
            <w:pPr>
              <w:jc w:val="center"/>
            </w:pPr>
            <w:pPr>
              <w:jc w:val="start"/>
              <w:spacing w:before="200"/>
              <w:pStyle w:val="ImageCaption"/>
            </w:pPr>
            <w:r>
              <w:t xml:space="preserve">Table 2: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Assemblage</w:t>
                  </w:r>
                </w:p>
              </w:tc>
              <w:tc>
                <w:tcPr/>
                <w:p>
                  <w:pPr>
                    <w:pStyle w:val="Compact"/>
                    <w:jc w:val="right"/>
                    <w:jc w:val="center"/>
                  </w:pPr>
                  <w:r>
                    <w:t xml:space="preserve">Original dataset (n)</w:t>
                  </w:r>
                </w:p>
              </w:tc>
              <w:tc>
                <w:tcPr/>
                <w:p>
                  <w:pPr>
                    <w:pStyle w:val="Compact"/>
                    <w:jc w:val="right"/>
                    <w:jc w:val="center"/>
                  </w:pPr>
                  <w:r>
                    <w:t xml:space="preserve">Merged dataset (n)</w:t>
                  </w:r>
                </w:p>
              </w:tc>
            </w:tr>
            <w:tr>
              <w:tc>
                <w:tcPr/>
                <w:p>
                  <w:pPr>
                    <w:pStyle w:val="Compact"/>
                    <w:jc w:val="left"/>
                    <w:jc w:val="center"/>
                  </w:pPr>
                  <w:r>
                    <w:t xml:space="preserve">Shelter level A-C</w:t>
                  </w:r>
                </w:p>
              </w:tc>
              <w:tc>
                <w:tcPr/>
                <w:p>
                  <w:pPr>
                    <w:pStyle w:val="Compact"/>
                    <w:jc w:val="right"/>
                    <w:jc w:val="center"/>
                  </w:pPr>
                  <w:r>
                    <w:t xml:space="preserve">3359</w:t>
                  </w:r>
                </w:p>
              </w:tc>
              <w:tc>
                <w:tcPr/>
                <w:p>
                  <w:pPr>
                    <w:pStyle w:val="Compact"/>
                    <w:jc w:val="right"/>
                    <w:jc w:val="center"/>
                  </w:pPr>
                  <w:r>
                    <w:t xml:space="preserve">910</w:t>
                  </w:r>
                </w:p>
              </w:tc>
            </w:tr>
            <w:tr>
              <w:tc>
                <w:tcPr/>
                <w:p>
                  <w:pPr>
                    <w:pStyle w:val="Compact"/>
                    <w:jc w:val="left"/>
                    <w:jc w:val="center"/>
                  </w:pPr>
                  <w:r>
                    <w:t xml:space="preserve">Terrace level 4E-5</w:t>
                  </w:r>
                </w:p>
              </w:tc>
              <w:tc>
                <w:tcPr/>
                <w:p>
                  <w:pPr>
                    <w:pStyle w:val="Compact"/>
                    <w:jc w:val="right"/>
                    <w:jc w:val="center"/>
                  </w:pPr>
                  <w:r>
                    <w:t xml:space="preserve">1821</w:t>
                  </w:r>
                </w:p>
              </w:tc>
              <w:tc>
                <w:tcPr/>
                <w:p>
                  <w:pPr>
                    <w:pStyle w:val="Compact"/>
                    <w:jc w:val="right"/>
                    <w:jc w:val="center"/>
                  </w:pPr>
                  <w:r>
                    <w:t xml:space="preserve">635</w:t>
                  </w:r>
                </w:p>
              </w:tc>
            </w:tr>
            <w:tr>
              <w:tc>
                <w:tcPr/>
                <w:p>
                  <w:pPr>
                    <w:pStyle w:val="Compact"/>
                    <w:jc w:val="left"/>
                    <w:jc w:val="center"/>
                  </w:pPr>
                  <w:r>
                    <w:t xml:space="preserve">Terrace level 6-7</w:t>
                  </w:r>
                </w:p>
              </w:tc>
              <w:tc>
                <w:tcPr/>
                <w:p>
                  <w:pPr>
                    <w:pStyle w:val="Compact"/>
                    <w:jc w:val="right"/>
                    <w:jc w:val="center"/>
                  </w:pPr>
                  <w:r>
                    <w:t xml:space="preserve">781</w:t>
                  </w:r>
                </w:p>
              </w:tc>
              <w:tc>
                <w:tcPr/>
                <w:p>
                  <w:pPr>
                    <w:pStyle w:val="Compact"/>
                    <w:jc w:val="right"/>
                    <w:jc w:val="center"/>
                  </w:pPr>
                  <w:r>
                    <w:t xml:space="preserve">766</w:t>
                  </w:r>
                </w:p>
              </w:tc>
            </w:tr>
          </w:tbl>
          <w:bookmarkEnd w:id="25"/>
          <w:p/>
        </w:tc>
      </w:tr>
    </w:tbl>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cores; P3) frequency of maintenance products; P4) debitage sizes; P5) tools-to-debitage ratios; P6) core sizes; P7) blank-to-core ratios; P8) tool diversity; P9) tool specialization. Debitage and core sizes were analysed through descriptive statistics (mean and sd tables available in the SOM**) and plotted through boxplots and through non-parametric statistical analyses (Mann-Whitney U test).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6"/>
    <w:bookmarkStart w:id="52" w:name="results"/>
    <w:p>
      <w:pPr>
        <w:pStyle w:val="Heading1"/>
      </w:pPr>
      <w:r>
        <w:t xml:space="preserve">Results</w:t>
      </w:r>
    </w:p>
    <w:p>
      <w:pPr>
        <w:pStyle w:val="FirstParagraph"/>
      </w:pPr>
      <w:r>
        <w:t xml:space="preserve">The results are presented following the analysis parameters, focusing on the comparison between wider chert groups (local and non-local cherts) and between assemblages. A complete description of the assemblages and detailed tables for each analysis presented in this study can be found in the supplementary materials (SOM ++).</w:t>
      </w:r>
    </w:p>
    <w:p>
      <w:pPr>
        <w:pStyle w:val="BodyText"/>
      </w:pPr>
      <w:r>
        <w:t xml:space="preserve">In all assemblages, blanks and blank fragments are the most frequent class of lithic artefacts and in all chert types (&gt;40% of the assemblages). Cores are, as expected, found in smaller percentages in all assemblages (~3-8%). Cores are present in local cherts in larger numbers than in non-local types (P2); their presence is noted in almost all non-local cherts in all assemblages, except for the TL group. In the Proto-Solutrean assemblage however, non-local chert core presence is small and limited to T7-9 (n=4 complete cores and n=2 core fragments). Albeit in very small numbers in all assemblages (n&lt;10), core preparation and maintenance products (P3) are also present in local and non-local cherts, especially in the non-local types which show the larger sample number such as T6-7. The presence of knapping by-products such as shatter is also seen in both local and non-local cherts in the Gravettian and Proto-Solutrean assemblages. Retouched tools (P1) were identified in all chert types from all studied assemblages; in general, all assemblages show a similar pattern where local cherts show smaller percentages of retouched tools than non-local cherts. However, the assemblages show clear differences in the number of retouched tools.</w:t>
      </w:r>
    </w:p>
    <w:tbl>
      <w:tblPr>
        <w:tblStyle w:val="Table"/>
        <w:tblW w:type="pct" w:w="5000"/>
        <w:tblLayout w:type="fixed"/>
        <w:tblLook w:firstRow="0" w:lastRow="0" w:firstColumn="0" w:lastColumn="0" w:noHBand="0" w:noVBand="0" w:val="0000"/>
      </w:tblPr>
      <w:tblGrid>
        <w:gridCol w:w="7920"/>
      </w:tblGrid>
      <w:tr>
        <w:tc>
          <w:tcPr/>
          <w:bookmarkStart w:id="30" w:name="fig-general-graphs"/>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general-graph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Class by chert type in the Gravettian (a), Proto-Solutrean (b) and Solutrean (c) assemblages. Labels within the plots correspond to the number of artefacts within each class. Only labels of n&gt;3 are shown.</w:t>
            </w:r>
          </w:p>
          <w:bookmarkEnd w:id="30"/>
        </w:tc>
      </w:tr>
    </w:tbl>
    <w:p>
      <w:pPr>
        <w:pStyle w:val="BodyText"/>
      </w:pPr>
      <w:r>
        <w:t xml:space="preserve">The Gravettian assemblage shows higher percentages of retouched tools (~21%) than the other assemblages (&lt;10%). Detailed tables with tool typology and counts by chert type and assemblage can be found in the SOM (tables +++). Tool diversity (P8) is higher in non-local cherts in the Gravettian assemblage,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 In comparison to the Gravettian, other assemblages show smaller numbers of retouched tools. While in the Proto-Solutrean no pattern was identified between local and non-local retouched tools, in the Solutrean assemblage both tool diversity (P8) and tool specialization (P9) are higher in local cherts.</w:t>
      </w:r>
    </w:p>
    <w:p>
      <w:pPr>
        <w:pStyle w:val="BodyText"/>
      </w:pPr>
      <w:r>
        <w:t xml:space="preserve">The relation between blank and core numbers was explored through a blank-to-core ratio (P7; Figure 1 and table s++). In all assemblages, local cherts have generally smaller ratios than non-local cherts, although sample sizes for cores are variable (graph ++). For the Gravettian assemblages, the results show that non-local cherts show ratios above 7 (with the exception of T10), while local cherts have ratios located below 4. The Solutrean assemblage also shows higher ratios for non-local cherts (&gt;12), with local cherts showing ratios below 7. The Proto-Solutrean assemblage has most blank-to-core ratios below 10, except for non-local T7. However, non-local cores are poorly represented within the assemblage (table ++).</w:t>
      </w:r>
    </w:p>
    <w:tbl>
      <w:tblPr>
        <w:tblStyle w:val="Table"/>
        <w:tblW w:type="pct" w:w="5000"/>
        <w:tblLayout w:type="fixed"/>
        <w:tblLook w:firstRow="0" w:lastRow="0" w:firstColumn="0" w:lastColumn="0" w:noHBand="0" w:noVBand="0" w:val="0000"/>
      </w:tblPr>
      <w:tblGrid>
        <w:gridCol w:w="7920"/>
      </w:tblGrid>
      <w:tr>
        <w:tc>
          <w:tcPr/>
          <w:bookmarkStart w:id="34" w:name="fig-ratiobc"/>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bc-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p>
      <w:pPr>
        <w:pStyle w:val="BodyText"/>
      </w:pPr>
      <w:r>
        <w:t xml:space="preserve">Retouched tools were further explored through the tools-to-debitage ratio (P5; Figure 2 and table s++). In general, the result show that non-local chert types have higher retouch-to-debitage ratios than local types, albeit with differences between assemblages. The Gravettian assemblage shows the highest tool-to-debitage ratios compared to the remaining assemblages; non-local cherts show ratios above 0.9, while local cherts show values below 0.5. In the Proto-Solutrean non-local cherts show ratios between 0.3 to 0.5, while local cherts show ratios below 0.3. This pattern is less clear in the Solutrean assemblage since the ratios are the lowest of all assemblages. Non-local cherts show ratios above 0.1 (with exception of T8) while local cherts show ratios below 0.1 (with exception of the local chalcedony).</w:t>
      </w:r>
    </w:p>
    <w:tbl>
      <w:tblPr>
        <w:tblStyle w:val="Table"/>
        <w:tblW w:type="pct" w:w="5000"/>
        <w:tblLayout w:type="fixed"/>
        <w:tblLook w:firstRow="0" w:lastRow="0" w:firstColumn="0" w:lastColumn="0" w:noHBand="0" w:noVBand="0" w:val="0000"/>
      </w:tblPr>
      <w:tblGrid>
        <w:gridCol w:w="7920"/>
      </w:tblGrid>
      <w:tr>
        <w:tc>
          <w:tcPr/>
          <w:bookmarkStart w:id="38" w:name="fig-ratiotd"/>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ratiotd-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8"/>
        </w:tc>
      </w:tr>
    </w:tbl>
    <w:p>
      <w:pPr>
        <w:pStyle w:val="BodyText"/>
      </w:pPr>
      <w:r>
        <w:t xml:space="preserve">The sizes of blanks (P4) and cores (P6) are explored through scatterplots of width and length (Figure 3 a) and boxplots for weight (Figure 3 b); complete tables with descriptive statistics and non-parametric statistical test results can also be found in SOM ++, table s++. The scatterplots show different patterns in the several analysed classes.</w:t>
      </w:r>
    </w:p>
    <w:tbl>
      <w:tblPr>
        <w:tblStyle w:val="Table"/>
        <w:tblW w:type="pct" w:w="5000"/>
        <w:tblLayout w:type="fixed"/>
        <w:tblLook w:firstRow="0" w:lastRow="0" w:firstColumn="0" w:lastColumn="0" w:noHBand="0" w:noVBand="0" w:val="0000"/>
      </w:tblPr>
      <w:tblGrid>
        <w:gridCol w:w="7920"/>
      </w:tblGrid>
      <w:tr>
        <w:tc>
          <w:tcPr/>
          <w:bookmarkStart w:id="42" w:name="fig-gravettian-boxplots"/>
          <w:p>
            <w:pPr>
              <w:pStyle w:val="Compact"/>
              <w:jc w:val="center"/>
            </w:pPr>
            <w:r>
              <w:drawing>
                <wp:inline>
                  <wp:extent cx="5943600" cy="4754880"/>
                  <wp:effectExtent b="0" l="0" r="0" t="0"/>
                  <wp:docPr descr="" title="" id="40" name="Picture"/>
                  <a:graphic>
                    <a:graphicData uri="http://schemas.openxmlformats.org/drawingml/2006/picture">
                      <pic:pic>
                        <pic:nvPicPr>
                          <pic:cNvPr descr="paper_files/figure-docx/fig-gravettian-boxplots-1.png" id="41"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Gravettian</w:t>
            </w:r>
          </w:p>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roto-boxplots"/>
          <w:p>
            <w:pPr>
              <w:pStyle w:val="Compact"/>
              <w:jc w:val="center"/>
            </w:pPr>
            <w:r>
              <w:drawing>
                <wp:inline>
                  <wp:extent cx="5943600" cy="4754880"/>
                  <wp:effectExtent b="0" l="0" r="0" t="0"/>
                  <wp:docPr descr="" title="" id="44" name="Picture"/>
                  <a:graphic>
                    <a:graphicData uri="http://schemas.openxmlformats.org/drawingml/2006/picture">
                      <pic:pic>
                        <pic:nvPicPr>
                          <pic:cNvPr descr="paper_files/figure-docx/fig-proto-boxplots-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Proto-solutrean.</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solutrean-boxplots"/>
          <w:p>
            <w:pPr>
              <w:pStyle w:val="Compact"/>
              <w:jc w:val="center"/>
            </w:pPr>
            <w:r>
              <w:drawing>
                <wp:inline>
                  <wp:extent cx="5943600" cy="4754880"/>
                  <wp:effectExtent b="0" l="0" r="0" t="0"/>
                  <wp:docPr descr="" title="" id="48" name="Picture"/>
                  <a:graphic>
                    <a:graphicData uri="http://schemas.openxmlformats.org/drawingml/2006/picture">
                      <pic:pic>
                        <pic:nvPicPr>
                          <pic:cNvPr descr="paper_files/figure-docx/fig-solutrean-boxplots-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Boxplots Solutrean.</w:t>
            </w:r>
          </w:p>
          <w:bookmarkEnd w:id="50"/>
        </w:tc>
      </w:tr>
    </w:tbl>
    <w:p>
      <w:pPr>
        <w:pStyle w:val="BodyText"/>
      </w:pPr>
      <w:r>
        <w:t xml:space="preserve">In the Gravettian assemblage, non-local chert blanks (P4) are smaller than local chert blanks, especially regarding length (~ &lt;25 mm) and weight (&lt;5 gr), with statistically significant differences (p value of 0.00009*** and 0.012, respectively). The local chert blanks, although mostly concentrated below 25 mm width and length and with weights below 5 gr, have the largest number of outliers and variability in terms of size. The same patterns can be seen in the Proto-Solutrean assemblage, where length and weight also show statistically significant differences between chert types (0.046* and 0.004), with non-local types showing smaller values. In comparison, in the Solutrean assemblage, only non-local chert blank length seems to show statistically significant smaller values (p value of 0.0005**) than local chert blanks, being mostly concentrated below ~30 mm, while local chert blank lengths are more variable. While width seems to be more variable in both local and non-local chert blanks, the statistical analysis shows that non-local chert width is significantly higher than local chert blanks (p value of 0.02).</w:t>
      </w:r>
    </w:p>
    <w:p>
      <w:pPr>
        <w:pStyle w:val="BodyText"/>
      </w:pPr>
      <w:r>
        <w:t xml:space="preserve">Regarding cores (P6), the differences in sizes and weights seem between local and non-local cherts seem to be less obvious than those observed in blanks. In the Gravettian assemblage, there is a cluster of non-local chert cores below the 25 mm width and length, while in general, local chert cores seem to be more variable. Especially regarding weight, T6 cores (non-local) show lighter cores (~12 gr means) compared to local cherts. In the Solutrean assemblage, weight is the only measurement where differences can be seen between local and non-local chert cores; similarly to the Gravettian assemblage, T6 cores show slightly smaller cores (~18 gr means) than local cherts (~22 gr means). Despite these differences, the statistical tests applied to the dimensions between local and non-local chert cores show no statistically significant differences between the groups (p &gt; 0.05). The Proto-Solutrean assemblage shows a small sample of non-local chert cores (n=4), not allowing a clear identification of patterns between the groups; alike the other assemblage however, local chert cores show a high range of sizes (~15-50 mm width and length) and weights (~3-85 gr).</w:t>
      </w:r>
    </w:p>
    <w:p>
      <w:pPr>
        <w:pStyle w:val="BodyText"/>
      </w:pPr>
      <w:r>
        <w:t xml:space="preserve">Following the analysis parameters previously described, the summarised results for each parameter can be found in</w:t>
      </w:r>
      <w:r>
        <w:t xml:space="preserve"> </w:t>
      </w:r>
      <w:hyperlink w:anchor="tbl-results-sum">
        <w:r>
          <w:rPr>
            <w:rStyle w:val="Hyperlink"/>
          </w:rPr>
          <w:t xml:space="preserve">Table 3</w:t>
        </w:r>
      </w:hyperlink>
      <w:r>
        <w:t xml:space="preserve">, and can be summarised as follows:</w:t>
      </w:r>
    </w:p>
    <w:p>
      <w:pPr>
        <w:pStyle w:val="BodyText"/>
      </w:pPr>
      <w:r>
        <w:t xml:space="preserve">In the Gravettian assemblage, retouched tools (P1) are present in higher frequencies in the non-local cherts, as well as in core preparation and maintenance products (P3). Cores are present in even in non-local chert types (P2). Debitage sizes (P4) show smaller sizes and weights for non-local cherts. Tools-to-debitage ratios (P5) are significantly higher in non-local cherts. Core sizes (P6) are slightly smaller in T6, a non-local chert, and the blank-to-core ratios (P7) are higher in non-local cherts.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Cores of non-local chert types are found in very small numbers (P2), although knapping is likely occurring on site. Core preparation and maintenance products (P3) are only present in non-local cherts, albeit in very small numbers (n=2). Blank sizes (P4) and core sizes (P6) are slightly smaller in non-local cherts. Regarding the ratios, tool-to-debitage ratios (P5) are higher in non-local cherts, albeit smaller than those seen in the Gravettian assemblage, and blank-to-core ratios (P7)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Cores are present in relevant quantities in non-local chert types (P2). Debitage (P4) mass is slightly smaller in non-local cherts, although with larger widths. Core (P6) sizes show slightly smaller values for T6. Similarly to the Proto-Solutrean, tools-to-debitage ratios (P5) and blank-to-core ratios (P7) are slightly higher in non-local cherts. Both tool diversity (P8) and tool specialization (P9) are higher in local cherts.</w:t>
      </w:r>
    </w:p>
    <w:tbl>
      <w:tblPr>
        <w:tblStyle w:val="Table"/>
        <w:tblW w:type="pct" w:w="5000"/>
        <w:tblLayout w:type="fixed"/>
        <w:tblLook w:firstRow="0" w:lastRow="0" w:firstColumn="0" w:lastColumn="0" w:noHBand="0" w:noVBand="0" w:val="0000"/>
      </w:tblPr>
      <w:tblGrid>
        <w:gridCol w:w="7920"/>
      </w:tblGrid>
      <w:tr>
        <w:tc>
          <w:tcPr/>
          <w:bookmarkStart w:id="51" w:name="tbl-results-sum"/>
          <w:p>
            <w:pPr>
              <w:jc w:val="center"/>
            </w:pPr>
            <w:pPr>
              <w:jc w:val="start"/>
              <w:spacing w:before="200"/>
              <w:pStyle w:val="ImageCaption"/>
            </w:pPr>
            <w:r>
              <w:t xml:space="preserve">Table 3: Summarised results for analysis parameters. Gr: Gravettian; Pr: Proto-Solutrean; So: Solutrean; Exp: Expectations; L: Local; NL: Non-local.</w:t>
            </w:r>
          </w:p>
          <w:tbl>
            <w:tblPr>
              <w:tblStyle w:val="Table"/>
              <w:tblW w:type="pct" w:w="5000"/>
              <w:tblLayout w:type="fixed"/>
              <w:tblLook w:firstRow="1" w:lastRow="0" w:firstColumn="0" w:lastColumn="0" w:noHBand="0" w:noVBand="0" w:val="0020"/>
            </w:tblPr>
            <w:tblGrid>
              <w:gridCol w:w="2584"/>
              <w:gridCol w:w="750"/>
              <w:gridCol w:w="666"/>
              <w:gridCol w:w="750"/>
              <w:gridCol w:w="666"/>
              <w:gridCol w:w="583"/>
              <w:gridCol w:w="833"/>
              <w:gridCol w:w="500"/>
              <w:gridCol w:w="583"/>
            </w:tblGrid>
            <w:tr>
              <w:trPr>
                <w:tblHeader w:val="on"/>
              </w:trPr>
              <w:tc>
                <w:tcPr/>
                <w:p>
                  <w:pPr>
                    <w:pStyle w:val="Compact"/>
                    <w:jc w:val="left"/>
                    <w:jc w:val="center"/>
                  </w:pPr>
                  <w:r>
                    <w:t xml:space="preserve">Parameters</w:t>
                  </w:r>
                </w:p>
              </w:tc>
              <w:tc>
                <w:tcPr/>
                <w:p>
                  <w:pPr>
                    <w:pStyle w:val="Compact"/>
                    <w:jc w:val="left"/>
                    <w:jc w:val="center"/>
                  </w:pPr>
                  <w:r>
                    <w:t xml:space="preserve">Gr L</w:t>
                  </w:r>
                </w:p>
              </w:tc>
              <w:tc>
                <w:tcPr/>
                <w:p>
                  <w:pPr>
                    <w:pStyle w:val="Compact"/>
                    <w:jc w:val="left"/>
                    <w:jc w:val="center"/>
                  </w:pPr>
                  <w:r>
                    <w:t xml:space="preserve">Gr NL</w:t>
                  </w:r>
                </w:p>
              </w:tc>
              <w:tc>
                <w:tcPr/>
                <w:p>
                  <w:pPr>
                    <w:pStyle w:val="Compact"/>
                    <w:jc w:val="left"/>
                    <w:jc w:val="center"/>
                  </w:pPr>
                  <w:r>
                    <w:t xml:space="preserve">Pr L</w:t>
                  </w:r>
                </w:p>
              </w:tc>
              <w:tc>
                <w:tcPr/>
                <w:p>
                  <w:pPr>
                    <w:pStyle w:val="Compact"/>
                    <w:jc w:val="left"/>
                    <w:jc w:val="center"/>
                  </w:pPr>
                  <w:r>
                    <w:t xml:space="preserve">Pr NL</w:t>
                  </w:r>
                </w:p>
              </w:tc>
              <w:tc>
                <w:tcPr/>
                <w:p>
                  <w:pPr>
                    <w:pStyle w:val="Compact"/>
                    <w:jc w:val="left"/>
                    <w:jc w:val="center"/>
                  </w:pPr>
                  <w:r>
                    <w:t xml:space="preserve">So L</w:t>
                  </w:r>
                </w:p>
              </w:tc>
              <w:tc>
                <w:tcPr/>
                <w:p>
                  <w:pPr>
                    <w:pStyle w:val="Compact"/>
                    <w:jc w:val="left"/>
                    <w:jc w:val="center"/>
                  </w:pPr>
                  <w:r>
                    <w:t xml:space="preserve">So NL</w:t>
                  </w:r>
                </w:p>
              </w:tc>
              <w:tc>
                <w:tcPr/>
                <w:p>
                  <w:pPr>
                    <w:pStyle w:val="Compact"/>
                    <w:jc w:val="left"/>
                    <w:jc w:val="center"/>
                  </w:pPr>
                  <w:r>
                    <w:t xml:space="preserve">Exp L</w:t>
                  </w:r>
                </w:p>
              </w:tc>
              <w:tc>
                <w:tcPr/>
                <w:p>
                  <w:pPr>
                    <w:pStyle w:val="Compact"/>
                    <w:jc w:val="left"/>
                    <w:jc w:val="center"/>
                  </w:pPr>
                  <w:r>
                    <w:t xml:space="preserve">Exp NL</w:t>
                  </w:r>
                </w:p>
              </w:tc>
            </w:tr>
            <w:tr>
              <w:tc>
                <w:tcPr/>
                <w:p>
                  <w:pPr>
                    <w:pStyle w:val="Compact"/>
                    <w:jc w:val="left"/>
                    <w:jc w:val="center"/>
                  </w:pPr>
                  <w:r>
                    <w:t xml:space="preserve">P1: retouched tool %</w:t>
                  </w:r>
                </w:p>
              </w:tc>
              <w:tc>
                <w:tcPr/>
                <w:p>
                  <w:pPr>
                    <w:pStyle w:val="Compact"/>
                    <w:jc w:val="left"/>
                    <w:jc w:val="center"/>
                  </w:pPr>
                  <w:r>
                    <w:t xml:space="preserve">~12-18%</w:t>
                  </w:r>
                </w:p>
              </w:tc>
              <w:tc>
                <w:tcPr/>
                <w:p>
                  <w:pPr>
                    <w:pStyle w:val="Compact"/>
                    <w:jc w:val="left"/>
                    <w:jc w:val="center"/>
                  </w:pPr>
                  <w:r>
                    <w:t xml:space="preserve">~30%</w:t>
                  </w:r>
                </w:p>
              </w:tc>
              <w:tc>
                <w:tcPr/>
                <w:p>
                  <w:pPr>
                    <w:pStyle w:val="Compact"/>
                    <w:jc w:val="left"/>
                    <w:jc w:val="center"/>
                  </w:pPr>
                  <w:r>
                    <w:t xml:space="preserve">5-15%</w:t>
                  </w:r>
                </w:p>
              </w:tc>
              <w:tc>
                <w:tcPr/>
                <w:p>
                  <w:pPr>
                    <w:pStyle w:val="Compact"/>
                    <w:jc w:val="left"/>
                    <w:jc w:val="center"/>
                  </w:pPr>
                  <w:r>
                    <w:t xml:space="preserve">~17-23%</w:t>
                  </w:r>
                </w:p>
              </w:tc>
              <w:tc>
                <w:tcPr/>
                <w:p>
                  <w:pPr>
                    <w:pStyle w:val="Compact"/>
                    <w:jc w:val="left"/>
                    <w:jc w:val="center"/>
                  </w:pPr>
                  <w:r>
                    <w:t xml:space="preserve">~3%</w:t>
                  </w:r>
                </w:p>
              </w:tc>
              <w:tc>
                <w:tcPr/>
                <w:p>
                  <w:pPr>
                    <w:pStyle w:val="Compact"/>
                    <w:jc w:val="left"/>
                    <w:jc w:val="center"/>
                  </w:pPr>
                  <w:r>
                    <w:t xml:space="preserve">&lt;10%</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P2: maintenance products %</w:t>
                  </w:r>
                </w:p>
              </w:tc>
              <w:tc>
                <w:tcPr/>
                <w:p>
                  <w:pPr>
                    <w:pStyle w:val="Compact"/>
                    <w:jc w:val="left"/>
                    <w:jc w:val="center"/>
                  </w:pPr>
                  <w:r>
                    <w:t xml:space="preserve">&lt;2%</w:t>
                  </w:r>
                </w:p>
              </w:tc>
              <w:tc>
                <w:tcPr/>
                <w:p>
                  <w:pPr>
                    <w:pStyle w:val="Compact"/>
                    <w:jc w:val="left"/>
                    <w:jc w:val="center"/>
                  </w:pPr>
                  <w:r>
                    <w:t xml:space="preserve">&lt;4%</w:t>
                  </w:r>
                </w:p>
              </w:tc>
              <w:tc>
                <w:tcPr/>
                <w:p>
                  <w:pPr>
                    <w:pStyle w:val="Compact"/>
                    <w:jc w:val="left"/>
                    <w:jc w:val="center"/>
                  </w:pPr>
                  <w:r>
                    <w:t xml:space="preserve">0%</w:t>
                  </w:r>
                </w:p>
              </w:tc>
              <w:tc>
                <w:tcPr/>
                <w:p>
                  <w:pPr>
                    <w:pStyle w:val="Compact"/>
                    <w:jc w:val="left"/>
                    <w:jc w:val="center"/>
                  </w:pPr>
                  <w:r>
                    <w:t xml:space="preserve">&lt;1%</w:t>
                  </w:r>
                </w:p>
              </w:tc>
              <w:tc>
                <w:tcPr/>
                <w:p>
                  <w:pPr>
                    <w:pStyle w:val="Compact"/>
                    <w:jc w:val="left"/>
                    <w:jc w:val="center"/>
                  </w:pPr>
                  <w:r>
                    <w:t xml:space="preserve">1.30%</w:t>
                  </w:r>
                </w:p>
              </w:tc>
              <w:tc>
                <w:tcPr/>
                <w:p>
                  <w:pPr>
                    <w:pStyle w:val="Compact"/>
                    <w:jc w:val="left"/>
                    <w:jc w:val="center"/>
                  </w:pPr>
                  <w:r>
                    <w:t xml:space="preserve">3.5%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flakes</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elongated</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w:t>
                  </w:r>
                </w:p>
              </w:tc>
              <w:tc>
                <w:tcPr/>
                <w:p>
                  <w:pPr>
                    <w:pStyle w:val="Compact"/>
                    <w:jc w:val="left"/>
                    <w:jc w:val="center"/>
                  </w:pPr>
                  <w:r>
                    <w:t xml:space="preserve">&lt;=</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P4: tools-to-debitage ratio</w:t>
                  </w:r>
                </w:p>
              </w:tc>
              <w:tc>
                <w:tcPr/>
                <w:p>
                  <w:pPr>
                    <w:pStyle w:val="Compact"/>
                    <w:jc w:val="left"/>
                    <w:jc w:val="center"/>
                  </w:pPr>
                  <w:r>
                    <w:t xml:space="preserve">0.25-0.5</w:t>
                  </w:r>
                </w:p>
              </w:tc>
              <w:tc>
                <w:tcPr/>
                <w:p>
                  <w:pPr>
                    <w:pStyle w:val="Compact"/>
                    <w:jc w:val="left"/>
                    <w:jc w:val="center"/>
                  </w:pPr>
                  <w:r>
                    <w:t xml:space="preserve">0.9-1.0</w:t>
                  </w:r>
                </w:p>
              </w:tc>
              <w:tc>
                <w:tcPr/>
                <w:p>
                  <w:pPr>
                    <w:pStyle w:val="Compact"/>
                    <w:jc w:val="left"/>
                    <w:jc w:val="center"/>
                  </w:pPr>
                  <w:r>
                    <w:t xml:space="preserve">&lt;0.1-0.2</w:t>
                  </w:r>
                </w:p>
              </w:tc>
              <w:tc>
                <w:tcPr/>
                <w:p>
                  <w:pPr>
                    <w:pStyle w:val="Compact"/>
                    <w:jc w:val="left"/>
                    <w:jc w:val="center"/>
                  </w:pPr>
                  <w:r>
                    <w:t xml:space="preserve">0.3-0.5</w:t>
                  </w:r>
                </w:p>
              </w:tc>
              <w:tc>
                <w:tcPr/>
                <w:p>
                  <w:pPr>
                    <w:pStyle w:val="Compact"/>
                    <w:jc w:val="left"/>
                    <w:jc w:val="center"/>
                  </w:pPr>
                  <w:r>
                    <w:t xml:space="preserve">&lt;0.1</w:t>
                  </w:r>
                </w:p>
              </w:tc>
              <w:tc>
                <w:tcPr/>
                <w:p>
                  <w:pPr>
                    <w:pStyle w:val="Compact"/>
                    <w:jc w:val="left"/>
                    <w:jc w:val="center"/>
                  </w:pPr>
                  <w:r>
                    <w:t xml:space="preserve">0.1-0.3</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P5: core sizes</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r>
          </w:tbl>
          <w:bookmarkEnd w:id="51"/>
          <w:p/>
        </w:tc>
      </w:tr>
    </w:tbl>
    <w:bookmarkEnd w:id="52"/>
    <w:bookmarkStart w:id="54" w:name="discussion"/>
    <w:p>
      <w:pPr>
        <w:pStyle w:val="Heading1"/>
      </w:pPr>
      <w:r>
        <w:t xml:space="preserve">Discussion</w:t>
      </w:r>
    </w:p>
    <w:p>
      <w:pPr>
        <w:pStyle w:val="FirstParagraph"/>
      </w:pPr>
      <w:r>
        <w:t xml:space="preserve">In general, the obtained results seem to fit the study expectations. The Gravettian assemblage seems to show agreement with most of the expectations (table **). Although ~50% of the assemblage is composed of non-local raw materials, making them as frequent as the local cherts, non-local cherts, especially T6 and T7 show differential techno-typological patterns from the local raw materials. Only in expectation e) there seems to be a difference from the expected outcome.</w:t>
      </w:r>
    </w:p>
    <w:p>
      <w:pPr>
        <w:pStyle w:val="BodyText"/>
      </w:pPr>
      <w:r>
        <w:t xml:space="preserve">In this sense, it would be expected a lower typological diversity from non-local cherts, since the distance to source and inferred mobility would assume that less specialized tools would be more adequate for several use-case scenarios; instead, our results show higher tool diversity in non-local cherts. However, this scenario also implies that tools are being transported as either less specialized tools or even blanks which are then maintained. Instead, our results also suggest that the long-distance raw materials, especially T6 and T7, are being knapped at the site. As such, the high diversity of tool typology may simply be a reflection of the transportation of volumes and their knapping on site, a possible preference for these raw materials for the production of retouched tools, and thus their high typological variability. Despite this high variability however, less specialized tools such as retouched blanks are still predominant in non-local cherts, as well as specialized tools such as backed bladelets, giving weight to the interpretation that given the possible ease of access to these raw materials, either through high-mobility or exchanged between groups, these were knapped on site, but with longer use-lives, extensive reduction and high presence of retouch and formal tools.</w:t>
      </w:r>
    </w:p>
    <w:p>
      <w:pPr>
        <w:pStyle w:val="BodyText"/>
      </w:pPr>
      <w:r>
        <w:t xml:space="preserve">Similarly, the Proto-Solutrean assemblage shows only disagreement with the expected outcomes within the variability of retouched tools (expectation e and P8-9) and possibly the focus on maintenance and prolonging use-lives of tools (expectation a), especially concerning P2. Unlike expected, there are little differences in the amount and type of retouched tool types between local and non-local raw materials. Unlike the Gravettian occupation, however, retouched tools are overall not well-represented in the assemblage. It is key to notice, however, that the Proto-Solutrean occupation of Vale Boi seemed to introduce other raw materials, such as quartz or dolerite, to the production of retouched tools. Although knapping strategies seemed to be overall simpler (e.g., simple platform cores in quartz), splintered pieces are highly represented in quartz. In opposition, most endscrapers are made of chert (Belmiro et al., 2021), while the majority of Vale Comprido points are found in dolerite (Belmiro et al., 2021; Marreiros, 2009). These patterns, then, may correspond to a specialisation of tool production to the type of raw material itself (whether quartz, chert or dolerite), thus making chert, retouched tool variability patterns similar and unrelated to distance of source. Regarding P2, although there is a slightly higher presence of core preparation and maintenance products in non-local cherts, there is an overall lack of this class of artefacts. This means that for the Proto-Solutrean assemblage of Vale Boi, core maintenance variables are not adequate to discern differences between local and non-local raw materials, since these knapping strategies were not consistently used during this chronology.</w:t>
      </w:r>
    </w:p>
    <w:p>
      <w:pPr>
        <w:pStyle w:val="BodyText"/>
      </w:pPr>
      <w:r>
        <w:t xml:space="preserve">Finally, the Solutrean assemblages also show only two parameters that disagree with the expectations: debitage sizes (P3) and retouched tool sizes (P7). Flakes show no differences in dimensions and weight between local and non-local raw materials. This may be related to the production process of Solutrean points, which may start with larger flakes or elongated products that are then reconfigured to the desired product, thus producing similar discarded flakes in all chert types. However, elongated blanks do follow the expected patterns, with non-local cherts having smaller products and local cherts. This may mean that non-local cherts, especially T6, are being further reduced in specific strategies for the production of elongated products, thus leading to different patterns between these two classes of blanks. The sizes of retouched tools, alike flakes, also show no relevant differences between local and non-local. However, this variable may not be adequate for the present study, especially regarding the size measurements; both width and length are used for scatterplots, however, the technological database used in this study is missing specific measurements (especially length) for typologies of retouched tools. As such, the scatterplots are further truncated by the difference in analysis methodology, making this pattern possibly invalid.</w:t>
      </w:r>
    </w:p>
    <w:p>
      <w:pPr>
        <w:pStyle w:val="BodyText"/>
      </w:pPr>
      <w:r>
        <w:t xml:space="preserve">Aside from the specific expectations for the treatment of local and non-local cherts within each assemblage, when comparing between technocomplexes, a few key patterns also stand out. Chert retouched tools are present in higher percentages in the Gravettian assemblages (~22%) than in the Proto-Solutrean and Solutrean assemblages (&lt;10%). This is also clear through the tool-to-debitage ratios, which are higher in the Gravettian assemblage (</w:t>
      </w:r>
      <w:hyperlink w:anchor="fig-ratiotd">
        <w:r>
          <w:rPr>
            <w:rStyle w:val="Hyperlink"/>
          </w:rPr>
          <w:t xml:space="preserve">Figure 3</w:t>
        </w:r>
      </w:hyperlink>
      <w:r>
        <w:t xml:space="preserve">).</w:t>
      </w:r>
    </w:p>
    <w:p>
      <w:pPr>
        <w:pStyle w:val="BodyText"/>
      </w:pPr>
      <w:r>
        <w:t xml:space="preserve">There are little differences in the general size and weight of the artifacts between assemblages. For example, for key classes where size and weight differences could be expected (e.g., cores), the length measurements are mostly all located between 20-40 mm and weight between 10-40 gr. The major differences seem to be explained better by bigger cores in local chert types and smaller cores for non-local chert types. However, a few key differences were noted. T4 cores (the chert type most frequent in the Proto-Solutrean assemblage) shows the largest weights of cores of all assemblages, both in the Solutrean and Proto-Solutrean assemblage, as well as T5 in the Solutrean assemblage. T6 and T7 have consistently the smaller weights, especially compared to T2 during the Proto-Solutrean and Gravettian, which shows slightly higher weights. This consistency in artefact size throughout the assemblages may be explained by a combination of local lithic resource availability and transport and knapping strategies focusing on intensive reduction and maintenance of non-local raw materials. Belmiro et al. (2023) highlight the small size of chert nodules (usually between ~5-10 cm with a maximum of 20 cm of diameter) in the Algarve region. Although abundant and possibly available throughout all of the UP, given their location in accessible cliffs, these lithic resources are often small and fracture easily when obtained directly from the source. Given the possibly initial small size of the local chert nodules, it may be possible that the small artefact sizes are related not to intensive knapping of the nodules, but to the initial size of the knapped volumes. This is also supported by the lower blank-to-core ratios seen in local raw materials.</w:t>
      </w:r>
    </w:p>
    <w:p>
      <w:pPr>
        <w:pStyle w:val="BodyText"/>
      </w:pPr>
      <w:r>
        <w:t xml:space="preserve">In comparison, at least for T6 cherts from central Portugal (for which we have a comparable reference collection of unknapped volumes collected from secondary sources), the initial volumes are frequently larger (&gt;20 cm), although smaller nodules can also be found. This suggests that the small artefact sizes of this non-local resource are not necessarily a product of resource availability but an intentional choice of either transportability of smaller volumes/nodules, knapping strategies focused on intensive reduction and maintenance, or both. This is also supported by the higher blank-to-core and tool-to-debitage ratios seen in non-local raw materials, especially T6.</w:t>
      </w:r>
    </w:p>
    <w:p>
      <w:pPr>
        <w:pStyle w:val="BodyText"/>
      </w:pPr>
      <w:r>
        <w:t xml:space="preserve">A key interpretation can be derived. Cores, shatter and debitage are present even in non-local chert types (excluding the TL category), meaning although possibly coming from long-distance (e.g., T6 and T7 with sources over ~200 km, as the crow flies), these raw materials were being introduced to the site as knappable volumes and not only as finished products. This has also been previously suggested, based on the presence of cortex attributed to small transport distances from source to procurement area, in non-local cherts in all assemblages (Belmiro et al., 2025).</w:t>
      </w:r>
    </w:p>
    <w:bookmarkStart w:id="53" w:name="some-extra-notes-and-structure"/>
    <w:p>
      <w:pPr>
        <w:pStyle w:val="Heading2"/>
      </w:pPr>
      <w:r>
        <w:t xml:space="preserve">Some extra notes and structure</w:t>
      </w:r>
    </w:p>
    <w:p>
      <w:pPr>
        <w:pStyle w:val="Compact"/>
        <w:numPr>
          <w:ilvl w:val="0"/>
          <w:numId w:val="1002"/>
        </w:numPr>
      </w:pPr>
      <w:r>
        <w:t xml:space="preserve">Goals of the study</w:t>
      </w:r>
    </w:p>
    <w:p>
      <w:pPr>
        <w:pStyle w:val="Compact"/>
        <w:numPr>
          <w:ilvl w:val="0"/>
          <w:numId w:val="1002"/>
        </w:numPr>
      </w:pPr>
      <w:r>
        <w:t xml:space="preserve">Parameters studied</w:t>
      </w:r>
    </w:p>
    <w:p>
      <w:pPr>
        <w:pStyle w:val="Compact"/>
        <w:numPr>
          <w:ilvl w:val="0"/>
          <w:numId w:val="1002"/>
        </w:numPr>
      </w:pPr>
      <w:r>
        <w:t xml:space="preserve">Summary of the results based on expectations</w:t>
      </w:r>
    </w:p>
    <w:p>
      <w:pPr>
        <w:pStyle w:val="Compact"/>
        <w:numPr>
          <w:ilvl w:val="0"/>
          <w:numId w:val="1002"/>
        </w:numPr>
      </w:pPr>
      <w:r>
        <w:t xml:space="preserve">How they fit within the expectations + how they differ by assemblage</w:t>
      </w:r>
    </w:p>
    <w:p>
      <w:pPr>
        <w:pStyle w:val="Compact"/>
        <w:numPr>
          <w:ilvl w:val="0"/>
          <w:numId w:val="1002"/>
        </w:numPr>
      </w:pPr>
      <w:r>
        <w:t xml:space="preserve">General differences between expectations</w:t>
      </w:r>
    </w:p>
    <w:p>
      <w:pPr>
        <w:pStyle w:val="Compact"/>
        <w:numPr>
          <w:ilvl w:val="0"/>
          <w:numId w:val="1002"/>
        </w:numPr>
      </w:pPr>
      <w:r>
        <w:t xml:space="preserve">Interpretation of chert procurement and management, and changes through time + settlement changes</w:t>
      </w:r>
    </w:p>
    <w:p>
      <w:pPr>
        <w:pStyle w:val="FirstParagraph"/>
      </w:pPr>
      <w:r>
        <w:t xml:space="preserve">When groups move to areas where raw materials are scarcer or of poorer quality (understanding that poorer quality may not mean they are bad quality, simply not as good quality as the raw materials group have current access), more effort is placed in the preparation of transportable cores and tools (Kelly, 1988). This may be the case for the Gravettian assemblage; not only is the percentage of tools high, large enough volumes of stone were transported to the site and knapped, but also high frequency of burins, which may have also been a technological choice to obtain elongated products in an efficient way. There seems to be an effort in transporting raw materials of known good quality in transportable yet adaptable shapes to later shape and use.</w:t>
      </w:r>
    </w:p>
    <w:p>
      <w:pPr>
        <w:pStyle w:val="BodyText"/>
      </w:pPr>
      <w:r>
        <w:t xml:space="preserve">It would be also expected that whenever groups have easy access to good quality, non-local raw materials, either due to high mobility or exchanges between groups, these resources become more abundant in the assemblage, but also be less extensively used (Andrefsky, 1994). The idea is that the patterns of non-local raw material use are based on their conservation due to cost of procurement; when that cost is reduced, so is the necessity to conserve the resources, and thus the expected patterns may not be as clear. Despite the high frequency of non-local raw materials, which implies some sort of ease of access to non-local raw materials of good quality, probably due to high residential mobility, the assemblage still shows conservation of raw materials. This is seen in the high frequence of retouched tools and high ratios of tool to debitage when compared to local raw materials. Artefact sizes are also smaller in non-local raw materials then local raw materials and blank-to-core ratios are higher, showing that these non-local raw materials were extensively used. This shows that access to non-local raw materials, making them highly represented in the assemblage, especially the cherts from central Portugal (T6), did not impact the patterns expected for the treatment of non-local raw materials.</w:t>
      </w:r>
    </w:p>
    <w:p>
      <w:pPr>
        <w:pStyle w:val="BodyText"/>
      </w:pPr>
      <w:r>
        <w:t xml:space="preserve">A strategy used to raw material transportation is stockpilling lithic raw materials in various production stages, thus reducing the need for extensive lithic production and tool reworking (Kuhn, 2004). Longer-term residential occupations occupations are more likely to involve stockpilling strategies and reduced investment in tool maintenance (Bamforth, 1990). This would create assemblages with more blanks, less maintenance products and less retouched tools such as retouched flakes. However, even with stockpilling,</w:t>
      </w:r>
    </w:p>
    <w:bookmarkEnd w:id="53"/>
    <w:bookmarkEnd w:id="54"/>
    <w:bookmarkStart w:id="55" w:name="conclusion"/>
    <w:p>
      <w:pPr>
        <w:pStyle w:val="Heading1"/>
      </w:pPr>
      <w:r>
        <w:t xml:space="preserve">Conclusion</w:t>
      </w:r>
    </w:p>
    <w:bookmarkEnd w:id="55"/>
    <w:bookmarkStart w:id="56" w:name="acknowledgements"/>
    <w:p>
      <w:pPr>
        <w:pStyle w:val="Heading1"/>
      </w:pPr>
      <w:r>
        <w:t xml:space="preserve">Acknowledgements</w:t>
      </w:r>
    </w:p>
    <w:p>
      <w:r>
        <w:br w:type="page"/>
      </w:r>
    </w:p>
    <w:bookmarkEnd w:id="56"/>
    <w:bookmarkStart w:id="61" w:name="references"/>
    <w:p>
      <w:pPr>
        <w:pStyle w:val="Heading1"/>
      </w:pPr>
      <w:r>
        <w:t xml:space="preserve">References</w:t>
      </w:r>
    </w:p>
    <w:bookmarkStart w:id="59" w:name="refs"/>
    <w:bookmarkStart w:id="58"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7">
        <w:r>
          <w:rPr>
            <w:rStyle w:val="Hyperlink"/>
          </w:rPr>
          <w:t xml:space="preserve">https://doi.org/10.1016/j.jaa.2004.09.001</w:t>
        </w:r>
      </w:hyperlink>
    </w:p>
    <w:bookmarkEnd w:id="58"/>
    <w:bookmarkEnd w:id="59"/>
    <w:p>
      <w:r>
        <w:br w:type="page"/>
      </w:r>
    </w:p>
    <w:bookmarkStart w:id="60" w:name="colophon"/>
    <w:p>
      <w:pPr>
        <w:pStyle w:val="Heading3"/>
      </w:pPr>
      <w:r>
        <w:t xml:space="preserve">Colophon</w:t>
      </w:r>
    </w:p>
    <w:p>
      <w:pPr>
        <w:pStyle w:val="FirstParagraph"/>
      </w:pPr>
      <w:r>
        <w:t xml:space="preserve">This report was generated on 2025-03-01 00:27:39.697422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2025-03-01</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0"/>
    <w:bookmarkEnd w:id="6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hyperlink" Id="rId57"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2025-03-01T00:27:41Z</dcterms:created>
  <dcterms:modified xsi:type="dcterms:W3CDTF">2025-03-01T00:27:41Z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March 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