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1.png" ContentType="image/png"/>
  <Override PartName="/word/media/rId45.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February</w:t>
      </w:r>
      <w:r>
        <w:t xml:space="preserve"> </w:t>
      </w:r>
      <w:r>
        <w:t xml:space="preserve">26,</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4"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2"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tbl>
      <w:tblPr>
        <w:tblStyle w:val="Table"/>
        <w:tblW w:type="pct" w:w="5000"/>
        <w:tblLayout w:type="fixed"/>
        <w:tblLook w:firstRow="0" w:lastRow="0" w:firstColumn="0" w:lastColumn="0" w:noHBand="0" w:noVBand="0" w:val="0000"/>
      </w:tblPr>
      <w:tblGrid>
        <w:gridCol w:w="7920"/>
      </w:tblGrid>
      <w:tr>
        <w:tc>
          <w:tcPr/>
          <w:bookmarkStart w:id="21" w:name="tbl-expectations"/>
          <w:p>
            <w:pPr>
              <w:jc w:val="center"/>
            </w:pPr>
            <w:pPr>
              <w:jc w:val="start"/>
              <w:spacing w:before="200"/>
              <w:pStyle w:val="ImageCaption"/>
            </w:pPr>
            <w:r>
              <w:t xml:space="preserve">Table 1: A table.</w:t>
            </w:r>
          </w:p>
          <w:tbl>
            <w:tblPr>
              <w:tblStyle w:val="Table"/>
              <w:tblW w:type="pct" w:w="5000"/>
              <w:tblLayout w:type="fixed"/>
              <w:tblLook w:firstRow="1" w:lastRow="0" w:firstColumn="0" w:lastColumn="0" w:noHBand="0" w:noVBand="0" w:val="0020"/>
            </w:tblPr>
            <w:tblGrid>
              <w:gridCol w:w="2752"/>
              <w:gridCol w:w="5167"/>
            </w:tblGrid>
            <w:tr>
              <w:trPr>
                <w:tblHeader w:val="on"/>
              </w:trPr>
              <w:tc>
                <w:tcPr/>
                <w:p>
                  <w:pPr>
                    <w:pStyle w:val="Compact"/>
                    <w:jc w:val="left"/>
                    <w:jc w:val="center"/>
                  </w:pPr>
                  <w:r>
                    <w:t xml:space="preserve">1. Local raw materials</w:t>
                  </w:r>
                </w:p>
              </w:tc>
              <w:tc>
                <w:tcPr/>
                <w:p>
                  <w:pPr>
                    <w:pStyle w:val="Compact"/>
                    <w:jc w:val="left"/>
                    <w:jc w:val="center"/>
                  </w:pPr>
                  <w:r>
                    <w:t xml:space="preserve">2. Non-local raw materials</w:t>
                  </w:r>
                </w:p>
              </w:tc>
            </w:tr>
            <w:tr>
              <w:tc>
                <w:tcPr/>
                <w:p>
                  <w:pPr>
                    <w:pStyle w:val="Compact"/>
                    <w:jc w:val="left"/>
                    <w:jc w:val="center"/>
                  </w:pPr>
                  <w:r>
                    <w:t xml:space="preserve">1a) Low use-lives, with knapping strategies characterised by manufacture, use and discard</w:t>
                  </w:r>
                </w:p>
              </w:tc>
              <w:tc>
                <w:tcPr/>
                <w:p>
                  <w:pPr>
                    <w:pStyle w:val="Compact"/>
                    <w:jc w:val="left"/>
                    <w:jc w:val="center"/>
                  </w:pPr>
                  <w:r>
                    <w:t xml:space="preserve">2a) Majority of formal tools, in the case of individual provisioning or higher use-lives, with knapping strategies characterised by the manufacture, use and maintenance</w:t>
                  </w:r>
                </w:p>
              </w:tc>
            </w:tr>
            <w:tr>
              <w:tc>
                <w:tcPr/>
                <w:p>
                  <w:pPr>
                    <w:pStyle w:val="Compact"/>
                    <w:jc w:val="left"/>
                    <w:jc w:val="center"/>
                  </w:pPr>
                  <w:r>
                    <w:t xml:space="preserve">1b) Decreased reduction intensity and low tools to debitage ratio</w:t>
                  </w:r>
                </w:p>
              </w:tc>
              <w:tc>
                <w:tcPr/>
                <w:p>
                  <w:pPr>
                    <w:pStyle w:val="Compact"/>
                    <w:jc w:val="left"/>
                    <w:jc w:val="center"/>
                  </w:pPr>
                  <w:r>
                    <w:t xml:space="preserve">2b) Increased reduction intensity and high tools to debitage ratio</w:t>
                  </w:r>
                </w:p>
              </w:tc>
            </w:tr>
            <w:tr>
              <w:tc>
                <w:tcPr/>
                <w:p>
                  <w:pPr>
                    <w:pStyle w:val="Compact"/>
                    <w:jc w:val="left"/>
                    <w:jc w:val="center"/>
                  </w:pPr>
                  <w:r>
                    <w:t xml:space="preserve">1c) Larger cores and lower blank-to-core ratio</w:t>
                  </w:r>
                </w:p>
              </w:tc>
              <w:tc>
                <w:tcPr/>
                <w:p>
                  <w:pPr>
                    <w:pStyle w:val="Compact"/>
                    <w:jc w:val="left"/>
                    <w:jc w:val="center"/>
                  </w:pPr>
                  <w:r>
                    <w:t xml:space="preserve">2c) Smaller cores and higher blank-to-core ratio</w:t>
                  </w:r>
                </w:p>
              </w:tc>
            </w:tr>
            <w:tr>
              <w:tc>
                <w:tcPr/>
                <w:p>
                  <w:pPr>
                    <w:pStyle w:val="Compact"/>
                    <w:jc w:val="left"/>
                    <w:jc w:val="center"/>
                  </w:pPr>
                  <w:r>
                    <w:t xml:space="preserve">1d) Less extensive reduction and reworking of tools</w:t>
                  </w:r>
                </w:p>
              </w:tc>
              <w:tc>
                <w:tcPr/>
                <w:p>
                  <w:pPr>
                    <w:pStyle w:val="Compact"/>
                    <w:jc w:val="left"/>
                    <w:jc w:val="center"/>
                  </w:pPr>
                  <w:r>
                    <w:t xml:space="preserve">2d) More extensive reduction and high presence of retouch and/or tool maintenance</w:t>
                  </w:r>
                </w:p>
              </w:tc>
            </w:tr>
            <w:tr>
              <w:tc>
                <w:tcPr/>
                <w:p>
                  <w:pPr>
                    <w:pStyle w:val="Compact"/>
                    <w:jc w:val="left"/>
                    <w:jc w:val="center"/>
                  </w:pPr>
                  <w:r>
                    <w:t xml:space="preserve">1e) Higher tool typology diversity</w:t>
                  </w:r>
                </w:p>
              </w:tc>
              <w:tc>
                <w:tcPr/>
                <w:p>
                  <w:pPr>
                    <w:pStyle w:val="Compact"/>
                    <w:jc w:val="left"/>
                    <w:jc w:val="center"/>
                  </w:pPr>
                  <w:r>
                    <w:t xml:space="preserve">2e) Lower tool diversity, characterised by less specialised tool</w:t>
                  </w:r>
                </w:p>
              </w:tc>
            </w:tr>
          </w:tbl>
          <w:bookmarkEnd w:id="21"/>
          <w:p/>
        </w:tc>
      </w:tr>
    </w:tbl>
    <w:p>
      <w:pPr>
        <w:pStyle w:val="BodyText"/>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2"/>
    <w:bookmarkStart w:id="23"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3"/>
    <w:bookmarkEnd w:id="24"/>
    <w:bookmarkStart w:id="26"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tbl>
      <w:tblPr>
        <w:tblStyle w:val="Table"/>
        <w:tblW w:type="pct" w:w="5000"/>
        <w:tblLayout w:type="fixed"/>
        <w:tblLook w:firstRow="0" w:lastRow="0" w:firstColumn="0" w:lastColumn="0" w:noHBand="0" w:noVBand="0" w:val="0000"/>
      </w:tblPr>
      <w:tblGrid>
        <w:gridCol w:w="7920"/>
      </w:tblGrid>
      <w:tr>
        <w:tc>
          <w:tcPr/>
          <w:bookmarkStart w:id="25" w:name="tbl-samples"/>
          <w:p>
            <w:pPr>
              <w:jc w:val="center"/>
            </w:pPr>
            <w:pPr>
              <w:jc w:val="start"/>
              <w:spacing w:before="200"/>
              <w:pStyle w:val="ImageCaption"/>
            </w:pPr>
            <w:r>
              <w:t xml:space="preserve">Table 2: Sample absolute number comparison between original datasets (chert and chalcedony only) for the Solutrean occupation of the Shelter area (levels A-C) published in Cascalheira (2010), the Proto-Solutrean occupation of the Terrace (levels 4E and 5) published in Belmiro et. al., (2021) and the Solutrean occupation of the Terrace (levels 6-7) and the final datasets used in the study after filtering individually plotted IDs (excluding bucket points) and merging with the geoarchaeological dataset published in Belmiro et al., (2025).</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Assemblage</w:t>
                  </w:r>
                </w:p>
              </w:tc>
              <w:tc>
                <w:tcPr/>
                <w:p>
                  <w:pPr>
                    <w:pStyle w:val="Compact"/>
                    <w:jc w:val="right"/>
                    <w:jc w:val="center"/>
                  </w:pPr>
                  <w:r>
                    <w:t xml:space="preserve">Original dataset (n)</w:t>
                  </w:r>
                </w:p>
              </w:tc>
              <w:tc>
                <w:tcPr/>
                <w:p>
                  <w:pPr>
                    <w:pStyle w:val="Compact"/>
                    <w:jc w:val="right"/>
                    <w:jc w:val="center"/>
                  </w:pPr>
                  <w:r>
                    <w:t xml:space="preserve">Merged dataset (n)</w:t>
                  </w:r>
                </w:p>
              </w:tc>
            </w:tr>
            <w:tr>
              <w:tc>
                <w:tcPr/>
                <w:p>
                  <w:pPr>
                    <w:pStyle w:val="Compact"/>
                    <w:jc w:val="left"/>
                    <w:jc w:val="center"/>
                  </w:pPr>
                  <w:r>
                    <w:t xml:space="preserve">Shelter level A-C</w:t>
                  </w:r>
                </w:p>
              </w:tc>
              <w:tc>
                <w:tcPr/>
                <w:p>
                  <w:pPr>
                    <w:pStyle w:val="Compact"/>
                    <w:jc w:val="right"/>
                    <w:jc w:val="center"/>
                  </w:pPr>
                  <w:r>
                    <w:t xml:space="preserve">3359</w:t>
                  </w:r>
                </w:p>
              </w:tc>
              <w:tc>
                <w:tcPr/>
                <w:p>
                  <w:pPr>
                    <w:pStyle w:val="Compact"/>
                    <w:jc w:val="right"/>
                    <w:jc w:val="center"/>
                  </w:pPr>
                  <w:r>
                    <w:t xml:space="preserve">910</w:t>
                  </w:r>
                </w:p>
              </w:tc>
            </w:tr>
            <w:tr>
              <w:tc>
                <w:tcPr/>
                <w:p>
                  <w:pPr>
                    <w:pStyle w:val="Compact"/>
                    <w:jc w:val="left"/>
                    <w:jc w:val="center"/>
                  </w:pPr>
                  <w:r>
                    <w:t xml:space="preserve">Terrace level 4E-5</w:t>
                  </w:r>
                </w:p>
              </w:tc>
              <w:tc>
                <w:tcPr/>
                <w:p>
                  <w:pPr>
                    <w:pStyle w:val="Compact"/>
                    <w:jc w:val="right"/>
                    <w:jc w:val="center"/>
                  </w:pPr>
                  <w:r>
                    <w:t xml:space="preserve">1821</w:t>
                  </w:r>
                </w:p>
              </w:tc>
              <w:tc>
                <w:tcPr/>
                <w:p>
                  <w:pPr>
                    <w:pStyle w:val="Compact"/>
                    <w:jc w:val="right"/>
                    <w:jc w:val="center"/>
                  </w:pPr>
                  <w:r>
                    <w:t xml:space="preserve">635</w:t>
                  </w:r>
                </w:p>
              </w:tc>
            </w:tr>
            <w:tr>
              <w:tc>
                <w:tcPr/>
                <w:p>
                  <w:pPr>
                    <w:pStyle w:val="Compact"/>
                    <w:jc w:val="left"/>
                    <w:jc w:val="center"/>
                  </w:pPr>
                  <w:r>
                    <w:t xml:space="preserve">Terrace level 6-7</w:t>
                  </w:r>
                </w:p>
              </w:tc>
              <w:tc>
                <w:tcPr/>
                <w:p>
                  <w:pPr>
                    <w:pStyle w:val="Compact"/>
                    <w:jc w:val="right"/>
                    <w:jc w:val="center"/>
                  </w:pPr>
                  <w:r>
                    <w:t xml:space="preserve">781</w:t>
                  </w:r>
                </w:p>
              </w:tc>
              <w:tc>
                <w:tcPr/>
                <w:p>
                  <w:pPr>
                    <w:pStyle w:val="Compact"/>
                    <w:jc w:val="right"/>
                    <w:jc w:val="center"/>
                  </w:pPr>
                  <w:r>
                    <w:t xml:space="preserve">766</w:t>
                  </w:r>
                </w:p>
              </w:tc>
            </w:tr>
          </w:tbl>
          <w:bookmarkEnd w:id="25"/>
          <w:p/>
        </w:tc>
      </w:tr>
    </w:tbl>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6"/>
    <w:bookmarkStart w:id="61" w:name="results"/>
    <w:p>
      <w:pPr>
        <w:pStyle w:val="Heading1"/>
      </w:pPr>
      <w:r>
        <w:t xml:space="preserve">Results</w:t>
      </w:r>
    </w:p>
    <w:bookmarkStart w:id="33" w:name="tbl-general"/>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8" w:name="tbl-general-1"/>
                <w:p>
                  <w:pPr>
                    <w:jc w:val="center"/>
                    <w:jc w:val="left"/>
                  </w:pPr>
                  <w:pPr>
                    <w:jc w:val="start"/>
                    <w:spacing w:before="200"/>
                    <w:pStyle w:val="ImageCaption"/>
                  </w:pPr>
                  <w:r>
                    <w:t xml:space="preserve">(a) Number and percentage of technotypological classes by raw material from the Gravettian assemblage (levels 6 and 7) of the Terrace area.</w:t>
                  </w:r>
                </w:p>
                <w:bookmarkStart w:id="27" w:name="tbl-general-1"/>
                <w:tbl>
                  <w:tblPr>
                    <w:tblStyle w:val="Table"/>
                    <w:tblW w:type="pct" w:w="4900"/>
                    <w:tblLayout w:type="fixed"/>
                    <w:tblLook w:firstRow="1" w:lastRow="0" w:firstColumn="0" w:lastColumn="0" w:noHBand="0" w:noVBand="0" w:val="0020"/>
                  </w:tblPr>
                  <w:tblGrid>
                    <w:gridCol w:w="862"/>
                    <w:gridCol w:w="862"/>
                    <w:gridCol w:w="862"/>
                    <w:gridCol w:w="862"/>
                    <w:gridCol w:w="862"/>
                    <w:gridCol w:w="862"/>
                    <w:gridCol w:w="862"/>
                    <w:gridCol w:w="862"/>
                    <w:gridCol w:w="862"/>
                  </w:tblGrid>
                  <w:tr>
                    <w:trPr>
                      <w:tblHeader w:val="on"/>
                    </w:trPr>
                    <w:tc>
                      <w:tcPr/>
                      <w:p>
                        <w:pPr>
                          <w:pStyle w:val="Compact"/>
                          <w:jc w:val="left"/>
                          <w:jc w:val="center"/>
                          <w:jc w:val="left"/>
                        </w:pPr>
                        <w:r>
                          <w:t xml:space="preserve">CLASS</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TL</w:t>
                        </w:r>
                      </w:p>
                    </w:tc>
                    <w:tc>
                      <w:tcPr/>
                      <w:p>
                        <w:pPr>
                          <w:pStyle w:val="Compact"/>
                          <w:jc w:val="left"/>
                          <w:jc w:val="center"/>
                          <w:jc w:val="left"/>
                        </w:pPr>
                        <w:r>
                          <w:t xml:space="preserve">Total</w:t>
                        </w:r>
                      </w:p>
                    </w:tc>
                  </w:tr>
                  <w:tr>
                    <w:tc>
                      <w:tcPr/>
                      <w:p>
                        <w:pPr>
                          <w:pStyle w:val="Compact"/>
                          <w:jc w:val="left"/>
                          <w:jc w:val="center"/>
                          <w:jc w:val="left"/>
                        </w:pPr>
                        <w:r>
                          <w:t xml:space="preserve">Blank</w:t>
                        </w:r>
                      </w:p>
                    </w:tc>
                    <w:tc>
                      <w:tcPr/>
                      <w:p>
                        <w:pPr>
                          <w:pStyle w:val="Compact"/>
                          <w:jc w:val="left"/>
                          <w:jc w:val="center"/>
                          <w:jc w:val="left"/>
                        </w:pPr>
                        <w:r>
                          <w:t xml:space="preserve">82 (33.20%)</w:t>
                        </w:r>
                      </w:p>
                    </w:tc>
                    <w:tc>
                      <w:tcPr/>
                      <w:p>
                        <w:pPr>
                          <w:pStyle w:val="Compact"/>
                          <w:jc w:val="left"/>
                          <w:jc w:val="center"/>
                          <w:jc w:val="left"/>
                        </w:pPr>
                        <w:r>
                          <w:t xml:space="preserve">44 (26.04%)</w:t>
                        </w:r>
                      </w:p>
                    </w:tc>
                    <w:tc>
                      <w:tcPr/>
                      <w:p>
                        <w:pPr>
                          <w:pStyle w:val="Compact"/>
                          <w:jc w:val="left"/>
                          <w:jc w:val="center"/>
                          <w:jc w:val="left"/>
                        </w:pPr>
                        <w:r>
                          <w:t xml:space="preserve">21 (24.42%)</w:t>
                        </w:r>
                      </w:p>
                    </w:tc>
                    <w:tc>
                      <w:tcPr/>
                      <w:p>
                        <w:pPr>
                          <w:pStyle w:val="Compact"/>
                          <w:jc w:val="left"/>
                          <w:jc w:val="center"/>
                          <w:jc w:val="left"/>
                        </w:pPr>
                        <w:r>
                          <w:t xml:space="preserve">3 (33.33%)</w:t>
                        </w:r>
                      </w:p>
                    </w:tc>
                    <w:tc>
                      <w:tcPr/>
                      <w:p>
                        <w:pPr>
                          <w:pStyle w:val="Compact"/>
                          <w:jc w:val="left"/>
                          <w:jc w:val="center"/>
                          <w:jc w:val="left"/>
                        </w:pPr>
                        <w:r>
                          <w:t xml:space="preserve">1 (6.25%)</w:t>
                        </w:r>
                      </w:p>
                    </w:tc>
                    <w:tc>
                      <w:tcPr/>
                      <w:p>
                        <w:pPr>
                          <w:pStyle w:val="Compact"/>
                          <w:jc w:val="left"/>
                          <w:jc w:val="center"/>
                          <w:jc w:val="left"/>
                        </w:pPr>
                        <w:r>
                          <w:t xml:space="preserve">7 (38.89%)</w:t>
                        </w:r>
                      </w:p>
                    </w:tc>
                    <w:tc>
                      <w:tcPr/>
                      <w:p>
                        <w:pPr>
                          <w:pStyle w:val="Compact"/>
                          <w:jc w:val="left"/>
                          <w:jc w:val="center"/>
                          <w:jc w:val="left"/>
                        </w:pPr>
                        <w:r>
                          <w:t xml:space="preserve">3 (25.00%)</w:t>
                        </w:r>
                      </w:p>
                    </w:tc>
                    <w:tc>
                      <w:tcPr/>
                      <w:p>
                        <w:pPr>
                          <w:pStyle w:val="Compact"/>
                          <w:jc w:val="left"/>
                          <w:jc w:val="center"/>
                          <w:jc w:val="left"/>
                        </w:pPr>
                        <w:r>
                          <w:t xml:space="preserve">161 (28.90%)</w:t>
                        </w:r>
                      </w:p>
                    </w:tc>
                  </w:tr>
                  <w:tr>
                    <w:tc>
                      <w:tcPr/>
                      <w:p>
                        <w:pPr>
                          <w:pStyle w:val="Compact"/>
                          <w:jc w:val="left"/>
                          <w:jc w:val="center"/>
                          <w:jc w:val="left"/>
                        </w:pPr>
                        <w:r>
                          <w:t xml:space="preserve">Blank fragment</w:t>
                        </w:r>
                      </w:p>
                    </w:tc>
                    <w:tc>
                      <w:tcPr/>
                      <w:p>
                        <w:pPr>
                          <w:pStyle w:val="Compact"/>
                          <w:jc w:val="left"/>
                          <w:jc w:val="center"/>
                          <w:jc w:val="left"/>
                        </w:pPr>
                        <w:r>
                          <w:t xml:space="preserve">55 (22.27%)</w:t>
                        </w:r>
                      </w:p>
                    </w:tc>
                    <w:tc>
                      <w:tcPr/>
                      <w:p>
                        <w:pPr>
                          <w:pStyle w:val="Compact"/>
                          <w:jc w:val="left"/>
                          <w:jc w:val="center"/>
                          <w:jc w:val="left"/>
                        </w:pPr>
                        <w:r>
                          <w:t xml:space="preserve">24 (14.20%)</w:t>
                        </w:r>
                      </w:p>
                    </w:tc>
                    <w:tc>
                      <w:tcPr/>
                      <w:p>
                        <w:pPr>
                          <w:pStyle w:val="Compact"/>
                          <w:jc w:val="left"/>
                          <w:jc w:val="center"/>
                          <w:jc w:val="left"/>
                        </w:pPr>
                        <w:r>
                          <w:t xml:space="preserve">21 (24.42%)</w:t>
                        </w:r>
                      </w:p>
                    </w:tc>
                    <w:tc>
                      <w:tcPr/>
                      <w:p>
                        <w:pPr>
                          <w:pStyle w:val="Compact"/>
                          <w:jc w:val="left"/>
                          <w:jc w:val="center"/>
                          <w:jc w:val="left"/>
                        </w:pPr>
                        <w:r>
                          <w:t xml:space="preserve">2 (22.22%)</w:t>
                        </w:r>
                      </w:p>
                    </w:tc>
                    <w:tc>
                      <w:tcPr/>
                      <w:p>
                        <w:pPr>
                          <w:pStyle w:val="Compact"/>
                          <w:jc w:val="left"/>
                          <w:jc w:val="center"/>
                          <w:jc w:val="left"/>
                        </w:pPr>
                        <w:r>
                          <w:t xml:space="preserve">4 (25.00%)</w:t>
                        </w:r>
                      </w:p>
                    </w:tc>
                    <w:tc>
                      <w:tcPr/>
                      <w:p>
                        <w:pPr>
                          <w:pStyle w:val="Compact"/>
                          <w:jc w:val="left"/>
                          <w:jc w:val="center"/>
                          <w:jc w:val="left"/>
                        </w:pPr>
                        <w:r>
                          <w:t xml:space="preserve">3 (16.67%)</w:t>
                        </w:r>
                      </w:p>
                    </w:tc>
                    <w:tc>
                      <w:tcPr/>
                      <w:p>
                        <w:pPr>
                          <w:pStyle w:val="Compact"/>
                          <w:jc w:val="left"/>
                          <w:jc w:val="center"/>
                          <w:jc w:val="left"/>
                        </w:pPr>
                        <w:r>
                          <w:t xml:space="preserve">2 (16.67%)</w:t>
                        </w:r>
                      </w:p>
                    </w:tc>
                    <w:tc>
                      <w:tcPr/>
                      <w:p>
                        <w:pPr>
                          <w:pStyle w:val="Compact"/>
                          <w:jc w:val="left"/>
                          <w:jc w:val="center"/>
                          <w:jc w:val="left"/>
                        </w:pPr>
                        <w:r>
                          <w:t xml:space="preserve">111 (19.93%)</w:t>
                        </w:r>
                      </w:p>
                    </w:tc>
                  </w:tr>
                  <w:tr>
                    <w:tc>
                      <w:tcPr/>
                      <w:p>
                        <w:pPr>
                          <w:pStyle w:val="Compact"/>
                          <w:jc w:val="left"/>
                          <w:jc w:val="center"/>
                          <w:jc w:val="left"/>
                        </w:pPr>
                        <w:r>
                          <w:t xml:space="preserve">Burin spall</w:t>
                        </w:r>
                      </w:p>
                    </w:tc>
                    <w:tc>
                      <w:tcPr/>
                      <w:p>
                        <w:pPr>
                          <w:pStyle w:val="Compact"/>
                          <w:jc w:val="left"/>
                          <w:jc w:val="center"/>
                          <w:jc w:val="left"/>
                        </w:pPr>
                        <w:r>
                          <w:t xml:space="preserve">11 (4.45%)</w:t>
                        </w:r>
                      </w:p>
                    </w:tc>
                    <w:tc>
                      <w:tcPr/>
                      <w:p>
                        <w:pPr>
                          <w:pStyle w:val="Compact"/>
                          <w:jc w:val="left"/>
                          <w:jc w:val="center"/>
                          <w:jc w:val="left"/>
                        </w:pPr>
                        <w:r>
                          <w:t xml:space="preserve">12 (7.10%)</w:t>
                        </w:r>
                      </w:p>
                    </w:tc>
                    <w:tc>
                      <w:tcPr/>
                      <w:p>
                        <w:pPr>
                          <w:pStyle w:val="Compact"/>
                          <w:jc w:val="left"/>
                          <w:jc w:val="center"/>
                          <w:jc w:val="left"/>
                        </w:pPr>
                        <w:r>
                          <w:t xml:space="preserve">4 (4.65%)</w:t>
                        </w:r>
                      </w:p>
                    </w:tc>
                    <w:tc>
                      <w:tcPr/>
                      <w:p>
                        <w:pPr>
                          <w:pStyle w:val="Compact"/>
                        </w:pPr>
                      </w:p>
                    </w:tc>
                    <w:tc>
                      <w:tcPr/>
                      <w:p>
                        <w:pPr>
                          <w:pStyle w:val="Compact"/>
                        </w:pPr>
                      </w:p>
                    </w:tc>
                    <w:tc>
                      <w:tcPr/>
                      <w:p>
                        <w:pPr>
                          <w:pStyle w:val="Compact"/>
                        </w:pPr>
                      </w:p>
                    </w:tc>
                    <w:tc>
                      <w:tcPr/>
                      <w:p>
                        <w:pPr>
                          <w:pStyle w:val="Compact"/>
                          <w:jc w:val="left"/>
                          <w:jc w:val="center"/>
                          <w:jc w:val="left"/>
                        </w:pPr>
                        <w:r>
                          <w:t xml:space="preserve">1 (8.33%)</w:t>
                        </w:r>
                      </w:p>
                    </w:tc>
                    <w:tc>
                      <w:tcPr/>
                      <w:p>
                        <w:pPr>
                          <w:pStyle w:val="Compact"/>
                          <w:jc w:val="left"/>
                          <w:jc w:val="center"/>
                          <w:jc w:val="left"/>
                        </w:pPr>
                        <w:r>
                          <w:t xml:space="preserve">28 (5.03%)</w:t>
                        </w:r>
                      </w:p>
                    </w:tc>
                  </w:tr>
                  <w:tr>
                    <w:tc>
                      <w:tcPr/>
                      <w:p>
                        <w:pPr>
                          <w:pStyle w:val="Compact"/>
                          <w:jc w:val="left"/>
                          <w:jc w:val="center"/>
                          <w:jc w:val="left"/>
                        </w:pPr>
                        <w:r>
                          <w:t xml:space="preserve">Core</w:t>
                        </w:r>
                      </w:p>
                    </w:tc>
                    <w:tc>
                      <w:tcPr/>
                      <w:p>
                        <w:pPr>
                          <w:pStyle w:val="Compact"/>
                          <w:jc w:val="left"/>
                          <w:jc w:val="center"/>
                          <w:jc w:val="left"/>
                        </w:pPr>
                        <w:r>
                          <w:t xml:space="preserve">14 (5.67%)</w:t>
                        </w:r>
                      </w:p>
                    </w:tc>
                    <w:tc>
                      <w:tcPr/>
                      <w:p>
                        <w:pPr>
                          <w:pStyle w:val="Compact"/>
                          <w:jc w:val="left"/>
                          <w:jc w:val="center"/>
                          <w:jc w:val="left"/>
                        </w:pPr>
                        <w:r>
                          <w:t xml:space="preserve">6 (3.55%)</w:t>
                        </w:r>
                      </w:p>
                    </w:tc>
                    <w:tc>
                      <w:tcPr/>
                      <w:p>
                        <w:pPr>
                          <w:pStyle w:val="Compact"/>
                          <w:jc w:val="left"/>
                          <w:jc w:val="center"/>
                          <w:jc w:val="left"/>
                        </w:pPr>
                        <w:r>
                          <w:t xml:space="preserve">3 (3.49%)</w:t>
                        </w:r>
                      </w:p>
                    </w:tc>
                    <w:tc>
                      <w:tcPr/>
                      <w:p>
                        <w:pPr>
                          <w:pStyle w:val="Compact"/>
                        </w:pPr>
                      </w:p>
                    </w:tc>
                    <w:tc>
                      <w:tcPr/>
                      <w:p>
                        <w:pPr>
                          <w:pStyle w:val="Compact"/>
                          <w:jc w:val="left"/>
                          <w:jc w:val="center"/>
                          <w:jc w:val="left"/>
                        </w:pPr>
                        <w:r>
                          <w:t xml:space="preserve">1 (6.25%)</w:t>
                        </w:r>
                      </w:p>
                    </w:tc>
                    <w:tc>
                      <w:tcPr/>
                      <w:p>
                        <w:pPr>
                          <w:pStyle w:val="Compact"/>
                          <w:jc w:val="left"/>
                          <w:jc w:val="center"/>
                          <w:jc w:val="left"/>
                        </w:pPr>
                        <w:r>
                          <w:t xml:space="preserve">2 (11.11%)</w:t>
                        </w:r>
                      </w:p>
                    </w:tc>
                    <w:tc>
                      <w:tcPr/>
                      <w:p>
                        <w:pPr>
                          <w:pStyle w:val="Compact"/>
                        </w:pPr>
                      </w:p>
                    </w:tc>
                    <w:tc>
                      <w:tcPr/>
                      <w:p>
                        <w:pPr>
                          <w:pStyle w:val="Compact"/>
                          <w:jc w:val="left"/>
                          <w:jc w:val="center"/>
                          <w:jc w:val="left"/>
                        </w:pPr>
                        <w:r>
                          <w:t xml:space="preserve">26 (4.67%)</w:t>
                        </w:r>
                      </w:p>
                    </w:tc>
                  </w:tr>
                  <w:tr>
                    <w:tc>
                      <w:tcPr/>
                      <w:p>
                        <w:pPr>
                          <w:pStyle w:val="Compact"/>
                          <w:jc w:val="left"/>
                          <w:jc w:val="center"/>
                          <w:jc w:val="left"/>
                        </w:pPr>
                        <w:r>
                          <w:t xml:space="preserve">Core fragment</w:t>
                        </w:r>
                      </w:p>
                    </w:tc>
                    <w:tc>
                      <w:tcPr/>
                      <w:p>
                        <w:pPr>
                          <w:pStyle w:val="Compact"/>
                          <w:jc w:val="left"/>
                          <w:jc w:val="center"/>
                          <w:jc w:val="left"/>
                        </w:pPr>
                        <w:r>
                          <w:t xml:space="preserve">10 (4.05%)</w:t>
                        </w:r>
                      </w:p>
                    </w:tc>
                    <w:tc>
                      <w:tcPr/>
                      <w:p>
                        <w:pPr>
                          <w:pStyle w:val="Compact"/>
                          <w:jc w:val="left"/>
                          <w:jc w:val="center"/>
                          <w:jc w:val="left"/>
                        </w:pPr>
                        <w:r>
                          <w:t xml:space="preserve">2 (1.18%)</w:t>
                        </w:r>
                      </w:p>
                    </w:tc>
                    <w:tc>
                      <w:tcPr/>
                      <w:p>
                        <w:pPr>
                          <w:pStyle w:val="Compact"/>
                          <w:jc w:val="left"/>
                          <w:jc w:val="center"/>
                          <w:jc w:val="left"/>
                        </w:pPr>
                        <w:r>
                          <w:t xml:space="preserve">1 (1.16%)</w:t>
                        </w:r>
                      </w:p>
                    </w:tc>
                    <w:tc>
                      <w:tcPr/>
                      <w:p>
                        <w:pPr>
                          <w:pStyle w:val="Compact"/>
                          <w:jc w:val="left"/>
                          <w:jc w:val="center"/>
                          <w:jc w:val="left"/>
                        </w:pPr>
                        <w:r>
                          <w:t xml:space="preserve">1 (11.11%)</w:t>
                        </w:r>
                      </w:p>
                    </w:tc>
                    <w:tc>
                      <w:tcPr/>
                      <w:p>
                        <w:pPr>
                          <w:pStyle w:val="Compact"/>
                          <w:jc w:val="left"/>
                          <w:jc w:val="center"/>
                          <w:jc w:val="left"/>
                        </w:pPr>
                        <w:r>
                          <w:t xml:space="preserve">1 (6.25%)</w:t>
                        </w:r>
                      </w:p>
                    </w:tc>
                    <w:tc>
                      <w:tcPr/>
                      <w:p>
                        <w:pPr>
                          <w:pStyle w:val="Compact"/>
                          <w:jc w:val="left"/>
                          <w:jc w:val="center"/>
                          <w:jc w:val="left"/>
                        </w:pPr>
                        <w:r>
                          <w:t xml:space="preserve">1 (5.56%)</w:t>
                        </w:r>
                      </w:p>
                    </w:tc>
                    <w:tc>
                      <w:tcPr/>
                      <w:p>
                        <w:pPr>
                          <w:pStyle w:val="Compact"/>
                        </w:pPr>
                      </w:p>
                    </w:tc>
                    <w:tc>
                      <w:tcPr/>
                      <w:p>
                        <w:pPr>
                          <w:pStyle w:val="Compact"/>
                          <w:jc w:val="left"/>
                          <w:jc w:val="center"/>
                          <w:jc w:val="left"/>
                        </w:pPr>
                        <w:r>
                          <w:t xml:space="preserve">16 (2.87%)</w:t>
                        </w:r>
                      </w:p>
                    </w:tc>
                  </w:tr>
                  <w:tr>
                    <w:tc>
                      <w:tcPr/>
                      <w:p>
                        <w:pPr>
                          <w:pStyle w:val="Compact"/>
                          <w:jc w:val="left"/>
                          <w:jc w:val="center"/>
                          <w:jc w:val="left"/>
                        </w:pPr>
                        <w:r>
                          <w:t xml:space="preserve">Core prep product</w:t>
                        </w:r>
                      </w:p>
                    </w:tc>
                    <w:tc>
                      <w:tcPr/>
                      <w:p>
                        <w:pPr>
                          <w:pStyle w:val="Compact"/>
                          <w:jc w:val="left"/>
                          <w:jc w:val="center"/>
                          <w:jc w:val="left"/>
                        </w:pPr>
                        <w:r>
                          <w:t xml:space="preserve">3 (1.21%)</w:t>
                        </w:r>
                      </w:p>
                    </w:tc>
                    <w:tc>
                      <w:tcPr/>
                      <w:p>
                        <w:pPr>
                          <w:pStyle w:val="Compact"/>
                          <w:jc w:val="left"/>
                          <w:jc w:val="center"/>
                          <w:jc w:val="left"/>
                        </w:pPr>
                        <w:r>
                          <w:t xml:space="preserve">2 (1.18%)</w:t>
                        </w:r>
                      </w:p>
                    </w:tc>
                    <w:tc>
                      <w:tcPr/>
                      <w:p>
                        <w:pPr>
                          <w:pStyle w:val="Compact"/>
                          <w:jc w:val="left"/>
                          <w:jc w:val="center"/>
                          <w:jc w:val="left"/>
                        </w:pPr>
                        <w:r>
                          <w:t xml:space="preserve">2 (2.33%)</w:t>
                        </w:r>
                      </w:p>
                    </w:tc>
                    <w:tc>
                      <w:tcPr/>
                      <w:p>
                        <w:pPr>
                          <w:pStyle w:val="Compact"/>
                        </w:pPr>
                      </w:p>
                    </w:tc>
                    <w:tc>
                      <w:tcPr/>
                      <w:p>
                        <w:pPr>
                          <w:pStyle w:val="Compact"/>
                          <w:jc w:val="left"/>
                          <w:jc w:val="center"/>
                          <w:jc w:val="left"/>
                        </w:pPr>
                        <w:r>
                          <w:t xml:space="preserve">1 (6.25%)</w:t>
                        </w:r>
                      </w:p>
                    </w:tc>
                    <w:tc>
                      <w:tcPr/>
                      <w:p>
                        <w:pPr>
                          <w:pStyle w:val="Compact"/>
                        </w:pPr>
                      </w:p>
                    </w:tc>
                    <w:tc>
                      <w:tcPr/>
                      <w:p>
                        <w:pPr>
                          <w:pStyle w:val="Compact"/>
                          <w:jc w:val="left"/>
                          <w:jc w:val="center"/>
                          <w:jc w:val="left"/>
                        </w:pPr>
                        <w:r>
                          <w:t xml:space="preserve">2 (16.67%)</w:t>
                        </w:r>
                      </w:p>
                    </w:tc>
                    <w:tc>
                      <w:tcPr/>
                      <w:p>
                        <w:pPr>
                          <w:pStyle w:val="Compact"/>
                          <w:jc w:val="left"/>
                          <w:jc w:val="center"/>
                          <w:jc w:val="left"/>
                        </w:pPr>
                        <w:r>
                          <w:t xml:space="preserve">10 (1.80%)</w:t>
                        </w:r>
                      </w:p>
                    </w:tc>
                  </w:tr>
                  <w:tr>
                    <w:tc>
                      <w:tcPr/>
                      <w:p>
                        <w:pPr>
                          <w:pStyle w:val="Compact"/>
                          <w:jc w:val="left"/>
                          <w:jc w:val="center"/>
                          <w:jc w:val="left"/>
                        </w:pPr>
                        <w:r>
                          <w:t xml:space="preserve">Retouched</w:t>
                        </w:r>
                      </w:p>
                    </w:tc>
                    <w:tc>
                      <w:tcPr/>
                      <w:p>
                        <w:pPr>
                          <w:pStyle w:val="Compact"/>
                          <w:jc w:val="left"/>
                          <w:jc w:val="center"/>
                          <w:jc w:val="left"/>
                        </w:pPr>
                        <w:r>
                          <w:t xml:space="preserve">36 (14.57%)</w:t>
                        </w:r>
                      </w:p>
                    </w:tc>
                    <w:tc>
                      <w:tcPr/>
                      <w:p>
                        <w:pPr>
                          <w:pStyle w:val="Compact"/>
                          <w:jc w:val="left"/>
                          <w:jc w:val="center"/>
                          <w:jc w:val="left"/>
                        </w:pPr>
                        <w:r>
                          <w:t xml:space="preserve">55 (32.54%)</w:t>
                        </w:r>
                      </w:p>
                    </w:tc>
                    <w:tc>
                      <w:tcPr/>
                      <w:p>
                        <w:pPr>
                          <w:pStyle w:val="Compact"/>
                          <w:jc w:val="left"/>
                          <w:jc w:val="center"/>
                          <w:jc w:val="left"/>
                        </w:pPr>
                        <w:r>
                          <w:t xml:space="preserve">23 (26.74%)</w:t>
                        </w:r>
                      </w:p>
                    </w:tc>
                    <w:tc>
                      <w:tcPr/>
                      <w:p>
                        <w:pPr>
                          <w:pStyle w:val="Compact"/>
                          <w:jc w:val="left"/>
                          <w:jc w:val="center"/>
                          <w:jc w:val="left"/>
                        </w:pPr>
                        <w:r>
                          <w:t xml:space="preserve">3 (33.33%)</w:t>
                        </w:r>
                      </w:p>
                    </w:tc>
                    <w:tc>
                      <w:tcPr/>
                      <w:p>
                        <w:pPr>
                          <w:pStyle w:val="Compact"/>
                          <w:jc w:val="left"/>
                          <w:jc w:val="center"/>
                          <w:jc w:val="left"/>
                        </w:pPr>
                        <w:r>
                          <w:t xml:space="preserve">1 (6.25%)</w:t>
                        </w:r>
                      </w:p>
                    </w:tc>
                    <w:tc>
                      <w:tcPr/>
                      <w:p>
                        <w:pPr>
                          <w:pStyle w:val="Compact"/>
                          <w:jc w:val="left"/>
                          <w:jc w:val="center"/>
                          <w:jc w:val="left"/>
                        </w:pPr>
                        <w:r>
                          <w:t xml:space="preserve">2 (11.11%)</w:t>
                        </w:r>
                      </w:p>
                    </w:tc>
                    <w:tc>
                      <w:tcPr/>
                      <w:p>
                        <w:pPr>
                          <w:pStyle w:val="Compact"/>
                          <w:jc w:val="left"/>
                          <w:jc w:val="center"/>
                          <w:jc w:val="left"/>
                        </w:pPr>
                        <w:r>
                          <w:t xml:space="preserve">4 (33.33%)</w:t>
                        </w:r>
                      </w:p>
                    </w:tc>
                    <w:tc>
                      <w:tcPr/>
                      <w:p>
                        <w:pPr>
                          <w:pStyle w:val="Compact"/>
                          <w:jc w:val="left"/>
                          <w:jc w:val="center"/>
                          <w:jc w:val="left"/>
                        </w:pPr>
                        <w:r>
                          <w:t xml:space="preserve">124 (22.26%)</w:t>
                        </w:r>
                      </w:p>
                    </w:tc>
                  </w:tr>
                  <w:tr>
                    <w:tc>
                      <w:tcPr/>
                      <w:p>
                        <w:pPr>
                          <w:pStyle w:val="Compact"/>
                          <w:jc w:val="left"/>
                          <w:jc w:val="center"/>
                          <w:jc w:val="left"/>
                        </w:pPr>
                        <w:r>
                          <w:t xml:space="preserve">Retouched fragment</w:t>
                        </w:r>
                      </w:p>
                    </w:tc>
                    <w:tc>
                      <w:tcPr/>
                      <w:p>
                        <w:pPr>
                          <w:pStyle w:val="Compact"/>
                          <w:jc w:val="left"/>
                          <w:jc w:val="center"/>
                          <w:jc w:val="left"/>
                        </w:pPr>
                        <w:r>
                          <w:t xml:space="preserve">2 (0.81%)</w:t>
                        </w:r>
                      </w:p>
                    </w:tc>
                    <w:tc>
                      <w:tcPr/>
                      <w:p>
                        <w:pPr>
                          <w:pStyle w:val="Compact"/>
                          <w:jc w:val="left"/>
                          <w:jc w:val="center"/>
                          <w:jc w:val="left"/>
                        </w:pPr>
                        <w:r>
                          <w:t xml:space="preserve">3 (1.78%)</w:t>
                        </w:r>
                      </w:p>
                    </w:tc>
                    <w:tc>
                      <w:tcPr/>
                      <w:p>
                        <w:pPr>
                          <w:pStyle w:val="Compact"/>
                          <w:jc w:val="left"/>
                          <w:jc w:val="center"/>
                          <w:jc w:val="left"/>
                        </w:pPr>
                        <w:r>
                          <w:t xml:space="preserve">1 (1.16%)</w:t>
                        </w:r>
                      </w:p>
                    </w:tc>
                    <w:tc>
                      <w:tcPr/>
                      <w:p>
                        <w:pPr>
                          <w:pStyle w:val="Compact"/>
                        </w:pPr>
                      </w:p>
                    </w:tc>
                    <w:tc>
                      <w:tcPr/>
                      <w:p>
                        <w:pPr>
                          <w:pStyle w:val="Compact"/>
                        </w:pPr>
                      </w:p>
                    </w:tc>
                    <w:tc>
                      <w:tcPr/>
                      <w:p>
                        <w:pPr>
                          <w:pStyle w:val="Compact"/>
                          <w:jc w:val="left"/>
                          <w:jc w:val="center"/>
                          <w:jc w:val="left"/>
                        </w:pPr>
                        <w:r>
                          <w:t xml:space="preserve">1 (5.56%)</w:t>
                        </w:r>
                      </w:p>
                    </w:tc>
                    <w:tc>
                      <w:tcPr/>
                      <w:p>
                        <w:pPr>
                          <w:pStyle w:val="Compact"/>
                        </w:pPr>
                      </w:p>
                    </w:tc>
                    <w:tc>
                      <w:tcPr/>
                      <w:p>
                        <w:pPr>
                          <w:pStyle w:val="Compact"/>
                          <w:jc w:val="left"/>
                          <w:jc w:val="center"/>
                          <w:jc w:val="left"/>
                        </w:pPr>
                        <w:r>
                          <w:t xml:space="preserve">7 (1.26%)</w:t>
                        </w:r>
                      </w:p>
                    </w:tc>
                  </w:tr>
                  <w:tr>
                    <w:tc>
                      <w:tcPr/>
                      <w:p>
                        <w:pPr>
                          <w:pStyle w:val="Compact"/>
                          <w:jc w:val="left"/>
                          <w:jc w:val="center"/>
                          <w:jc w:val="left"/>
                        </w:pPr>
                        <w:r>
                          <w:t xml:space="preserve">Shatter</w:t>
                        </w:r>
                      </w:p>
                    </w:tc>
                    <w:tc>
                      <w:tcPr/>
                      <w:p>
                        <w:pPr>
                          <w:pStyle w:val="Compact"/>
                          <w:jc w:val="left"/>
                          <w:jc w:val="center"/>
                          <w:jc w:val="left"/>
                        </w:pPr>
                        <w:r>
                          <w:t xml:space="preserve">34 (13.77%)</w:t>
                        </w:r>
                      </w:p>
                    </w:tc>
                    <w:tc>
                      <w:tcPr/>
                      <w:p>
                        <w:pPr>
                          <w:pStyle w:val="Compact"/>
                          <w:jc w:val="left"/>
                          <w:jc w:val="center"/>
                          <w:jc w:val="left"/>
                        </w:pPr>
                        <w:r>
                          <w:t xml:space="preserve">21 (12.43%)</w:t>
                        </w:r>
                      </w:p>
                    </w:tc>
                    <w:tc>
                      <w:tcPr/>
                      <w:p>
                        <w:pPr>
                          <w:pStyle w:val="Compact"/>
                          <w:jc w:val="left"/>
                          <w:jc w:val="center"/>
                          <w:jc w:val="left"/>
                        </w:pPr>
                        <w:r>
                          <w:t xml:space="preserve">10 (11.63%)</w:t>
                        </w:r>
                      </w:p>
                    </w:tc>
                    <w:tc>
                      <w:tcPr/>
                      <w:p>
                        <w:pPr>
                          <w:pStyle w:val="Compact"/>
                        </w:pPr>
                      </w:p>
                    </w:tc>
                    <w:tc>
                      <w:tcPr/>
                      <w:p>
                        <w:pPr>
                          <w:pStyle w:val="Compact"/>
                          <w:jc w:val="left"/>
                          <w:jc w:val="center"/>
                          <w:jc w:val="left"/>
                        </w:pPr>
                        <w:r>
                          <w:t xml:space="preserve">7 (43.75%)</w:t>
                        </w:r>
                      </w:p>
                    </w:tc>
                    <w:tc>
                      <w:tcPr/>
                      <w:p>
                        <w:pPr>
                          <w:pStyle w:val="Compact"/>
                          <w:jc w:val="left"/>
                          <w:jc w:val="center"/>
                          <w:jc w:val="left"/>
                        </w:pPr>
                        <w:r>
                          <w:t xml:space="preserve">2 (11.11%)</w:t>
                        </w:r>
                      </w:p>
                    </w:tc>
                    <w:tc>
                      <w:tcPr/>
                      <w:p>
                        <w:pPr>
                          <w:pStyle w:val="Compact"/>
                        </w:pPr>
                      </w:p>
                    </w:tc>
                    <w:tc>
                      <w:tcPr/>
                      <w:p>
                        <w:pPr>
                          <w:pStyle w:val="Compact"/>
                          <w:jc w:val="left"/>
                          <w:jc w:val="center"/>
                          <w:jc w:val="left"/>
                        </w:pPr>
                        <w:r>
                          <w:t xml:space="preserve">74 (13.29%)</w:t>
                        </w:r>
                      </w:p>
                    </w:tc>
                  </w:tr>
                  <w:tr>
                    <w:tc>
                      <w:tcPr/>
                      <w:p>
                        <w:pPr>
                          <w:pStyle w:val="Compact"/>
                          <w:jc w:val="left"/>
                          <w:jc w:val="center"/>
                          <w:jc w:val="left"/>
                        </w:pPr>
                        <w:r>
                          <w:t xml:space="preserve">Total</w:t>
                        </w:r>
                      </w:p>
                    </w:tc>
                    <w:tc>
                      <w:tcPr/>
                      <w:p>
                        <w:pPr>
                          <w:pStyle w:val="Compact"/>
                          <w:jc w:val="left"/>
                          <w:jc w:val="center"/>
                          <w:jc w:val="left"/>
                        </w:pPr>
                        <w:r>
                          <w:t xml:space="preserve">247 (100.00%)</w:t>
                        </w:r>
                      </w:p>
                    </w:tc>
                    <w:tc>
                      <w:tcPr/>
                      <w:p>
                        <w:pPr>
                          <w:pStyle w:val="Compact"/>
                          <w:jc w:val="left"/>
                          <w:jc w:val="center"/>
                          <w:jc w:val="left"/>
                        </w:pPr>
                        <w:r>
                          <w:t xml:space="preserve">169 (100.00%)</w:t>
                        </w:r>
                      </w:p>
                    </w:tc>
                    <w:tc>
                      <w:tcPr/>
                      <w:p>
                        <w:pPr>
                          <w:pStyle w:val="Compact"/>
                          <w:jc w:val="left"/>
                          <w:jc w:val="center"/>
                          <w:jc w:val="left"/>
                        </w:pPr>
                        <w:r>
                          <w:t xml:space="preserve">86 (100.00%)</w:t>
                        </w:r>
                      </w:p>
                    </w:tc>
                    <w:tc>
                      <w:tcPr/>
                      <w:p>
                        <w:pPr>
                          <w:pStyle w:val="Compact"/>
                          <w:jc w:val="left"/>
                          <w:jc w:val="center"/>
                          <w:jc w:val="left"/>
                        </w:pPr>
                        <w:r>
                          <w:t xml:space="preserve">9 (100.00%)</w:t>
                        </w:r>
                      </w:p>
                    </w:tc>
                    <w:tc>
                      <w:tcPr/>
                      <w:p>
                        <w:pPr>
                          <w:pStyle w:val="Compact"/>
                          <w:jc w:val="left"/>
                          <w:jc w:val="center"/>
                          <w:jc w:val="left"/>
                        </w:pPr>
                        <w:r>
                          <w:t xml:space="preserve">16 (100.00%)</w:t>
                        </w:r>
                      </w:p>
                    </w:tc>
                    <w:tc>
                      <w:tcPr/>
                      <w:p>
                        <w:pPr>
                          <w:pStyle w:val="Compact"/>
                          <w:jc w:val="left"/>
                          <w:jc w:val="center"/>
                          <w:jc w:val="left"/>
                        </w:pPr>
                        <w:r>
                          <w:t xml:space="preserve">18 (100.00%)</w:t>
                        </w:r>
                      </w:p>
                    </w:tc>
                    <w:tc>
                      <w:tcPr/>
                      <w:p>
                        <w:pPr>
                          <w:pStyle w:val="Compact"/>
                          <w:jc w:val="left"/>
                          <w:jc w:val="center"/>
                          <w:jc w:val="left"/>
                        </w:pPr>
                        <w:r>
                          <w:t xml:space="preserve">12 (100.00%)</w:t>
                        </w:r>
                      </w:p>
                    </w:tc>
                    <w:tc>
                      <w:tcPr/>
                      <w:p>
                        <w:pPr>
                          <w:pStyle w:val="Compact"/>
                          <w:jc w:val="left"/>
                          <w:jc w:val="center"/>
                          <w:jc w:val="left"/>
                        </w:pPr>
                        <w:r>
                          <w:t xml:space="preserve">557 (100.00%)</w:t>
                        </w:r>
                      </w:p>
                    </w:tc>
                  </w:tr>
                </w:tbl>
                <w:bookmarkEnd w:id="27"/>
                <w:bookmarkEnd w:id="28"/>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0" w:name="tbl-general-2"/>
                <w:p>
                  <w:pPr>
                    <w:jc w:val="center"/>
                    <w:jc w:val="left"/>
                  </w:pPr>
                  <w:pPr>
                    <w:jc w:val="start"/>
                    <w:spacing w:before="200"/>
                    <w:pStyle w:val="ImageCaption"/>
                  </w:pPr>
                  <w:r>
                    <w:t xml:space="preserve">(b) Number and percentage of technotypological classes by raw material from the Proto-Solutrean assemblage (levels 4E and 5) of the Terrace area.</w:t>
                  </w:r>
                </w:p>
                <w:bookmarkStart w:id="29" w:name="tbl-general-2"/>
                <w:tbl>
                  <w:tblPr>
                    <w:tblStyle w:val="Table"/>
                    <w:tblW w:type="pct" w:w="4900"/>
                    <w:tblLayout w:type="fixed"/>
                    <w:tblLook w:firstRow="1" w:lastRow="0" w:firstColumn="0" w:lastColumn="0" w:noHBand="0" w:noVBand="0" w:val="0020"/>
                  </w:tblPr>
                  <w:tblGrid>
                    <w:gridCol w:w="862"/>
                    <w:gridCol w:w="862"/>
                    <w:gridCol w:w="862"/>
                    <w:gridCol w:w="862"/>
                    <w:gridCol w:w="862"/>
                    <w:gridCol w:w="862"/>
                    <w:gridCol w:w="862"/>
                    <w:gridCol w:w="862"/>
                    <w:gridCol w:w="862"/>
                  </w:tblGrid>
                  <w:tr>
                    <w:trPr>
                      <w:tblHeader w:val="on"/>
                    </w:trPr>
                    <w:tc>
                      <w:tcPr/>
                      <w:p>
                        <w:pPr>
                          <w:pStyle w:val="Compact"/>
                          <w:jc w:val="left"/>
                          <w:jc w:val="center"/>
                          <w:jc w:val="left"/>
                        </w:pPr>
                        <w:r>
                          <w:t xml:space="preserve">CLASS</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TL</w:t>
                        </w:r>
                      </w:p>
                    </w:tc>
                    <w:tc>
                      <w:tcPr/>
                      <w:p>
                        <w:pPr>
                          <w:pStyle w:val="Compact"/>
                          <w:jc w:val="left"/>
                          <w:jc w:val="center"/>
                          <w:jc w:val="left"/>
                        </w:pPr>
                        <w:r>
                          <w:t xml:space="preserve">Total</w:t>
                        </w:r>
                      </w:p>
                    </w:tc>
                  </w:tr>
                  <w:tr>
                    <w:tc>
                      <w:tcPr/>
                      <w:p>
                        <w:pPr>
                          <w:pStyle w:val="Compact"/>
                          <w:jc w:val="left"/>
                          <w:jc w:val="center"/>
                          <w:jc w:val="left"/>
                        </w:pPr>
                        <w:r>
                          <w:t xml:space="preserve">Blank</w:t>
                        </w:r>
                      </w:p>
                    </w:tc>
                    <w:tc>
                      <w:tcPr/>
                      <w:p>
                        <w:pPr>
                          <w:pStyle w:val="Compact"/>
                          <w:jc w:val="left"/>
                          <w:jc w:val="center"/>
                          <w:jc w:val="left"/>
                        </w:pPr>
                        <w:r>
                          <w:t xml:space="preserve">154 (45.97%)</w:t>
                        </w:r>
                      </w:p>
                    </w:tc>
                    <w:tc>
                      <w:tcPr/>
                      <w:p>
                        <w:pPr>
                          <w:pStyle w:val="Compact"/>
                          <w:jc w:val="left"/>
                          <w:jc w:val="center"/>
                          <w:jc w:val="left"/>
                        </w:pPr>
                        <w:r>
                          <w:t xml:space="preserve">23 (38.33%)</w:t>
                        </w:r>
                      </w:p>
                    </w:tc>
                    <w:tc>
                      <w:tcPr/>
                      <w:p>
                        <w:pPr>
                          <w:pStyle w:val="Compact"/>
                          <w:jc w:val="left"/>
                          <w:jc w:val="center"/>
                          <w:jc w:val="left"/>
                        </w:pPr>
                        <w:r>
                          <w:t xml:space="preserve">19 (40.43%)</w:t>
                        </w:r>
                      </w:p>
                    </w:tc>
                    <w:tc>
                      <w:tcPr/>
                      <w:p>
                        <w:pPr>
                          <w:pStyle w:val="Compact"/>
                          <w:jc w:val="left"/>
                          <w:jc w:val="center"/>
                          <w:jc w:val="left"/>
                        </w:pPr>
                        <w:r>
                          <w:t xml:space="preserve">6 (46.15%)</w:t>
                        </w:r>
                      </w:p>
                    </w:tc>
                    <w:tc>
                      <w:tcPr/>
                      <w:p>
                        <w:pPr>
                          <w:pStyle w:val="Compact"/>
                          <w:jc w:val="left"/>
                          <w:jc w:val="center"/>
                          <w:jc w:val="left"/>
                        </w:pPr>
                        <w:r>
                          <w:t xml:space="preserve">1 (11.11%)</w:t>
                        </w:r>
                      </w:p>
                    </w:tc>
                    <w:tc>
                      <w:tcPr/>
                      <w:p>
                        <w:pPr>
                          <w:pStyle w:val="Compact"/>
                          <w:jc w:val="left"/>
                          <w:jc w:val="center"/>
                          <w:jc w:val="left"/>
                        </w:pPr>
                        <w:r>
                          <w:t xml:space="preserve">1 (100.00%)</w:t>
                        </w:r>
                      </w:p>
                    </w:tc>
                    <w:tc>
                      <w:tcPr/>
                      <w:p>
                        <w:pPr>
                          <w:pStyle w:val="Compact"/>
                          <w:jc w:val="left"/>
                          <w:jc w:val="center"/>
                          <w:jc w:val="left"/>
                        </w:pPr>
                        <w:r>
                          <w:t xml:space="preserve">1 (33.33%)</w:t>
                        </w:r>
                      </w:p>
                    </w:tc>
                    <w:tc>
                      <w:tcPr/>
                      <w:p>
                        <w:pPr>
                          <w:pStyle w:val="Compact"/>
                          <w:jc w:val="left"/>
                          <w:jc w:val="center"/>
                          <w:jc w:val="left"/>
                        </w:pPr>
                        <w:r>
                          <w:t xml:space="preserve">205 (43.80%)</w:t>
                        </w:r>
                      </w:p>
                    </w:tc>
                  </w:tr>
                  <w:tr>
                    <w:tc>
                      <w:tcPr/>
                      <w:p>
                        <w:pPr>
                          <w:pStyle w:val="Compact"/>
                          <w:jc w:val="left"/>
                          <w:jc w:val="center"/>
                          <w:jc w:val="left"/>
                        </w:pPr>
                        <w:r>
                          <w:t xml:space="preserve">Blank fragment</w:t>
                        </w:r>
                      </w:p>
                    </w:tc>
                    <w:tc>
                      <w:tcPr/>
                      <w:p>
                        <w:pPr>
                          <w:pStyle w:val="Compact"/>
                          <w:jc w:val="left"/>
                          <w:jc w:val="center"/>
                          <w:jc w:val="left"/>
                        </w:pPr>
                        <w:r>
                          <w:t xml:space="preserve">44 (13.13%)</w:t>
                        </w:r>
                      </w:p>
                    </w:tc>
                    <w:tc>
                      <w:tcPr/>
                      <w:p>
                        <w:pPr>
                          <w:pStyle w:val="Compact"/>
                          <w:jc w:val="left"/>
                          <w:jc w:val="center"/>
                          <w:jc w:val="left"/>
                        </w:pPr>
                        <w:r>
                          <w:t xml:space="preserve">6 (10.00%)</w:t>
                        </w:r>
                      </w:p>
                    </w:tc>
                    <w:tc>
                      <w:tcPr/>
                      <w:p>
                        <w:pPr>
                          <w:pStyle w:val="Compact"/>
                          <w:jc w:val="left"/>
                          <w:jc w:val="center"/>
                          <w:jc w:val="left"/>
                        </w:pPr>
                        <w:r>
                          <w:t xml:space="preserve">6 (12.77%)</w:t>
                        </w:r>
                      </w:p>
                    </w:tc>
                    <w:tc>
                      <w:tcPr/>
                      <w:p>
                        <w:pPr>
                          <w:pStyle w:val="Compact"/>
                          <w:jc w:val="left"/>
                          <w:jc w:val="center"/>
                          <w:jc w:val="left"/>
                        </w:pPr>
                        <w:r>
                          <w:t xml:space="preserve">3 (23.08%)</w:t>
                        </w:r>
                      </w:p>
                    </w:tc>
                    <w:tc>
                      <w:tcPr/>
                      <w:p>
                        <w:pPr>
                          <w:pStyle w:val="Compact"/>
                          <w:jc w:val="left"/>
                          <w:jc w:val="center"/>
                          <w:jc w:val="left"/>
                        </w:pPr>
                        <w:r>
                          <w:t xml:space="preserve">2 (22.22%)</w:t>
                        </w:r>
                      </w:p>
                    </w:tc>
                    <w:tc>
                      <w:tcPr/>
                      <w:p>
                        <w:pPr>
                          <w:pStyle w:val="Compact"/>
                        </w:pPr>
                      </w:p>
                    </w:tc>
                    <w:tc>
                      <w:tcPr/>
                      <w:p>
                        <w:pPr>
                          <w:pStyle w:val="Compact"/>
                        </w:pPr>
                      </w:p>
                    </w:tc>
                    <w:tc>
                      <w:tcPr/>
                      <w:p>
                        <w:pPr>
                          <w:pStyle w:val="Compact"/>
                          <w:jc w:val="left"/>
                          <w:jc w:val="center"/>
                          <w:jc w:val="left"/>
                        </w:pPr>
                        <w:r>
                          <w:t xml:space="preserve">61 (13.03%)</w:t>
                        </w:r>
                      </w:p>
                    </w:tc>
                  </w:tr>
                  <w:tr>
                    <w:tc>
                      <w:tcPr/>
                      <w:p>
                        <w:pPr>
                          <w:pStyle w:val="Compact"/>
                          <w:jc w:val="left"/>
                          <w:jc w:val="center"/>
                          <w:jc w:val="left"/>
                        </w:pPr>
                        <w:r>
                          <w:t xml:space="preserve">Burin spall</w:t>
                        </w:r>
                      </w:p>
                    </w:tc>
                    <w:tc>
                      <w:tcPr/>
                      <w:p>
                        <w:pPr>
                          <w:pStyle w:val="Compact"/>
                          <w:jc w:val="left"/>
                          <w:jc w:val="center"/>
                          <w:jc w:val="left"/>
                        </w:pPr>
                        <w:r>
                          <w:t xml:space="preserve">1 (0.30%)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 (0.21%)</w:t>
                        </w:r>
                      </w:p>
                    </w:tc>
                  </w:tr>
                  <w:tr>
                    <w:tc>
                      <w:tcPr/>
                      <w:p>
                        <w:pPr>
                          <w:pStyle w:val="Compact"/>
                          <w:jc w:val="left"/>
                          <w:jc w:val="center"/>
                          <w:jc w:val="left"/>
                        </w:pPr>
                        <w:r>
                          <w:t xml:space="preserve">Core</w:t>
                        </w:r>
                      </w:p>
                    </w:tc>
                    <w:tc>
                      <w:tcPr/>
                      <w:p>
                        <w:pPr>
                          <w:pStyle w:val="Compact"/>
                          <w:jc w:val="left"/>
                          <w:jc w:val="center"/>
                          <w:jc w:val="left"/>
                        </w:pPr>
                        <w:r>
                          <w:t xml:space="preserve">28 (8.36%)</w:t>
                        </w:r>
                      </w:p>
                    </w:tc>
                    <w:tc>
                      <w:tcPr/>
                      <w:p>
                        <w:pPr>
                          <w:pStyle w:val="Compact"/>
                        </w:pPr>
                      </w:p>
                    </w:tc>
                    <w:tc>
                      <w:tcPr/>
                      <w:p>
                        <w:pPr>
                          <w:pStyle w:val="Compact"/>
                          <w:jc w:val="left"/>
                          <w:jc w:val="center"/>
                          <w:jc w:val="left"/>
                        </w:pPr>
                        <w:r>
                          <w:t xml:space="preserve">2 (4.26%)</w:t>
                        </w:r>
                      </w:p>
                    </w:tc>
                    <w:tc>
                      <w:tcPr/>
                      <w:p>
                        <w:pPr>
                          <w:pStyle w:val="Compact"/>
                          <w:jc w:val="left"/>
                          <w:jc w:val="center"/>
                          <w:jc w:val="left"/>
                        </w:pPr>
                        <w:r>
                          <w:t xml:space="preserve">1 (7.69%)</w:t>
                        </w:r>
                      </w:p>
                    </w:tc>
                    <w:tc>
                      <w:tcPr/>
                      <w:p>
                        <w:pPr>
                          <w:pStyle w:val="Compact"/>
                          <w:jc w:val="left"/>
                          <w:jc w:val="center"/>
                          <w:jc w:val="left"/>
                        </w:pPr>
                        <w:r>
                          <w:t xml:space="preserve">1 (11.11%)</w:t>
                        </w:r>
                      </w:p>
                    </w:tc>
                    <w:tc>
                      <w:tcPr/>
                      <w:p>
                        <w:pPr>
                          <w:pStyle w:val="Compact"/>
                        </w:pPr>
                      </w:p>
                    </w:tc>
                    <w:tc>
                      <w:tcPr/>
                      <w:p>
                        <w:pPr>
                          <w:pStyle w:val="Compact"/>
                        </w:pPr>
                      </w:p>
                    </w:tc>
                    <w:tc>
                      <w:tcPr/>
                      <w:p>
                        <w:pPr>
                          <w:pStyle w:val="Compact"/>
                          <w:jc w:val="left"/>
                          <w:jc w:val="center"/>
                          <w:jc w:val="left"/>
                        </w:pPr>
                        <w:r>
                          <w:t xml:space="preserve">32 (6.84%)</w:t>
                        </w:r>
                      </w:p>
                    </w:tc>
                  </w:tr>
                  <w:tr>
                    <w:tc>
                      <w:tcPr/>
                      <w:p>
                        <w:pPr>
                          <w:pStyle w:val="Compact"/>
                          <w:jc w:val="left"/>
                          <w:jc w:val="center"/>
                          <w:jc w:val="left"/>
                        </w:pPr>
                        <w:r>
                          <w:t xml:space="preserve">Core fragment</w:t>
                        </w:r>
                      </w:p>
                    </w:tc>
                    <w:tc>
                      <w:tcPr/>
                      <w:p>
                        <w:pPr>
                          <w:pStyle w:val="Compact"/>
                          <w:jc w:val="left"/>
                          <w:jc w:val="center"/>
                          <w:jc w:val="left"/>
                        </w:pPr>
                        <w:r>
                          <w:t xml:space="preserve">4 (1.19%)</w:t>
                        </w:r>
                      </w:p>
                    </w:tc>
                    <w:tc>
                      <w:tcPr/>
                      <w:p>
                        <w:pPr>
                          <w:pStyle w:val="Compact"/>
                        </w:pPr>
                      </w:p>
                    </w:tc>
                    <w:tc>
                      <w:tcPr/>
                      <w:p>
                        <w:pPr>
                          <w:pStyle w:val="Compact"/>
                          <w:jc w:val="left"/>
                          <w:jc w:val="center"/>
                          <w:jc w:val="left"/>
                        </w:pPr>
                        <w:r>
                          <w:t xml:space="preserve">2 (4.26%)</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6 (1.28%)</w:t>
                        </w:r>
                      </w:p>
                    </w:tc>
                  </w:tr>
                  <w:tr>
                    <w:tc>
                      <w:tcPr/>
                      <w:p>
                        <w:pPr>
                          <w:pStyle w:val="Compact"/>
                          <w:jc w:val="left"/>
                          <w:jc w:val="center"/>
                          <w:jc w:val="left"/>
                        </w:pPr>
                        <w:r>
                          <w:t xml:space="preserve">Core prep product</w:t>
                        </w:r>
                      </w:p>
                    </w:tc>
                    <w:tc>
                      <w:tcPr/>
                      <w:p>
                        <w:pPr>
                          <w:pStyle w:val="Compact"/>
                        </w:pPr>
                      </w:p>
                    </w:tc>
                    <w:tc>
                      <w:tcPr/>
                      <w:p>
                        <w:pPr>
                          <w:pStyle w:val="Compact"/>
                          <w:jc w:val="left"/>
                          <w:jc w:val="center"/>
                          <w:jc w:val="left"/>
                        </w:pPr>
                        <w:r>
                          <w:t xml:space="preserve">1 (1.67%)</w:t>
                        </w:r>
                      </w:p>
                    </w:tc>
                    <w:tc>
                      <w:tcPr/>
                      <w:p>
                        <w:pPr>
                          <w:pStyle w:val="Compact"/>
                          <w:jc w:val="left"/>
                          <w:jc w:val="center"/>
                          <w:jc w:val="left"/>
                        </w:pPr>
                        <w:r>
                          <w:t xml:space="preserve">1 (2.13%)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2 (0.43%)</w:t>
                        </w:r>
                      </w:p>
                    </w:tc>
                  </w:tr>
                  <w:tr>
                    <w:tc>
                      <w:tcPr/>
                      <w:p>
                        <w:pPr>
                          <w:pStyle w:val="Compact"/>
                          <w:jc w:val="left"/>
                          <w:jc w:val="center"/>
                          <w:jc w:val="left"/>
                        </w:pPr>
                        <w:r>
                          <w:t xml:space="preserve">Retouched</w:t>
                        </w:r>
                      </w:p>
                    </w:tc>
                    <w:tc>
                      <w:tcPr/>
                      <w:p>
                        <w:pPr>
                          <w:pStyle w:val="Compact"/>
                          <w:jc w:val="left"/>
                          <w:jc w:val="center"/>
                          <w:jc w:val="left"/>
                        </w:pPr>
                        <w:r>
                          <w:t xml:space="preserve">23 (6.87%)</w:t>
                        </w:r>
                      </w:p>
                    </w:tc>
                    <w:tc>
                      <w:tcPr/>
                      <w:p>
                        <w:pPr>
                          <w:pStyle w:val="Compact"/>
                          <w:jc w:val="left"/>
                          <w:jc w:val="center"/>
                          <w:jc w:val="left"/>
                        </w:pPr>
                        <w:r>
                          <w:t xml:space="preserve">9 (15.00%)</w:t>
                        </w:r>
                      </w:p>
                    </w:tc>
                    <w:tc>
                      <w:tcPr/>
                      <w:p>
                        <w:pPr>
                          <w:pStyle w:val="Compact"/>
                          <w:jc w:val="left"/>
                          <w:jc w:val="center"/>
                          <w:jc w:val="left"/>
                        </w:pPr>
                        <w:r>
                          <w:t xml:space="preserve">9 (19.15%)</w:t>
                        </w:r>
                      </w:p>
                    </w:tc>
                    <w:tc>
                      <w:tcPr/>
                      <w:p>
                        <w:pPr>
                          <w:pStyle w:val="Compact"/>
                          <w:jc w:val="left"/>
                          <w:jc w:val="center"/>
                          <w:jc w:val="left"/>
                        </w:pPr>
                        <w:r>
                          <w:t xml:space="preserve">3 (23.08%)</w:t>
                        </w:r>
                      </w:p>
                    </w:tc>
                    <w:tc>
                      <w:tcPr/>
                      <w:p>
                        <w:pPr>
                          <w:pStyle w:val="Compact"/>
                          <w:jc w:val="left"/>
                          <w:jc w:val="center"/>
                          <w:jc w:val="left"/>
                        </w:pPr>
                        <w:r>
                          <w:t xml:space="preserve">1 (11.11%)</w:t>
                        </w:r>
                      </w:p>
                    </w:tc>
                    <w:tc>
                      <w:tcPr/>
                      <w:p>
                        <w:pPr>
                          <w:pStyle w:val="Compact"/>
                        </w:pPr>
                      </w:p>
                    </w:tc>
                    <w:tc>
                      <w:tcPr/>
                      <w:p>
                        <w:pPr>
                          <w:pStyle w:val="Compact"/>
                          <w:jc w:val="left"/>
                          <w:jc w:val="center"/>
                          <w:jc w:val="left"/>
                        </w:pPr>
                        <w:r>
                          <w:t xml:space="preserve">1 (33.33%)</w:t>
                        </w:r>
                      </w:p>
                    </w:tc>
                    <w:tc>
                      <w:tcPr/>
                      <w:p>
                        <w:pPr>
                          <w:pStyle w:val="Compact"/>
                          <w:jc w:val="left"/>
                          <w:jc w:val="center"/>
                          <w:jc w:val="left"/>
                        </w:pPr>
                        <w:r>
                          <w:t xml:space="preserve">46 (9.83%)</w:t>
                        </w:r>
                      </w:p>
                    </w:tc>
                  </w:tr>
                  <w:tr>
                    <w:tc>
                      <w:tcPr/>
                      <w:p>
                        <w:pPr>
                          <w:pStyle w:val="Compact"/>
                          <w:jc w:val="left"/>
                          <w:jc w:val="center"/>
                          <w:jc w:val="left"/>
                        </w:pPr>
                        <w:r>
                          <w:t xml:space="preserve">Retouched fragment</w:t>
                        </w:r>
                      </w:p>
                    </w:tc>
                    <w:tc>
                      <w:tcPr/>
                      <w:p>
                        <w:pPr>
                          <w:pStyle w:val="Compact"/>
                          <w:jc w:val="left"/>
                          <w:jc w:val="center"/>
                          <w:jc w:val="left"/>
                        </w:pPr>
                        <w:r>
                          <w:t xml:space="preserve">3 (0.90%)</w:t>
                        </w:r>
                      </w:p>
                    </w:tc>
                    <w:tc>
                      <w:tcPr/>
                      <w:p>
                        <w:pPr>
                          <w:pStyle w:val="Compact"/>
                          <w:jc w:val="left"/>
                          <w:jc w:val="center"/>
                          <w:jc w:val="left"/>
                        </w:pPr>
                        <w:r>
                          <w:t xml:space="preserve">1 (1.67%)</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4 (0.85%)</w:t>
                        </w:r>
                      </w:p>
                    </w:tc>
                  </w:tr>
                  <w:tr>
                    <w:tc>
                      <w:tcPr/>
                      <w:p>
                        <w:pPr>
                          <w:pStyle w:val="Compact"/>
                          <w:jc w:val="left"/>
                          <w:jc w:val="center"/>
                          <w:jc w:val="left"/>
                        </w:pPr>
                        <w:r>
                          <w:t xml:space="preserve">Shatter</w:t>
                        </w:r>
                      </w:p>
                    </w:tc>
                    <w:tc>
                      <w:tcPr/>
                      <w:p>
                        <w:pPr>
                          <w:pStyle w:val="Compact"/>
                          <w:jc w:val="left"/>
                          <w:jc w:val="center"/>
                          <w:jc w:val="left"/>
                        </w:pPr>
                        <w:r>
                          <w:t xml:space="preserve">78 (23.28%)</w:t>
                        </w:r>
                      </w:p>
                    </w:tc>
                    <w:tc>
                      <w:tcPr/>
                      <w:p>
                        <w:pPr>
                          <w:pStyle w:val="Compact"/>
                          <w:jc w:val="left"/>
                          <w:jc w:val="center"/>
                          <w:jc w:val="left"/>
                        </w:pPr>
                        <w:r>
                          <w:t xml:space="preserve">20 (33.33%)</w:t>
                        </w:r>
                      </w:p>
                    </w:tc>
                    <w:tc>
                      <w:tcPr/>
                      <w:p>
                        <w:pPr>
                          <w:pStyle w:val="Compact"/>
                          <w:jc w:val="left"/>
                          <w:jc w:val="center"/>
                          <w:jc w:val="left"/>
                        </w:pPr>
                        <w:r>
                          <w:t xml:space="preserve">8 (17.02%)</w:t>
                        </w:r>
                      </w:p>
                    </w:tc>
                    <w:tc>
                      <w:tcPr/>
                      <w:p>
                        <w:pPr>
                          <w:pStyle w:val="Compact"/>
                        </w:pPr>
                      </w:p>
                    </w:tc>
                    <w:tc>
                      <w:tcPr/>
                      <w:p>
                        <w:pPr>
                          <w:pStyle w:val="Compact"/>
                          <w:jc w:val="left"/>
                          <w:jc w:val="center"/>
                          <w:jc w:val="left"/>
                        </w:pPr>
                        <w:r>
                          <w:t xml:space="preserve">4 (44.44%)</w:t>
                        </w:r>
                      </w:p>
                    </w:tc>
                    <w:tc>
                      <w:tcPr/>
                      <w:p>
                        <w:pPr>
                          <w:pStyle w:val="Compact"/>
                        </w:pPr>
                      </w:p>
                    </w:tc>
                    <w:tc>
                      <w:tcPr/>
                      <w:p>
                        <w:pPr>
                          <w:pStyle w:val="Compact"/>
                          <w:jc w:val="left"/>
                          <w:jc w:val="center"/>
                          <w:jc w:val="left"/>
                        </w:pPr>
                        <w:r>
                          <w:t xml:space="preserve">1 (33.33%)</w:t>
                        </w:r>
                      </w:p>
                    </w:tc>
                    <w:tc>
                      <w:tcPr/>
                      <w:p>
                        <w:pPr>
                          <w:pStyle w:val="Compact"/>
                          <w:jc w:val="left"/>
                          <w:jc w:val="center"/>
                          <w:jc w:val="left"/>
                        </w:pPr>
                        <w:r>
                          <w:t xml:space="preserve">111 (23.72%)</w:t>
                        </w:r>
                      </w:p>
                    </w:tc>
                  </w:tr>
                  <w:tr>
                    <w:tc>
                      <w:tcPr/>
                      <w:p>
                        <w:pPr>
                          <w:pStyle w:val="Compact"/>
                          <w:jc w:val="left"/>
                          <w:jc w:val="center"/>
                          <w:jc w:val="left"/>
                        </w:pPr>
                        <w:r>
                          <w:t xml:space="preserve">Total</w:t>
                        </w:r>
                      </w:p>
                    </w:tc>
                    <w:tc>
                      <w:tcPr/>
                      <w:p>
                        <w:pPr>
                          <w:pStyle w:val="Compact"/>
                          <w:jc w:val="left"/>
                          <w:jc w:val="center"/>
                          <w:jc w:val="left"/>
                        </w:pPr>
                        <w:r>
                          <w:t xml:space="preserve">335 (100.00%)</w:t>
                        </w:r>
                      </w:p>
                    </w:tc>
                    <w:tc>
                      <w:tcPr/>
                      <w:p>
                        <w:pPr>
                          <w:pStyle w:val="Compact"/>
                          <w:jc w:val="left"/>
                          <w:jc w:val="center"/>
                          <w:jc w:val="left"/>
                        </w:pPr>
                        <w:r>
                          <w:t xml:space="preserve">60 (100.00%)</w:t>
                        </w:r>
                      </w:p>
                    </w:tc>
                    <w:tc>
                      <w:tcPr/>
                      <w:p>
                        <w:pPr>
                          <w:pStyle w:val="Compact"/>
                          <w:jc w:val="left"/>
                          <w:jc w:val="center"/>
                          <w:jc w:val="left"/>
                        </w:pPr>
                        <w:r>
                          <w:t xml:space="preserve">47 (100.00%)</w:t>
                        </w:r>
                      </w:p>
                    </w:tc>
                    <w:tc>
                      <w:tcPr/>
                      <w:p>
                        <w:pPr>
                          <w:pStyle w:val="Compact"/>
                          <w:jc w:val="left"/>
                          <w:jc w:val="center"/>
                          <w:jc w:val="left"/>
                        </w:pPr>
                        <w:r>
                          <w:t xml:space="preserve">13 (100.00%)</w:t>
                        </w:r>
                      </w:p>
                    </w:tc>
                    <w:tc>
                      <w:tcPr/>
                      <w:p>
                        <w:pPr>
                          <w:pStyle w:val="Compact"/>
                          <w:jc w:val="left"/>
                          <w:jc w:val="center"/>
                          <w:jc w:val="left"/>
                        </w:pPr>
                        <w:r>
                          <w:t xml:space="preserve">9 (100.00%)</w:t>
                        </w:r>
                      </w:p>
                    </w:tc>
                    <w:tc>
                      <w:tcPr/>
                      <w:p>
                        <w:pPr>
                          <w:pStyle w:val="Compact"/>
                          <w:jc w:val="left"/>
                          <w:jc w:val="center"/>
                          <w:jc w:val="left"/>
                        </w:pPr>
                        <w:r>
                          <w:t xml:space="preserve">1 (100.00%)</w:t>
                        </w:r>
                      </w:p>
                    </w:tc>
                    <w:tc>
                      <w:tcPr/>
                      <w:p>
                        <w:pPr>
                          <w:pStyle w:val="Compact"/>
                          <w:jc w:val="left"/>
                          <w:jc w:val="center"/>
                          <w:jc w:val="left"/>
                        </w:pPr>
                        <w:r>
                          <w:t xml:space="preserve">3 (100.00%)</w:t>
                        </w:r>
                      </w:p>
                    </w:tc>
                    <w:tc>
                      <w:tcPr/>
                      <w:p>
                        <w:pPr>
                          <w:pStyle w:val="Compact"/>
                          <w:jc w:val="left"/>
                          <w:jc w:val="center"/>
                          <w:jc w:val="left"/>
                        </w:pPr>
                        <w:r>
                          <w:t xml:space="preserve">468 (100.00%)</w:t>
                        </w:r>
                      </w:p>
                    </w:tc>
                  </w:tr>
                </w:tbl>
                <w:bookmarkEnd w:id="29"/>
                <w:bookmarkEnd w:id="3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2" w:name="tbl-general-3"/>
                <w:p>
                  <w:pPr>
                    <w:jc w:val="center"/>
                    <w:jc w:val="left"/>
                  </w:pPr>
                  <w:pPr>
                    <w:jc w:val="start"/>
                    <w:spacing w:before="200"/>
                    <w:pStyle w:val="ImageCaption"/>
                  </w:pPr>
                  <w:r>
                    <w:t xml:space="preserve">(c) Number and percentage of technotypological classes by raw material from the Solutrean assemblage (levels A-C) of the Shelter area.</w:t>
                  </w:r>
                </w:p>
                <w:bookmarkStart w:id="31" w:name="tbl-general-3"/>
                <w:tbl>
                  <w:tblPr>
                    <w:tblStyle w:val="Table"/>
                    <w:tblW w:type="pct" w:w="4900"/>
                    <w:tblLayout w:type="fixed"/>
                    <w:tblLook w:firstRow="1" w:lastRow="0" w:firstColumn="0" w:lastColumn="0" w:noHBand="0" w:noVBand="0" w:val="0020"/>
                  </w:tblPr>
                  <w:tblGrid>
                    <w:gridCol w:w="776"/>
                    <w:gridCol w:w="776"/>
                    <w:gridCol w:w="776"/>
                    <w:gridCol w:w="776"/>
                    <w:gridCol w:w="776"/>
                    <w:gridCol w:w="776"/>
                    <w:gridCol w:w="776"/>
                    <w:gridCol w:w="776"/>
                    <w:gridCol w:w="776"/>
                    <w:gridCol w:w="776"/>
                  </w:tblGrid>
                  <w:tr>
                    <w:trPr>
                      <w:tblHeader w:val="on"/>
                    </w:trPr>
                    <w:tc>
                      <w:tcPr/>
                      <w:p>
                        <w:pPr>
                          <w:pStyle w:val="Compact"/>
                          <w:jc w:val="left"/>
                          <w:jc w:val="center"/>
                          <w:jc w:val="left"/>
                        </w:pPr>
                        <w:r>
                          <w:t xml:space="preserve">CLASS</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T11</w:t>
                        </w:r>
                      </w:p>
                    </w:tc>
                    <w:tc>
                      <w:tcPr/>
                      <w:p>
                        <w:pPr>
                          <w:pStyle w:val="Compact"/>
                          <w:jc w:val="left"/>
                          <w:jc w:val="center"/>
                          <w:jc w:val="left"/>
                        </w:pPr>
                        <w:r>
                          <w:t xml:space="preserve">TL</w:t>
                        </w:r>
                      </w:p>
                    </w:tc>
                    <w:tc>
                      <w:tcPr/>
                      <w:p>
                        <w:pPr>
                          <w:pStyle w:val="Compact"/>
                          <w:jc w:val="left"/>
                          <w:jc w:val="center"/>
                          <w:jc w:val="left"/>
                        </w:pPr>
                        <w:r>
                          <w:t xml:space="preserve">Total</w:t>
                        </w:r>
                      </w:p>
                    </w:tc>
                  </w:tr>
                  <w:tr>
                    <w:tc>
                      <w:tcPr/>
                      <w:p>
                        <w:pPr>
                          <w:pStyle w:val="Compact"/>
                          <w:jc w:val="left"/>
                          <w:jc w:val="center"/>
                          <w:jc w:val="left"/>
                        </w:pPr>
                        <w:r>
                          <w:t xml:space="preserve">Blank</w:t>
                        </w:r>
                      </w:p>
                    </w:tc>
                    <w:tc>
                      <w:tcPr/>
                      <w:p>
                        <w:pPr>
                          <w:pStyle w:val="Compact"/>
                          <w:jc w:val="left"/>
                          <w:jc w:val="center"/>
                          <w:jc w:val="left"/>
                        </w:pPr>
                        <w:r>
                          <w:t xml:space="preserve">342 (60.64%)</w:t>
                        </w:r>
                      </w:p>
                    </w:tc>
                    <w:tc>
                      <w:tcPr/>
                      <w:p>
                        <w:pPr>
                          <w:pStyle w:val="Compact"/>
                          <w:jc w:val="left"/>
                          <w:jc w:val="center"/>
                          <w:jc w:val="left"/>
                        </w:pPr>
                        <w:r>
                          <w:t xml:space="preserve">49 (57.65%)</w:t>
                        </w:r>
                      </w:p>
                    </w:tc>
                    <w:tc>
                      <w:tcPr/>
                      <w:p>
                        <w:pPr>
                          <w:pStyle w:val="Compact"/>
                          <w:jc w:val="left"/>
                          <w:jc w:val="center"/>
                          <w:jc w:val="left"/>
                        </w:pPr>
                        <w:r>
                          <w:t xml:space="preserve">4 (44.44%)</w:t>
                        </w:r>
                      </w:p>
                    </w:tc>
                    <w:tc>
                      <w:tcPr/>
                      <w:p>
                        <w:pPr>
                          <w:pStyle w:val="Compact"/>
                          <w:jc w:val="left"/>
                          <w:jc w:val="center"/>
                          <w:jc w:val="left"/>
                        </w:pPr>
                        <w:r>
                          <w:t xml:space="preserve">22 (73.33%)</w:t>
                        </w:r>
                      </w:p>
                    </w:tc>
                    <w:tc>
                      <w:tcPr/>
                      <w:p>
                        <w:pPr>
                          <w:pStyle w:val="Compact"/>
                          <w:jc w:val="left"/>
                          <w:jc w:val="center"/>
                          <w:jc w:val="left"/>
                        </w:pPr>
                        <w:r>
                          <w:t xml:space="preserve">2 (66.67%)</w:t>
                        </w:r>
                      </w:p>
                    </w:tc>
                    <w:tc>
                      <w:tcPr/>
                      <w:p>
                        <w:pPr>
                          <w:pStyle w:val="Compact"/>
                        </w:pPr>
                      </w:p>
                    </w:tc>
                    <w:tc>
                      <w:tcPr/>
                      <w:p>
                        <w:pPr>
                          <w:pStyle w:val="Compact"/>
                          <w:jc w:val="left"/>
                          <w:jc w:val="center"/>
                          <w:jc w:val="left"/>
                        </w:pPr>
                        <w:r>
                          <w:t xml:space="preserve">9 (56.25%)</w:t>
                        </w:r>
                      </w:p>
                    </w:tc>
                    <w:tc>
                      <w:tcPr/>
                      <w:p>
                        <w:pPr>
                          <w:pStyle w:val="Compact"/>
                          <w:jc w:val="left"/>
                          <w:jc w:val="center"/>
                          <w:jc w:val="left"/>
                        </w:pPr>
                        <w:r>
                          <w:t xml:space="preserve">1 (100.00%)</w:t>
                        </w:r>
                      </w:p>
                    </w:tc>
                    <w:tc>
                      <w:tcPr/>
                      <w:p>
                        <w:pPr>
                          <w:pStyle w:val="Compact"/>
                          <w:jc w:val="left"/>
                          <w:jc w:val="center"/>
                          <w:jc w:val="left"/>
                        </w:pPr>
                        <w:r>
                          <w:t xml:space="preserve">429 (60.51%)</w:t>
                        </w:r>
                      </w:p>
                    </w:tc>
                  </w:tr>
                  <w:tr>
                    <w:tc>
                      <w:tcPr/>
                      <w:p>
                        <w:pPr>
                          <w:pStyle w:val="Compact"/>
                          <w:jc w:val="left"/>
                          <w:jc w:val="center"/>
                          <w:jc w:val="left"/>
                        </w:pPr>
                        <w:r>
                          <w:t xml:space="preserve">Blank fragment</w:t>
                        </w:r>
                      </w:p>
                    </w:tc>
                    <w:tc>
                      <w:tcPr/>
                      <w:p>
                        <w:pPr>
                          <w:pStyle w:val="Compact"/>
                          <w:jc w:val="left"/>
                          <w:jc w:val="center"/>
                          <w:jc w:val="left"/>
                        </w:pPr>
                        <w:r>
                          <w:t xml:space="preserve">133 (23.58%)</w:t>
                        </w:r>
                      </w:p>
                    </w:tc>
                    <w:tc>
                      <w:tcPr/>
                      <w:p>
                        <w:pPr>
                          <w:pStyle w:val="Compact"/>
                          <w:jc w:val="left"/>
                          <w:jc w:val="center"/>
                          <w:jc w:val="left"/>
                        </w:pPr>
                        <w:r>
                          <w:t xml:space="preserve">21 (24.71%)</w:t>
                        </w:r>
                      </w:p>
                    </w:tc>
                    <w:tc>
                      <w:tcPr/>
                      <w:p>
                        <w:pPr>
                          <w:pStyle w:val="Compact"/>
                          <w:jc w:val="left"/>
                          <w:jc w:val="center"/>
                          <w:jc w:val="left"/>
                        </w:pPr>
                        <w:r>
                          <w:t xml:space="preserve">4 (44.44%)</w:t>
                        </w:r>
                      </w:p>
                    </w:tc>
                    <w:tc>
                      <w:tcPr/>
                      <w:p>
                        <w:pPr>
                          <w:pStyle w:val="Compact"/>
                          <w:jc w:val="left"/>
                          <w:jc w:val="center"/>
                          <w:jc w:val="left"/>
                        </w:pPr>
                        <w:r>
                          <w:t xml:space="preserve">5 (16.67%)</w:t>
                        </w:r>
                      </w:p>
                    </w:tc>
                    <w:tc>
                      <w:tcPr/>
                      <w:p>
                        <w:pPr>
                          <w:pStyle w:val="Compact"/>
                        </w:pPr>
                      </w:p>
                    </w:tc>
                    <w:tc>
                      <w:tcPr/>
                      <w:p>
                        <w:pPr>
                          <w:pStyle w:val="Compact"/>
                          <w:jc w:val="left"/>
                          <w:jc w:val="center"/>
                          <w:jc w:val="left"/>
                        </w:pPr>
                        <w:r>
                          <w:t xml:space="preserve">1 (100.00%)</w:t>
                        </w:r>
                      </w:p>
                    </w:tc>
                    <w:tc>
                      <w:tcPr/>
                      <w:p>
                        <w:pPr>
                          <w:pStyle w:val="Compact"/>
                          <w:jc w:val="left"/>
                          <w:jc w:val="center"/>
                          <w:jc w:val="left"/>
                        </w:pPr>
                        <w:r>
                          <w:t xml:space="preserve">4 (25.00%)</w:t>
                        </w:r>
                      </w:p>
                    </w:tc>
                    <w:tc>
                      <w:tcPr/>
                      <w:p>
                        <w:pPr>
                          <w:pStyle w:val="Compact"/>
                        </w:pPr>
                      </w:p>
                    </w:tc>
                    <w:tc>
                      <w:tcPr/>
                      <w:p>
                        <w:pPr>
                          <w:pStyle w:val="Compact"/>
                          <w:jc w:val="left"/>
                          <w:jc w:val="center"/>
                          <w:jc w:val="left"/>
                        </w:pPr>
                        <w:r>
                          <w:t xml:space="preserve">168 (23.70%)</w:t>
                        </w:r>
                      </w:p>
                    </w:tc>
                  </w:tr>
                  <w:tr>
                    <w:tc>
                      <w:tcPr/>
                      <w:p>
                        <w:pPr>
                          <w:pStyle w:val="Compact"/>
                          <w:jc w:val="left"/>
                          <w:jc w:val="center"/>
                          <w:jc w:val="left"/>
                        </w:pPr>
                        <w:r>
                          <w:t xml:space="preserve">Burin spall</w:t>
                        </w:r>
                      </w:p>
                    </w:tc>
                    <w:tc>
                      <w:tcPr/>
                      <w:p>
                        <w:pPr>
                          <w:pStyle w:val="Compact"/>
                          <w:jc w:val="left"/>
                          <w:jc w:val="center"/>
                          <w:jc w:val="left"/>
                        </w:pPr>
                        <w:r>
                          <w:t xml:space="preserve">1 (0.18%)</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 (0.14%)</w:t>
                        </w:r>
                      </w:p>
                    </w:tc>
                  </w:tr>
                  <w:tr>
                    <w:tc>
                      <w:tcPr/>
                      <w:p>
                        <w:pPr>
                          <w:pStyle w:val="Compact"/>
                          <w:jc w:val="left"/>
                          <w:jc w:val="center"/>
                          <w:jc w:val="left"/>
                        </w:pPr>
                        <w:r>
                          <w:t xml:space="preserve">Core</w:t>
                        </w:r>
                      </w:p>
                    </w:tc>
                    <w:tc>
                      <w:tcPr/>
                      <w:p>
                        <w:pPr>
                          <w:pStyle w:val="Compact"/>
                          <w:jc w:val="left"/>
                          <w:jc w:val="center"/>
                          <w:jc w:val="left"/>
                        </w:pPr>
                        <w:r>
                          <w:t xml:space="preserve">59 (10.46%)</w:t>
                        </w:r>
                      </w:p>
                    </w:tc>
                    <w:tc>
                      <w:tcPr/>
                      <w:p>
                        <w:pPr>
                          <w:pStyle w:val="Compact"/>
                          <w:jc w:val="left"/>
                          <w:jc w:val="center"/>
                          <w:jc w:val="left"/>
                        </w:pPr>
                        <w:r>
                          <w:t xml:space="preserve">5 (5.88%)</w:t>
                        </w:r>
                      </w:p>
                    </w:tc>
                    <w:tc>
                      <w:tcPr/>
                      <w:p>
                        <w:pPr>
                          <w:pStyle w:val="Compact"/>
                        </w:pPr>
                      </w:p>
                    </w:tc>
                    <w:tc>
                      <w:tcPr/>
                      <w:p>
                        <w:pPr>
                          <w:pStyle w:val="Compact"/>
                          <w:jc w:val="left"/>
                          <w:jc w:val="center"/>
                          <w:jc w:val="left"/>
                        </w:pPr>
                        <w:r>
                          <w:t xml:space="preserve">1 (3.33%)</w:t>
                        </w:r>
                      </w:p>
                    </w:tc>
                    <w:tc>
                      <w:tcPr/>
                      <w:p>
                        <w:pPr>
                          <w:pStyle w:val="Compact"/>
                          <w:jc w:val="left"/>
                          <w:jc w:val="center"/>
                          <w:jc w:val="left"/>
                        </w:pPr>
                        <w:r>
                          <w:t xml:space="preserve">1 (33.33%)</w:t>
                        </w:r>
                      </w:p>
                    </w:tc>
                    <w:tc>
                      <w:tcPr/>
                      <w:p>
                        <w:pPr>
                          <w:pStyle w:val="Compact"/>
                        </w:pPr>
                      </w:p>
                    </w:tc>
                    <w:tc>
                      <w:tcPr/>
                      <w:p>
                        <w:pPr>
                          <w:pStyle w:val="Compact"/>
                        </w:pPr>
                      </w:p>
                    </w:tc>
                    <w:tc>
                      <w:tcPr/>
                      <w:p>
                        <w:pPr>
                          <w:pStyle w:val="Compact"/>
                        </w:pPr>
                      </w:p>
                    </w:tc>
                    <w:tc>
                      <w:tcPr/>
                      <w:p>
                        <w:pPr>
                          <w:pStyle w:val="Compact"/>
                          <w:jc w:val="left"/>
                          <w:jc w:val="center"/>
                          <w:jc w:val="left"/>
                        </w:pPr>
                        <w:r>
                          <w:t xml:space="preserve">66 (9.31%)</w:t>
                        </w:r>
                      </w:p>
                    </w:tc>
                  </w:tr>
                  <w:tr>
                    <w:tc>
                      <w:tcPr/>
                      <w:p>
                        <w:pPr>
                          <w:pStyle w:val="Compact"/>
                          <w:jc w:val="left"/>
                          <w:jc w:val="center"/>
                          <w:jc w:val="left"/>
                        </w:pPr>
                        <w:r>
                          <w:t xml:space="preserve">Core fragment</w:t>
                        </w:r>
                      </w:p>
                    </w:tc>
                    <w:tc>
                      <w:tcPr/>
                      <w:p>
                        <w:pPr>
                          <w:pStyle w:val="Compact"/>
                          <w:jc w:val="left"/>
                          <w:jc w:val="center"/>
                          <w:jc w:val="left"/>
                        </w:pPr>
                        <w:r>
                          <w:t xml:space="preserve">3 (0.53%)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3 (0.42%)</w:t>
                        </w:r>
                      </w:p>
                    </w:tc>
                  </w:tr>
                  <w:tr>
                    <w:tc>
                      <w:tcPr/>
                      <w:p>
                        <w:pPr>
                          <w:pStyle w:val="Compact"/>
                          <w:jc w:val="left"/>
                          <w:jc w:val="center"/>
                          <w:jc w:val="left"/>
                        </w:pPr>
                        <w:r>
                          <w:t xml:space="preserve">Core prep product</w:t>
                        </w:r>
                      </w:p>
                    </w:tc>
                    <w:tc>
                      <w:tcPr/>
                      <w:p>
                        <w:pPr>
                          <w:pStyle w:val="Compact"/>
                          <w:jc w:val="left"/>
                          <w:jc w:val="center"/>
                          <w:jc w:val="left"/>
                        </w:pPr>
                        <w:r>
                          <w:t xml:space="preserve">7 (1.24%)</w:t>
                        </w:r>
                      </w:p>
                    </w:tc>
                    <w:tc>
                      <w:tcPr/>
                      <w:p>
                        <w:pPr>
                          <w:pStyle w:val="Compact"/>
                          <w:jc w:val="left"/>
                          <w:jc w:val="center"/>
                          <w:jc w:val="left"/>
                        </w:pPr>
                        <w:r>
                          <w:t xml:space="preserve">3 (3.53%)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10 (1.41%)</w:t>
                        </w:r>
                      </w:p>
                    </w:tc>
                  </w:tr>
                  <w:tr>
                    <w:tc>
                      <w:tcPr/>
                      <w:p>
                        <w:pPr>
                          <w:pStyle w:val="Compact"/>
                          <w:jc w:val="left"/>
                          <w:jc w:val="center"/>
                          <w:jc w:val="left"/>
                        </w:pPr>
                        <w:r>
                          <w:t xml:space="preserve">Retouched</w:t>
                        </w:r>
                      </w:p>
                    </w:tc>
                    <w:tc>
                      <w:tcPr/>
                      <w:p>
                        <w:pPr>
                          <w:pStyle w:val="Compact"/>
                          <w:jc w:val="left"/>
                          <w:jc w:val="center"/>
                          <w:jc w:val="left"/>
                        </w:pPr>
                        <w:r>
                          <w:t xml:space="preserve">10 (1.77%)</w:t>
                        </w:r>
                      </w:p>
                    </w:tc>
                    <w:tc>
                      <w:tcPr/>
                      <w:p>
                        <w:pPr>
                          <w:pStyle w:val="Compact"/>
                          <w:jc w:val="left"/>
                          <w:jc w:val="center"/>
                          <w:jc w:val="left"/>
                        </w:pPr>
                        <w:r>
                          <w:t xml:space="preserve">6 (7.06%)</w:t>
                        </w:r>
                      </w:p>
                    </w:tc>
                    <w:tc>
                      <w:tcPr/>
                      <w:p>
                        <w:pPr>
                          <w:pStyle w:val="Compact"/>
                          <w:jc w:val="left"/>
                          <w:jc w:val="center"/>
                          <w:jc w:val="left"/>
                        </w:pPr>
                        <w:r>
                          <w:t xml:space="preserve">1 (11.11%)</w:t>
                        </w:r>
                      </w:p>
                    </w:tc>
                    <w:tc>
                      <w:tcPr/>
                      <w:p>
                        <w:pPr>
                          <w:pStyle w:val="Compact"/>
                          <w:jc w:val="left"/>
                          <w:jc w:val="center"/>
                          <w:jc w:val="left"/>
                        </w:pPr>
                        <w:r>
                          <w:t xml:space="preserve">1 (3.33%)</w:t>
                        </w:r>
                      </w:p>
                    </w:tc>
                    <w:tc>
                      <w:tcPr/>
                      <w:p>
                        <w:pPr>
                          <w:pStyle w:val="Compact"/>
                        </w:pPr>
                      </w:p>
                    </w:tc>
                    <w:tc>
                      <w:tcPr/>
                      <w:p>
                        <w:pPr>
                          <w:pStyle w:val="Compact"/>
                        </w:pPr>
                      </w:p>
                    </w:tc>
                    <w:tc>
                      <w:tcPr/>
                      <w:p>
                        <w:pPr>
                          <w:pStyle w:val="Compact"/>
                          <w:jc w:val="left"/>
                          <w:jc w:val="center"/>
                          <w:jc w:val="left"/>
                        </w:pPr>
                        <w:r>
                          <w:t xml:space="preserve">3 (18.75%)</w:t>
                        </w:r>
                      </w:p>
                    </w:tc>
                    <w:tc>
                      <w:tcPr/>
                      <w:p>
                        <w:pPr>
                          <w:pStyle w:val="Compact"/>
                        </w:pPr>
                      </w:p>
                    </w:tc>
                    <w:tc>
                      <w:tcPr/>
                      <w:p>
                        <w:pPr>
                          <w:pStyle w:val="Compact"/>
                          <w:jc w:val="left"/>
                          <w:jc w:val="center"/>
                          <w:jc w:val="left"/>
                        </w:pPr>
                        <w:r>
                          <w:t xml:space="preserve">21 (2.96%)</w:t>
                        </w:r>
                      </w:p>
                    </w:tc>
                  </w:tr>
                  <w:tr>
                    <w:tc>
                      <w:tcPr/>
                      <w:p>
                        <w:pPr>
                          <w:pStyle w:val="Compact"/>
                          <w:jc w:val="left"/>
                          <w:jc w:val="center"/>
                          <w:jc w:val="left"/>
                        </w:pPr>
                        <w:r>
                          <w:t xml:space="preserve">Retouched fragment</w:t>
                        </w:r>
                      </w:p>
                    </w:tc>
                    <w:tc>
                      <w:tcPr/>
                      <w:p>
                        <w:pPr>
                          <w:pStyle w:val="Compact"/>
                          <w:jc w:val="left"/>
                          <w:jc w:val="center"/>
                          <w:jc w:val="left"/>
                        </w:pPr>
                        <w:r>
                          <w:t xml:space="preserve">9 (1.60%)</w:t>
                        </w:r>
                      </w:p>
                    </w:tc>
                    <w:tc>
                      <w:tcPr/>
                      <w:p>
                        <w:pPr>
                          <w:pStyle w:val="Compact"/>
                          <w:jc w:val="left"/>
                          <w:jc w:val="center"/>
                          <w:jc w:val="left"/>
                        </w:pPr>
                        <w:r>
                          <w:t xml:space="preserve">1 (1.18%)</w:t>
                        </w:r>
                      </w:p>
                    </w:tc>
                    <w:tc>
                      <w:tcPr/>
                      <w:p>
                        <w:pPr>
                          <w:pStyle w:val="Compact"/>
                        </w:pPr>
                      </w:p>
                    </w:tc>
                    <w:tc>
                      <w:tcPr/>
                      <w:p>
                        <w:pPr>
                          <w:pStyle w:val="Compact"/>
                          <w:jc w:val="left"/>
                          <w:jc w:val="center"/>
                          <w:jc w:val="left"/>
                        </w:pPr>
                        <w:r>
                          <w:t xml:space="preserve">1 (3.33%)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11 (1.55%)</w:t>
                        </w:r>
                      </w:p>
                    </w:tc>
                  </w:tr>
                  <w:tr>
                    <w:tc>
                      <w:tcPr/>
                      <w:p>
                        <w:pPr>
                          <w:pStyle w:val="Compact"/>
                          <w:jc w:val="left"/>
                          <w:jc w:val="center"/>
                          <w:jc w:val="left"/>
                        </w:pPr>
                        <w:r>
                          <w:t xml:space="preserve">Total</w:t>
                        </w:r>
                      </w:p>
                    </w:tc>
                    <w:tc>
                      <w:tcPr/>
                      <w:p>
                        <w:pPr>
                          <w:pStyle w:val="Compact"/>
                          <w:jc w:val="left"/>
                          <w:jc w:val="center"/>
                          <w:jc w:val="left"/>
                        </w:pPr>
                        <w:r>
                          <w:t xml:space="preserve">564 (100.00%)</w:t>
                        </w:r>
                      </w:p>
                    </w:tc>
                    <w:tc>
                      <w:tcPr/>
                      <w:p>
                        <w:pPr>
                          <w:pStyle w:val="Compact"/>
                          <w:jc w:val="left"/>
                          <w:jc w:val="center"/>
                          <w:jc w:val="left"/>
                        </w:pPr>
                        <w:r>
                          <w:t xml:space="preserve">85 (100.00%)</w:t>
                        </w:r>
                      </w:p>
                    </w:tc>
                    <w:tc>
                      <w:tcPr/>
                      <w:p>
                        <w:pPr>
                          <w:pStyle w:val="Compact"/>
                          <w:jc w:val="left"/>
                          <w:jc w:val="center"/>
                          <w:jc w:val="left"/>
                        </w:pPr>
                        <w:r>
                          <w:t xml:space="preserve">9 (100.00%)</w:t>
                        </w:r>
                      </w:p>
                    </w:tc>
                    <w:tc>
                      <w:tcPr/>
                      <w:p>
                        <w:pPr>
                          <w:pStyle w:val="Compact"/>
                          <w:jc w:val="left"/>
                          <w:jc w:val="center"/>
                          <w:jc w:val="left"/>
                        </w:pPr>
                        <w:r>
                          <w:t xml:space="preserve">30 (100.00%)</w:t>
                        </w:r>
                      </w:p>
                    </w:tc>
                    <w:tc>
                      <w:tcPr/>
                      <w:p>
                        <w:pPr>
                          <w:pStyle w:val="Compact"/>
                          <w:jc w:val="left"/>
                          <w:jc w:val="center"/>
                          <w:jc w:val="left"/>
                        </w:pPr>
                        <w:r>
                          <w:t xml:space="preserve">3 (100.00%)</w:t>
                        </w:r>
                      </w:p>
                    </w:tc>
                    <w:tc>
                      <w:tcPr/>
                      <w:p>
                        <w:pPr>
                          <w:pStyle w:val="Compact"/>
                          <w:jc w:val="left"/>
                          <w:jc w:val="center"/>
                          <w:jc w:val="left"/>
                        </w:pPr>
                        <w:r>
                          <w:t xml:space="preserve">1 (100.00%)</w:t>
                        </w:r>
                      </w:p>
                    </w:tc>
                    <w:tc>
                      <w:tcPr/>
                      <w:p>
                        <w:pPr>
                          <w:pStyle w:val="Compact"/>
                          <w:jc w:val="left"/>
                          <w:jc w:val="center"/>
                          <w:jc w:val="left"/>
                        </w:pPr>
                        <w:r>
                          <w:t xml:space="preserve">16 (100.00%)</w:t>
                        </w:r>
                      </w:p>
                    </w:tc>
                    <w:tc>
                      <w:tcPr/>
                      <w:p>
                        <w:pPr>
                          <w:pStyle w:val="Compact"/>
                          <w:jc w:val="left"/>
                          <w:jc w:val="center"/>
                          <w:jc w:val="left"/>
                        </w:pPr>
                        <w:r>
                          <w:t xml:space="preserve">1 (100.00%)</w:t>
                        </w:r>
                      </w:p>
                    </w:tc>
                    <w:tc>
                      <w:tcPr/>
                      <w:p>
                        <w:pPr>
                          <w:pStyle w:val="Compact"/>
                          <w:jc w:val="left"/>
                          <w:jc w:val="center"/>
                          <w:jc w:val="left"/>
                        </w:pPr>
                        <w:r>
                          <w:t xml:space="preserve">709 (100.00%)</w:t>
                        </w:r>
                      </w:p>
                    </w:tc>
                  </w:tr>
                </w:tbl>
                <w:bookmarkEnd w:id="31"/>
                <w:bookmarkEnd w:id="32"/>
                <w:p/>
              </w:tc>
            </w:tr>
          </w:tbl>
          <w:p/>
        </w:tc>
      </w:tr>
    </w:tbl>
    <w:p>
      <w:pPr>
        <w:pStyle w:val="BodyText"/>
      </w:pPr>
      <w:pPr>
        <w:spacing w:before="200"/>
        <w:pStyle w:val="ImageCaption"/>
      </w:pPr>
      <w:r>
        <w:t xml:space="preserve">Table 3: Number and percentage of technotypological classes by raw material type of the Gravettian (a), Proto-Solutrean (b) and Solutrean (c) assemblages.</w:t>
      </w:r>
    </w:p>
    <w:bookmarkEnd w:id="33"/>
    <w:p>
      <w:pPr>
        <w:pStyle w:val="BodyText"/>
      </w:pPr>
      <w:r>
        <w:t xml:space="preserve"> </w:t>
      </w:r>
    </w:p>
    <w:bookmarkStart w:id="40" w:name="tbl-retouch"/>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5" w:name="tbl-retouch-1"/>
                <w:p>
                  <w:pPr>
                    <w:jc w:val="center"/>
                    <w:jc w:val="left"/>
                  </w:pPr>
                  <w:pPr>
                    <w:jc w:val="start"/>
                    <w:spacing w:before="200"/>
                    <w:pStyle w:val="ImageCaption"/>
                  </w:pPr>
                  <w:r>
                    <w:t xml:space="preserve">(a) Number and percentage of retouched tools by raw material from the Gravettian assemblage (levels 6 and 7) of the Terrace area.</w:t>
                  </w:r>
                </w:p>
                <w:bookmarkStart w:id="34" w:name="tbl-retouch-1"/>
                <w:tbl>
                  <w:tblPr>
                    <w:tblStyle w:val="Table"/>
                    <w:tblW w:type="pct" w:w="4900"/>
                    <w:tblLayout w:type="fixed"/>
                    <w:tblLook w:firstRow="1" w:lastRow="0" w:firstColumn="0" w:lastColumn="0" w:noHBand="0" w:noVBand="0" w:val="0020"/>
                  </w:tblPr>
                  <w:tblGrid>
                    <w:gridCol w:w="862"/>
                    <w:gridCol w:w="862"/>
                    <w:gridCol w:w="862"/>
                    <w:gridCol w:w="862"/>
                    <w:gridCol w:w="862"/>
                    <w:gridCol w:w="862"/>
                    <w:gridCol w:w="862"/>
                    <w:gridCol w:w="862"/>
                    <w:gridCol w:w="862"/>
                  </w:tblGrid>
                  <w:tr>
                    <w:trPr>
                      <w:tblHeader w:val="on"/>
                    </w:trPr>
                    <w:tc>
                      <w:tcPr/>
                      <w:p>
                        <w:pPr>
                          <w:pStyle w:val="Compact"/>
                          <w:jc w:val="left"/>
                          <w:jc w:val="center"/>
                          <w:jc w:val="left"/>
                        </w:pPr>
                        <w:r>
                          <w:t xml:space="preserve">Typology</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TL</w:t>
                        </w:r>
                      </w:p>
                    </w:tc>
                    <w:tc>
                      <w:tcPr/>
                      <w:p>
                        <w:pPr>
                          <w:pStyle w:val="Compact"/>
                          <w:jc w:val="right"/>
                          <w:jc w:val="center"/>
                          <w:jc w:val="left"/>
                        </w:pPr>
                        <w:r>
                          <w:t xml:space="preserve">Total</w:t>
                        </w:r>
                      </w:p>
                    </w:tc>
                  </w:tr>
                  <w:tr>
                    <w:tc>
                      <w:tcPr/>
                      <w:p>
                        <w:pPr>
                          <w:pStyle w:val="Compact"/>
                          <w:jc w:val="left"/>
                          <w:jc w:val="center"/>
                          <w:jc w:val="left"/>
                        </w:pPr>
                        <w:r>
                          <w:t xml:space="preserve">Backed bladelet</w:t>
                        </w:r>
                      </w:p>
                    </w:tc>
                    <w:tc>
                      <w:tcPr/>
                      <w:p>
                        <w:pPr>
                          <w:pStyle w:val="Compact"/>
                        </w:pPr>
                      </w:p>
                    </w:tc>
                    <w:tc>
                      <w:tcPr/>
                      <w:p>
                        <w:pPr>
                          <w:pStyle w:val="Compact"/>
                          <w:jc w:val="left"/>
                          <w:jc w:val="center"/>
                          <w:jc w:val="left"/>
                        </w:pPr>
                        <w:r>
                          <w:t xml:space="preserve">2</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4</w:t>
                        </w:r>
                      </w:p>
                    </w:tc>
                  </w:tr>
                  <w:tr>
                    <w:tc>
                      <w:tcPr/>
                      <w:p>
                        <w:pPr>
                          <w:pStyle w:val="Compact"/>
                          <w:jc w:val="left"/>
                          <w:jc w:val="center"/>
                          <w:jc w:val="left"/>
                        </w:pPr>
                        <w:r>
                          <w:t xml:space="preserve">Backed flake</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Burin</w:t>
                        </w:r>
                      </w:p>
                    </w:tc>
                    <w:tc>
                      <w:tcPr/>
                      <w:p>
                        <w:pPr>
                          <w:pStyle w:val="Compact"/>
                          <w:jc w:val="left"/>
                          <w:jc w:val="center"/>
                          <w:jc w:val="left"/>
                        </w:pPr>
                        <w:r>
                          <w:t xml:space="preserve">14</w:t>
                        </w:r>
                      </w:p>
                    </w:tc>
                    <w:tc>
                      <w:tcPr/>
                      <w:p>
                        <w:pPr>
                          <w:pStyle w:val="Compact"/>
                          <w:jc w:val="left"/>
                          <w:jc w:val="center"/>
                          <w:jc w:val="left"/>
                        </w:pPr>
                        <w:r>
                          <w:t xml:space="preserve">16</w:t>
                        </w:r>
                      </w:p>
                    </w:tc>
                    <w:tc>
                      <w:tcPr/>
                      <w:p>
                        <w:pPr>
                          <w:pStyle w:val="Compact"/>
                          <w:jc w:val="left"/>
                          <w:jc w:val="center"/>
                          <w:jc w:val="left"/>
                        </w:pPr>
                        <w:r>
                          <w:t xml:space="preserve">9</w:t>
                        </w: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2</w:t>
                        </w:r>
                      </w:p>
                    </w:tc>
                    <w:tc>
                      <w:tcPr/>
                      <w:p>
                        <w:pPr>
                          <w:pStyle w:val="Compact"/>
                          <w:jc w:val="right"/>
                          <w:jc w:val="center"/>
                          <w:jc w:val="left"/>
                        </w:pPr>
                        <w:r>
                          <w:t xml:space="preserve">42</w:t>
                        </w:r>
                      </w:p>
                    </w:tc>
                  </w:tr>
                  <w:tr>
                    <w:tc>
                      <w:tcPr/>
                      <w:p>
                        <w:pPr>
                          <w:pStyle w:val="Compact"/>
                          <w:jc w:val="left"/>
                          <w:jc w:val="center"/>
                          <w:jc w:val="left"/>
                        </w:pPr>
                        <w:r>
                          <w:t xml:space="preserve">Denticulate</w:t>
                        </w:r>
                      </w:p>
                    </w:tc>
                    <w:tc>
                      <w:tcPr/>
                      <w:p>
                        <w:pPr>
                          <w:pStyle w:val="Compact"/>
                        </w:pP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Endscrapper</w:t>
                        </w:r>
                      </w:p>
                    </w:tc>
                    <w:tc>
                      <w:tcPr/>
                      <w:p>
                        <w:pPr>
                          <w:pStyle w:val="Compact"/>
                          <w:jc w:val="left"/>
                          <w:jc w:val="center"/>
                          <w:jc w:val="left"/>
                        </w:pPr>
                        <w:r>
                          <w:t xml:space="preserve">6</w:t>
                        </w:r>
                      </w:p>
                    </w:tc>
                    <w:tc>
                      <w:tcPr/>
                      <w:p>
                        <w:pPr>
                          <w:pStyle w:val="Compact"/>
                          <w:jc w:val="left"/>
                          <w:jc w:val="center"/>
                          <w:jc w:val="left"/>
                        </w:pPr>
                        <w:r>
                          <w:t xml:space="preserve">3</w:t>
                        </w:r>
                      </w:p>
                    </w:tc>
                    <w:tc>
                      <w:tcPr/>
                      <w:p>
                        <w:pPr>
                          <w:pStyle w:val="Compact"/>
                        </w:pPr>
                      </w:p>
                    </w:tc>
                    <w:tc>
                      <w:tcPr/>
                      <w:p>
                        <w:pPr>
                          <w:pStyle w:val="Compact"/>
                        </w:pPr>
                      </w:p>
                    </w:tc>
                    <w:tc>
                      <w:tcPr/>
                      <w:p>
                        <w:pPr>
                          <w:pStyle w:val="Compact"/>
                        </w:pPr>
                      </w:p>
                    </w:tc>
                    <w:tc>
                      <w:tcPr/>
                      <w:p>
                        <w:pPr>
                          <w:pStyle w:val="Compact"/>
                          <w:jc w:val="left"/>
                          <w:jc w:val="center"/>
                          <w:jc w:val="left"/>
                        </w:pPr>
                        <w:r>
                          <w:t xml:space="preserve">2</w:t>
                        </w:r>
                      </w:p>
                    </w:tc>
                    <w:tc>
                      <w:tcPr/>
                      <w:p>
                        <w:pPr>
                          <w:pStyle w:val="Compact"/>
                          <w:jc w:val="left"/>
                          <w:jc w:val="center"/>
                          <w:jc w:val="left"/>
                        </w:pPr>
                        <w:r>
                          <w:t xml:space="preserve">1</w:t>
                        </w:r>
                      </w:p>
                    </w:tc>
                    <w:tc>
                      <w:tcPr/>
                      <w:p>
                        <w:pPr>
                          <w:pStyle w:val="Compact"/>
                          <w:jc w:val="right"/>
                          <w:jc w:val="center"/>
                          <w:jc w:val="left"/>
                        </w:pPr>
                        <w:r>
                          <w:t xml:space="preserve">12</w:t>
                        </w:r>
                      </w:p>
                    </w:tc>
                  </w:tr>
                  <w:tr>
                    <w:tc>
                      <w:tcPr/>
                      <w:p>
                        <w:pPr>
                          <w:pStyle w:val="Compact"/>
                          <w:jc w:val="left"/>
                          <w:jc w:val="center"/>
                          <w:jc w:val="left"/>
                        </w:pPr>
                        <w:r>
                          <w:t xml:space="preserve">Endscrapper-burin</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Notch</w:t>
                        </w:r>
                      </w:p>
                    </w:tc>
                    <w:tc>
                      <w:tcPr/>
                      <w:p>
                        <w:pPr>
                          <w:pStyle w:val="Compact"/>
                          <w:jc w:val="left"/>
                          <w:jc w:val="center"/>
                          <w:jc w:val="left"/>
                        </w:pPr>
                        <w:r>
                          <w:t xml:space="preserve">3</w:t>
                        </w:r>
                      </w:p>
                    </w:tc>
                    <w:tc>
                      <w:tcPr/>
                      <w:p>
                        <w:pPr>
                          <w:pStyle w:val="Compact"/>
                          <w:jc w:val="left"/>
                          <w:jc w:val="center"/>
                          <w:jc w:val="left"/>
                        </w:pPr>
                        <w:r>
                          <w:t xml:space="preserve">7</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11</w:t>
                        </w:r>
                      </w:p>
                    </w:tc>
                  </w:tr>
                  <w:tr>
                    <w:tc>
                      <w:tcPr/>
                      <w:p>
                        <w:pPr>
                          <w:pStyle w:val="Compact"/>
                          <w:jc w:val="left"/>
                          <w:jc w:val="center"/>
                          <w:jc w:val="left"/>
                        </w:pPr>
                        <w:r>
                          <w:t xml:space="preserve">Perforator</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blank</w:t>
                        </w:r>
                      </w:p>
                    </w:tc>
                    <w:tc>
                      <w:tcPr/>
                      <w:p>
                        <w:pPr>
                          <w:pStyle w:val="Compact"/>
                          <w:jc w:val="left"/>
                          <w:jc w:val="center"/>
                          <w:jc w:val="left"/>
                        </w:pPr>
                        <w:r>
                          <w:t xml:space="preserve">8</w:t>
                        </w:r>
                      </w:p>
                    </w:tc>
                    <w:tc>
                      <w:tcPr/>
                      <w:p>
                        <w:pPr>
                          <w:pStyle w:val="Compact"/>
                          <w:jc w:val="left"/>
                          <w:jc w:val="center"/>
                          <w:jc w:val="left"/>
                        </w:pPr>
                        <w:r>
                          <w:t xml:space="preserve">17</w:t>
                        </w:r>
                      </w:p>
                    </w:tc>
                    <w:tc>
                      <w:tcPr/>
                      <w:p>
                        <w:pPr>
                          <w:pStyle w:val="Compact"/>
                          <w:jc w:val="left"/>
                          <w:jc w:val="center"/>
                          <w:jc w:val="left"/>
                        </w:pPr>
                        <w:r>
                          <w:t xml:space="preserve">5</w:t>
                        </w: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1</w:t>
                        </w:r>
                      </w:p>
                    </w:tc>
                    <w:tc>
                      <w:tcPr/>
                      <w:p>
                        <w:pPr>
                          <w:pStyle w:val="Compact"/>
                          <w:jc w:val="right"/>
                          <w:jc w:val="center"/>
                          <w:jc w:val="left"/>
                        </w:pPr>
                        <w:r>
                          <w:t xml:space="preserve">32</w:t>
                        </w:r>
                      </w:p>
                    </w:tc>
                  </w:tr>
                  <w:tr>
                    <w:tc>
                      <w:tcPr/>
                      <w:p>
                        <w:pPr>
                          <w:pStyle w:val="Compact"/>
                          <w:jc w:val="left"/>
                          <w:jc w:val="center"/>
                          <w:jc w:val="left"/>
                        </w:pPr>
                        <w:r>
                          <w:t xml:space="preserve">Retouched burin</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burin spall</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piece fragment</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Splintered piece</w:t>
                        </w:r>
                      </w:p>
                    </w:tc>
                    <w:tc>
                      <w:tcPr/>
                      <w:p>
                        <w:pPr>
                          <w:pStyle w:val="Compact"/>
                          <w:jc w:val="left"/>
                          <w:jc w:val="center"/>
                          <w:jc w:val="left"/>
                        </w:pPr>
                        <w:r>
                          <w:t xml:space="preserve">7</w:t>
                        </w:r>
                      </w:p>
                    </w:tc>
                    <w:tc>
                      <w:tcPr/>
                      <w:p>
                        <w:pPr>
                          <w:pStyle w:val="Compact"/>
                          <w:jc w:val="left"/>
                          <w:jc w:val="center"/>
                          <w:jc w:val="left"/>
                        </w:pPr>
                        <w:r>
                          <w:t xml:space="preserve">9</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21</w:t>
                        </w:r>
                      </w:p>
                    </w:tc>
                  </w:tr>
                  <w:tr>
                    <w:tc>
                      <w:tcPr/>
                      <w:p>
                        <w:pPr>
                          <w:pStyle w:val="Compact"/>
                          <w:jc w:val="left"/>
                          <w:jc w:val="center"/>
                          <w:jc w:val="left"/>
                        </w:pPr>
                        <w:r>
                          <w:t xml:space="preserve">Total</w:t>
                        </w:r>
                      </w:p>
                    </w:tc>
                    <w:tc>
                      <w:tcPr/>
                      <w:p>
                        <w:pPr>
                          <w:pStyle w:val="Compact"/>
                          <w:jc w:val="left"/>
                          <w:jc w:val="center"/>
                          <w:jc w:val="left"/>
                        </w:pPr>
                        <w:r>
                          <w:t xml:space="preserve">38</w:t>
                        </w:r>
                      </w:p>
                    </w:tc>
                    <w:tc>
                      <w:tcPr/>
                      <w:p>
                        <w:pPr>
                          <w:pStyle w:val="Compact"/>
                          <w:jc w:val="left"/>
                          <w:jc w:val="center"/>
                          <w:jc w:val="left"/>
                        </w:pPr>
                        <w:r>
                          <w:t xml:space="preserve">58</w:t>
                        </w:r>
                      </w:p>
                    </w:tc>
                    <w:tc>
                      <w:tcPr/>
                      <w:p>
                        <w:pPr>
                          <w:pStyle w:val="Compact"/>
                          <w:jc w:val="left"/>
                          <w:jc w:val="center"/>
                          <w:jc w:val="left"/>
                        </w:pPr>
                        <w:r>
                          <w:t xml:space="preserve">24</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3</w:t>
                        </w:r>
                      </w:p>
                    </w:tc>
                    <w:tc>
                      <w:tcPr/>
                      <w:p>
                        <w:pPr>
                          <w:pStyle w:val="Compact"/>
                          <w:jc w:val="left"/>
                          <w:jc w:val="center"/>
                          <w:jc w:val="left"/>
                        </w:pPr>
                        <w:r>
                          <w:t xml:space="preserve">4</w:t>
                        </w:r>
                      </w:p>
                    </w:tc>
                    <w:tc>
                      <w:tcPr/>
                      <w:p>
                        <w:pPr>
                          <w:pStyle w:val="Compact"/>
                          <w:jc w:val="right"/>
                          <w:jc w:val="center"/>
                          <w:jc w:val="left"/>
                        </w:pPr>
                        <w:r>
                          <w:t xml:space="preserve">131</w:t>
                        </w:r>
                      </w:p>
                    </w:tc>
                  </w:tr>
                </w:tbl>
                <w:bookmarkEnd w:id="34"/>
                <w:bookmarkEnd w:id="35"/>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7" w:name="tbl-retouch-2"/>
                <w:p>
                  <w:pPr>
                    <w:jc w:val="center"/>
                    <w:jc w:val="left"/>
                  </w:pPr>
                  <w:pPr>
                    <w:jc w:val="start"/>
                    <w:spacing w:before="200"/>
                    <w:pStyle w:val="ImageCaption"/>
                  </w:pPr>
                  <w:r>
                    <w:t xml:space="preserve">(b) Number and percentage of retouched tools by raw material from the Proto-Solutrean assemblage (levels 4E and 5) of the Terrace area.</w:t>
                  </w:r>
                </w:p>
                <w:bookmarkStart w:id="36" w:name="tbl-retouch-2"/>
                <w:tbl>
                  <w:tblPr>
                    <w:tblStyle w:val="Table"/>
                    <w:tblW w:type="pct" w:w="4900"/>
                    <w:tblLayout w:type="fixed"/>
                    <w:tblLook w:firstRow="1" w:lastRow="0" w:firstColumn="0" w:lastColumn="0" w:noHBand="0" w:noVBand="0" w:val="0020"/>
                  </w:tblPr>
                  <w:tblGrid>
                    <w:gridCol w:w="970"/>
                    <w:gridCol w:w="970"/>
                    <w:gridCol w:w="970"/>
                    <w:gridCol w:w="970"/>
                    <w:gridCol w:w="970"/>
                    <w:gridCol w:w="970"/>
                    <w:gridCol w:w="970"/>
                    <w:gridCol w:w="970"/>
                  </w:tblGrid>
                  <w:tr>
                    <w:trPr>
                      <w:tblHeader w:val="on"/>
                    </w:trPr>
                    <w:tc>
                      <w:tcPr/>
                      <w:p>
                        <w:pPr>
                          <w:pStyle w:val="Compact"/>
                          <w:jc w:val="left"/>
                          <w:jc w:val="center"/>
                          <w:jc w:val="left"/>
                        </w:pPr>
                        <w:r>
                          <w:t xml:space="preserve">Typology</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TL</w:t>
                        </w:r>
                      </w:p>
                    </w:tc>
                    <w:tc>
                      <w:tcPr/>
                      <w:p>
                        <w:pPr>
                          <w:pStyle w:val="Compact"/>
                          <w:jc w:val="right"/>
                          <w:jc w:val="center"/>
                          <w:jc w:val="left"/>
                        </w:pPr>
                        <w:r>
                          <w:t xml:space="preserve">Total</w:t>
                        </w:r>
                      </w:p>
                    </w:tc>
                  </w:tr>
                  <w:tr>
                    <w:tc>
                      <w:tcPr/>
                      <w:p>
                        <w:pPr>
                          <w:pStyle w:val="Compact"/>
                          <w:jc w:val="left"/>
                          <w:jc w:val="center"/>
                          <w:jc w:val="left"/>
                        </w:pPr>
                        <w:r>
                          <w:t xml:space="preserve">Backed bladelet</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Burin</w:t>
                        </w:r>
                      </w:p>
                    </w:tc>
                    <w:tc>
                      <w:tcPr/>
                      <w:p>
                        <w:pPr>
                          <w:pStyle w:val="Compact"/>
                          <w:jc w:val="left"/>
                          <w:jc w:val="center"/>
                          <w:jc w:val="left"/>
                        </w:pPr>
                        <w:r>
                          <w:t xml:space="preserve">5</w:t>
                        </w: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7</w:t>
                        </w:r>
                      </w:p>
                    </w:tc>
                  </w:tr>
                  <w:tr>
                    <w:tc>
                      <w:tcPr/>
                      <w:p>
                        <w:pPr>
                          <w:pStyle w:val="Compact"/>
                          <w:jc w:val="left"/>
                          <w:jc w:val="center"/>
                          <w:jc w:val="left"/>
                        </w:pPr>
                        <w:r>
                          <w:t xml:space="preserve">Denticulate</w:t>
                        </w: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Endscraper</w:t>
                        </w:r>
                      </w:p>
                    </w:tc>
                    <w:tc>
                      <w:tcPr/>
                      <w:p>
                        <w:pPr>
                          <w:pStyle w:val="Compact"/>
                          <w:jc w:val="left"/>
                          <w:jc w:val="center"/>
                          <w:jc w:val="left"/>
                        </w:pPr>
                        <w:r>
                          <w:t xml:space="preserve">6</w:t>
                        </w:r>
                      </w:p>
                    </w:tc>
                    <w:tc>
                      <w:tcPr/>
                      <w:p>
                        <w:pPr>
                          <w:pStyle w:val="Compact"/>
                          <w:jc w:val="left"/>
                          <w:jc w:val="center"/>
                          <w:jc w:val="left"/>
                        </w:pPr>
                        <w:r>
                          <w:t xml:space="preserve">4</w:t>
                        </w: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1</w:t>
                        </w:r>
                      </w:p>
                    </w:tc>
                    <w:tc>
                      <w:tcPr/>
                      <w:p>
                        <w:pPr>
                          <w:pStyle w:val="Compact"/>
                          <w:jc w:val="right"/>
                          <w:jc w:val="center"/>
                          <w:jc w:val="left"/>
                        </w:pPr>
                        <w:r>
                          <w:t xml:space="preserve">12</w:t>
                        </w:r>
                      </w:p>
                    </w:tc>
                  </w:tr>
                  <w:tr>
                    <w:tc>
                      <w:tcPr/>
                      <w:p>
                        <w:pPr>
                          <w:pStyle w:val="Compact"/>
                          <w:jc w:val="left"/>
                          <w:jc w:val="center"/>
                          <w:jc w:val="left"/>
                        </w:pPr>
                        <w:r>
                          <w:t xml:space="preserve">Notch</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Perforator-endscraper</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blank</w:t>
                        </w:r>
                      </w:p>
                    </w:tc>
                    <w:tc>
                      <w:tcPr/>
                      <w:p>
                        <w:pPr>
                          <w:pStyle w:val="Compact"/>
                          <w:jc w:val="left"/>
                          <w:jc w:val="center"/>
                          <w:jc w:val="left"/>
                        </w:pPr>
                        <w:r>
                          <w:t xml:space="preserve">6</w:t>
                        </w:r>
                      </w:p>
                    </w:tc>
                    <w:tc>
                      <w:tcPr/>
                      <w:p>
                        <w:pPr>
                          <w:pStyle w:val="Compact"/>
                          <w:jc w:val="left"/>
                          <w:jc w:val="center"/>
                          <w:jc w:val="left"/>
                        </w:pPr>
                        <w:r>
                          <w:t xml:space="preserve">1</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jc w:val="right"/>
                          <w:jc w:val="center"/>
                          <w:jc w:val="left"/>
                        </w:pPr>
                        <w:r>
                          <w:t xml:space="preserve">12</w:t>
                        </w:r>
                      </w:p>
                    </w:tc>
                  </w:tr>
                  <w:tr>
                    <w:tc>
                      <w:tcPr/>
                      <w:p>
                        <w:pPr>
                          <w:pStyle w:val="Compact"/>
                          <w:jc w:val="left"/>
                          <w:jc w:val="center"/>
                          <w:jc w:val="left"/>
                        </w:pPr>
                        <w:r>
                          <w:t xml:space="preserve">Solutrean retouch</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Splintered piece</w:t>
                        </w:r>
                      </w:p>
                    </w:tc>
                    <w:tc>
                      <w:tcPr/>
                      <w:p>
                        <w:pPr>
                          <w:pStyle w:val="Compact"/>
                          <w:jc w:val="left"/>
                          <w:jc w:val="center"/>
                          <w:jc w:val="left"/>
                        </w:pPr>
                        <w:r>
                          <w:t xml:space="preserve">5</w:t>
                        </w:r>
                      </w:p>
                    </w:tc>
                    <w:tc>
                      <w:tcPr/>
                      <w:p>
                        <w:pPr>
                          <w:pStyle w:val="Compact"/>
                          <w:jc w:val="left"/>
                          <w:jc w:val="center"/>
                          <w:jc w:val="left"/>
                        </w:pPr>
                        <w:r>
                          <w:t xml:space="preserve">2</w:t>
                        </w:r>
                      </w:p>
                    </w:tc>
                    <w:tc>
                      <w:tcPr/>
                      <w:p>
                        <w:pPr>
                          <w:pStyle w:val="Compact"/>
                          <w:jc w:val="left"/>
                          <w:jc w:val="center"/>
                          <w:jc w:val="left"/>
                        </w:pPr>
                        <w:r>
                          <w:t xml:space="preserve">3</w:t>
                        </w:r>
                      </w:p>
                    </w:tc>
                    <w:tc>
                      <w:tcPr/>
                      <w:p>
                        <w:pPr>
                          <w:pStyle w:val="Compact"/>
                        </w:pPr>
                      </w:p>
                    </w:tc>
                    <w:tc>
                      <w:tcPr/>
                      <w:p>
                        <w:pPr>
                          <w:pStyle w:val="Compact"/>
                        </w:pPr>
                      </w:p>
                    </w:tc>
                    <w:tc>
                      <w:tcPr/>
                      <w:p>
                        <w:pPr>
                          <w:pStyle w:val="Compact"/>
                        </w:pPr>
                      </w:p>
                    </w:tc>
                    <w:tc>
                      <w:tcPr/>
                      <w:p>
                        <w:pPr>
                          <w:pStyle w:val="Compact"/>
                          <w:jc w:val="right"/>
                          <w:jc w:val="center"/>
                          <w:jc w:val="left"/>
                        </w:pPr>
                        <w:r>
                          <w:t xml:space="preserve">10</w:t>
                        </w:r>
                      </w:p>
                    </w:tc>
                  </w:tr>
                  <w:tr>
                    <w:tc>
                      <w:tcPr/>
                      <w:p>
                        <w:pPr>
                          <w:pStyle w:val="Compact"/>
                          <w:jc w:val="left"/>
                          <w:jc w:val="center"/>
                          <w:jc w:val="left"/>
                        </w:pPr>
                        <w:r>
                          <w:t xml:space="preserve">Truncation</w:t>
                        </w:r>
                      </w:p>
                    </w:tc>
                    <w:tc>
                      <w:tcPr/>
                      <w:p>
                        <w:pPr>
                          <w:pStyle w:val="Compact"/>
                        </w:pP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Vale Comprido Point</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Total</w:t>
                        </w:r>
                      </w:p>
                    </w:tc>
                    <w:tc>
                      <w:tcPr/>
                      <w:p>
                        <w:pPr>
                          <w:pStyle w:val="Compact"/>
                          <w:jc w:val="left"/>
                          <w:jc w:val="center"/>
                          <w:jc w:val="left"/>
                        </w:pPr>
                        <w:r>
                          <w:t xml:space="preserve">26</w:t>
                        </w:r>
                      </w:p>
                    </w:tc>
                    <w:tc>
                      <w:tcPr/>
                      <w:p>
                        <w:pPr>
                          <w:pStyle w:val="Compact"/>
                          <w:jc w:val="left"/>
                          <w:jc w:val="center"/>
                          <w:jc w:val="left"/>
                        </w:pPr>
                        <w:r>
                          <w:t xml:space="preserve">10</w:t>
                        </w:r>
                      </w:p>
                    </w:tc>
                    <w:tc>
                      <w:tcPr/>
                      <w:p>
                        <w:pPr>
                          <w:pStyle w:val="Compact"/>
                          <w:jc w:val="left"/>
                          <w:jc w:val="center"/>
                          <w:jc w:val="left"/>
                        </w:pPr>
                        <w:r>
                          <w:t xml:space="preserve">9</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jc w:val="right"/>
                          <w:jc w:val="center"/>
                          <w:jc w:val="left"/>
                        </w:pPr>
                        <w:r>
                          <w:t xml:space="preserve">50</w:t>
                        </w:r>
                      </w:p>
                    </w:tc>
                  </w:tr>
                </w:tbl>
                <w:bookmarkEnd w:id="36"/>
                <w:bookmarkEnd w:id="3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9" w:name="tbl-retouch-3"/>
                <w:p>
                  <w:pPr>
                    <w:jc w:val="center"/>
                    <w:jc w:val="left"/>
                  </w:pPr>
                  <w:pPr>
                    <w:jc w:val="start"/>
                    <w:spacing w:before="200"/>
                    <w:pStyle w:val="ImageCaption"/>
                  </w:pPr>
                  <w:r>
                    <w:t xml:space="preserve">(c) Number and percentage of retouched tools by raw material from the Solutrean assemblage (levels A-C) of the Shelter area.</w:t>
                  </w:r>
                </w:p>
                <w:bookmarkStart w:id="38" w:name="tbl-retouch-3"/>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jc w:val="left"/>
                        </w:pPr>
                        <w:r>
                          <w:t xml:space="preserve">Typology</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T11</w:t>
                        </w:r>
                      </w:p>
                    </w:tc>
                    <w:tc>
                      <w:tcPr/>
                      <w:p>
                        <w:pPr>
                          <w:pStyle w:val="Compact"/>
                          <w:jc w:val="right"/>
                          <w:jc w:val="center"/>
                          <w:jc w:val="left"/>
                        </w:pPr>
                        <w:r>
                          <w:t xml:space="preserve">Total</w:t>
                        </w:r>
                      </w:p>
                    </w:tc>
                  </w:tr>
                  <w:tr>
                    <w:tc>
                      <w:tcPr/>
                      <w:p>
                        <w:pPr>
                          <w:pStyle w:val="Compact"/>
                          <w:jc w:val="left"/>
                          <w:jc w:val="center"/>
                          <w:jc w:val="left"/>
                        </w:pPr>
                        <w:r>
                          <w:t xml:space="preserve">Bifacial blank</w:t>
                        </w:r>
                      </w:p>
                    </w:tc>
                    <w:tc>
                      <w:tcPr/>
                      <w:p>
                        <w:pPr>
                          <w:pStyle w:val="Compact"/>
                          <w:jc w:val="left"/>
                          <w:jc w:val="center"/>
                          <w:jc w:val="left"/>
                        </w:pPr>
                        <w:r>
                          <w:t xml:space="preserve">4</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5</w:t>
                        </w:r>
                      </w:p>
                    </w:tc>
                  </w:tr>
                  <w:tr>
                    <w:tc>
                      <w:tcPr/>
                      <w:p>
                        <w:pPr>
                          <w:pStyle w:val="Compact"/>
                          <w:jc w:val="left"/>
                          <w:jc w:val="center"/>
                          <w:jc w:val="left"/>
                        </w:pPr>
                        <w:r>
                          <w:t xml:space="preserve">Bifacial fragment</w:t>
                        </w:r>
                      </w:p>
                    </w:tc>
                    <w:tc>
                      <w:tcPr/>
                      <w:p>
                        <w:pPr>
                          <w:pStyle w:val="Compact"/>
                          <w:jc w:val="left"/>
                          <w:jc w:val="center"/>
                          <w:jc w:val="left"/>
                        </w:pPr>
                        <w:r>
                          <w:t xml:space="preserve">2</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jc w:val="right"/>
                          <w:jc w:val="center"/>
                          <w:jc w:val="left"/>
                        </w:pPr>
                        <w:r>
                          <w:t xml:space="preserve">3</w:t>
                        </w:r>
                      </w:p>
                    </w:tc>
                  </w:tr>
                  <w:tr>
                    <w:tc>
                      <w:tcPr/>
                      <w:p>
                        <w:pPr>
                          <w:pStyle w:val="Compact"/>
                          <w:jc w:val="left"/>
                          <w:jc w:val="center"/>
                          <w:jc w:val="left"/>
                        </w:pPr>
                        <w:r>
                          <w:t xml:space="preserve">Burin</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Denticulate</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Endscrapper</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Notch</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jc w:val="right"/>
                          <w:jc w:val="center"/>
                          <w:jc w:val="left"/>
                        </w:pPr>
                        <w:r>
                          <w:t xml:space="preserve">4</w:t>
                        </w:r>
                      </w:p>
                    </w:tc>
                  </w:tr>
                  <w:tr>
                    <w:tc>
                      <w:tcPr/>
                      <w:p>
                        <w:pPr>
                          <w:pStyle w:val="Compact"/>
                          <w:jc w:val="left"/>
                          <w:jc w:val="center"/>
                          <w:jc w:val="left"/>
                        </w:pPr>
                        <w:r>
                          <w:t xml:space="preserve">Retouched blank</w:t>
                        </w:r>
                      </w:p>
                    </w:tc>
                    <w:tc>
                      <w:tcPr/>
                      <w:p>
                        <w:pPr>
                          <w:pStyle w:val="Compact"/>
                          <w:jc w:val="left"/>
                          <w:jc w:val="center"/>
                          <w:jc w:val="left"/>
                        </w:pPr>
                        <w:r>
                          <w:t xml:space="preserve">1</w:t>
                        </w:r>
                      </w:p>
                    </w:tc>
                    <w:tc>
                      <w:tcPr/>
                      <w:p>
                        <w:pPr>
                          <w:pStyle w:val="Compact"/>
                          <w:jc w:val="left"/>
                          <w:jc w:val="center"/>
                          <w:jc w:val="left"/>
                        </w:pPr>
                        <w:r>
                          <w:t xml:space="preserve">2</w:t>
                        </w:r>
                      </w:p>
                    </w:tc>
                    <w:tc>
                      <w:tcPr/>
                      <w:p>
                        <w:pPr>
                          <w:pStyle w:val="Compact"/>
                        </w:pPr>
                      </w:p>
                    </w:tc>
                    <w:tc>
                      <w:tcPr/>
                      <w:p>
                        <w:pPr>
                          <w:pStyle w:val="Compact"/>
                        </w:pPr>
                      </w:p>
                    </w:tc>
                    <w:tc>
                      <w:tcPr/>
                      <w:p>
                        <w:pPr>
                          <w:pStyle w:val="Compact"/>
                          <w:jc w:val="left"/>
                          <w:jc w:val="center"/>
                          <w:jc w:val="left"/>
                        </w:pPr>
                        <w:r>
                          <w:t xml:space="preserve">2</w:t>
                        </w:r>
                      </w:p>
                    </w:tc>
                    <w:tc>
                      <w:tcPr/>
                      <w:p>
                        <w:pPr>
                          <w:pStyle w:val="Compact"/>
                          <w:jc w:val="right"/>
                          <w:jc w:val="center"/>
                          <w:jc w:val="left"/>
                        </w:pPr>
                        <w:r>
                          <w:t xml:space="preserve">5</w:t>
                        </w:r>
                      </w:p>
                    </w:tc>
                  </w:tr>
                  <w:tr>
                    <w:tc>
                      <w:tcPr/>
                      <w:p>
                        <w:pPr>
                          <w:pStyle w:val="Compact"/>
                          <w:jc w:val="left"/>
                          <w:jc w:val="center"/>
                          <w:jc w:val="left"/>
                        </w:pPr>
                        <w:r>
                          <w:t xml:space="preserve">Shouldered point</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Shouldered point fragment</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Splintered piece</w:t>
                        </w:r>
                      </w:p>
                    </w:tc>
                    <w:tc>
                      <w:tcPr/>
                      <w:p>
                        <w:pPr>
                          <w:pStyle w:val="Compact"/>
                          <w:jc w:val="left"/>
                          <w:jc w:val="center"/>
                          <w:jc w:val="left"/>
                        </w:pPr>
                        <w:r>
                          <w:t xml:space="preserve">2</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jc w:val="right"/>
                          <w:jc w:val="center"/>
                          <w:jc w:val="left"/>
                        </w:pPr>
                        <w:r>
                          <w:t xml:space="preserve">4</w:t>
                        </w:r>
                      </w:p>
                    </w:tc>
                  </w:tr>
                  <w:tr>
                    <w:tc>
                      <w:tcPr/>
                      <w:p>
                        <w:pPr>
                          <w:pStyle w:val="Compact"/>
                          <w:jc w:val="left"/>
                          <w:jc w:val="center"/>
                          <w:jc w:val="left"/>
                        </w:pPr>
                        <w:r>
                          <w:t xml:space="preserve">Tanged and winged point</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Truncation</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Total</w:t>
                        </w:r>
                      </w:p>
                    </w:tc>
                    <w:tc>
                      <w:tcPr/>
                      <w:p>
                        <w:pPr>
                          <w:pStyle w:val="Compact"/>
                          <w:jc w:val="left"/>
                          <w:jc w:val="center"/>
                          <w:jc w:val="left"/>
                        </w:pPr>
                        <w:r>
                          <w:t xml:space="preserve">17</w:t>
                        </w:r>
                      </w:p>
                    </w:tc>
                    <w:tc>
                      <w:tcPr/>
                      <w:p>
                        <w:pPr>
                          <w:pStyle w:val="Compact"/>
                          <w:jc w:val="left"/>
                          <w:jc w:val="center"/>
                          <w:jc w:val="left"/>
                        </w:pPr>
                        <w:r>
                          <w:t xml:space="preserve">7</w:t>
                        </w:r>
                      </w:p>
                    </w:tc>
                    <w:tc>
                      <w:tcPr/>
                      <w:p>
                        <w:pPr>
                          <w:pStyle w:val="Compact"/>
                          <w:jc w:val="left"/>
                          <w:jc w:val="center"/>
                          <w:jc w:val="left"/>
                        </w:pPr>
                        <w:r>
                          <w:t xml:space="preserve">1</w:t>
                        </w:r>
                      </w:p>
                    </w:tc>
                    <w:tc>
                      <w:tcPr/>
                      <w:p>
                        <w:pPr>
                          <w:pStyle w:val="Compact"/>
                          <w:jc w:val="left"/>
                          <w:jc w:val="center"/>
                          <w:jc w:val="left"/>
                        </w:pPr>
                        <w:r>
                          <w:t xml:space="preserve">2</w:t>
                        </w:r>
                      </w:p>
                    </w:tc>
                    <w:tc>
                      <w:tcPr/>
                      <w:p>
                        <w:pPr>
                          <w:pStyle w:val="Compact"/>
                          <w:jc w:val="left"/>
                          <w:jc w:val="center"/>
                          <w:jc w:val="left"/>
                        </w:pPr>
                        <w:r>
                          <w:t xml:space="preserve">3</w:t>
                        </w:r>
                      </w:p>
                    </w:tc>
                    <w:tc>
                      <w:tcPr/>
                      <w:p>
                        <w:pPr>
                          <w:pStyle w:val="Compact"/>
                          <w:jc w:val="right"/>
                          <w:jc w:val="center"/>
                          <w:jc w:val="left"/>
                        </w:pPr>
                        <w:r>
                          <w:t xml:space="preserve">30</w:t>
                        </w:r>
                      </w:p>
                    </w:tc>
                  </w:tr>
                </w:tbl>
                <w:bookmarkEnd w:id="38"/>
                <w:bookmarkEnd w:id="39"/>
                <w:p/>
              </w:tc>
            </w:tr>
          </w:tbl>
          <w:p/>
        </w:tc>
      </w:tr>
    </w:tbl>
    <w:p>
      <w:pPr>
        <w:pStyle w:val="BodyText"/>
      </w:pPr>
      <w:pPr>
        <w:spacing w:before="200"/>
        <w:pStyle w:val="ImageCaption"/>
      </w:pPr>
      <w:r>
        <w:t xml:space="preserve">Table 4: Number and percentage of retouched tools by raw material of the Gravettian (a), Proto-Solutrean (b) and Solutrean (c) assemblages. Retouched blank typology includes flakes, blades and bladelets and respective fragments.</w:t>
      </w:r>
    </w:p>
    <w:bookmarkEnd w:id="40"/>
    <w:p>
      <w:pPr>
        <w:pStyle w:val="BodyText"/>
      </w:pPr>
      <w:r>
        <w:t xml:space="preserve">Retouched tools were further explored through the tools-to-debitage ratio (</w:t>
      </w:r>
      <w:hyperlink w:anchor="fig-ratiotd">
        <w:r>
          <w:rPr>
            <w:rStyle w:val="Hyperlink"/>
          </w:rPr>
          <w:t xml:space="preserve">Figure 2</w:t>
        </w:r>
      </w:hyperlink>
      <w:r>
        <w:t xml:space="preserve"> </w:t>
      </w:r>
      <w:r>
        <w:t xml:space="preserve">and table s++). As seen in</w:t>
      </w:r>
      <w:r>
        <w:t xml:space="preserve"> </w:t>
      </w:r>
      <w:hyperlink w:anchor="fig-ratiotd">
        <w:r>
          <w:rPr>
            <w:rStyle w:val="Hyperlink"/>
          </w:rPr>
          <w:t xml:space="preserve">Figure 2</w:t>
        </w:r>
      </w:hyperlink>
      <w:r>
        <w:t xml:space="preserve">, local cherts (T1-5) show low ratios (~2.5-0.5) of retouched tools to blanks, while TL and T6-T8 show higher ratios (~0.9-1.0). The exception is T10 (non-local type), which shows a lower ratio (~0.3), more akin to local cherts. The relation between blank and core numbers was also explored through a blank-to-core ratio (</w:t>
      </w:r>
      <w:hyperlink w:anchor="fig-ratiobc">
        <w:r>
          <w:rPr>
            <w:rStyle w:val="Hyperlink"/>
          </w:rPr>
          <w:t xml:space="preserve">Figure 1</w:t>
        </w:r>
      </w:hyperlink>
      <w:r>
        <w:t xml:space="preserve"> </w:t>
      </w:r>
      <w:r>
        <w:t xml:space="preserve">and table s++). The results show that local types T1 and T2 show lower ratios (&lt;4) of blanks to cores, although other local types (T3-T5) have no identified cores</w:t>
      </w:r>
      <w:r>
        <w:t xml:space="preserve"> </w:t>
      </w:r>
      <w:r>
        <w:rPr>
          <w:b/>
          <w:bCs/>
        </w:rPr>
        <w:t xml:space="preserve">?@tbl-general-gravettian</w:t>
      </w:r>
      <w:r>
        <w:t xml:space="preserve">. The non-local types, especially T6 and T7 show higher ratios (~8) of blanks to cores, with T10 once again showing values similar to local cherts (~4).</w:t>
      </w:r>
    </w:p>
    <w:tbl>
      <w:tblPr>
        <w:tblStyle w:val="Table"/>
        <w:tblW w:type="pct" w:w="5000"/>
        <w:tblLayout w:type="fixed"/>
        <w:tblLook w:firstRow="0" w:lastRow="0" w:firstColumn="0" w:lastColumn="0" w:noHBand="0" w:noVBand="0" w:val="0000"/>
      </w:tblPr>
      <w:tblGrid>
        <w:gridCol w:w="7920"/>
      </w:tblGrid>
      <w:tr>
        <w:tc>
          <w:tcPr/>
          <w:bookmarkStart w:id="44" w:name="fig-ratiobc"/>
          <w:p>
            <w:pPr>
              <w:pStyle w:val="Compact"/>
              <w:jc w:val="center"/>
            </w:pPr>
            <w:r>
              <w:drawing>
                <wp:inline>
                  <wp:extent cx="5943600" cy="4754880"/>
                  <wp:effectExtent b="0" l="0" r="0" t="0"/>
                  <wp:docPr descr="" title="" id="42" name="Picture"/>
                  <a:graphic>
                    <a:graphicData uri="http://schemas.openxmlformats.org/drawingml/2006/picture">
                      <pic:pic>
                        <pic:nvPicPr>
                          <pic:cNvPr descr="paper_files/figure-docx/fig-ratiobc-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ratiotd"/>
          <w:p>
            <w:pPr>
              <w:pStyle w:val="Compact"/>
              <w:jc w:val="center"/>
            </w:pPr>
            <w:r>
              <w:drawing>
                <wp:inline>
                  <wp:extent cx="5943600" cy="4754880"/>
                  <wp:effectExtent b="0" l="0" r="0" t="0"/>
                  <wp:docPr descr="" title="" id="46" name="Picture"/>
                  <a:graphic>
                    <a:graphicData uri="http://schemas.openxmlformats.org/drawingml/2006/picture">
                      <pic:pic>
                        <pic:nvPicPr>
                          <pic:cNvPr descr="paper_files/figure-docx/fig-ratiotd-1.png" id="47" name="Picture"/>
                          <pic:cNvPicPr>
                            <a:picLocks noChangeArrowheads="1" noChangeAspect="1"/>
                          </pic:cNvPicPr>
                        </pic:nvPicPr>
                        <pic:blipFill>
                          <a:blip r:embed="rId4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48"/>
        </w:tc>
      </w:tr>
    </w:tbl>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154    2.2</w:t>
      </w:r>
      <w:r>
        <w:br/>
      </w:r>
      <w:r>
        <w:rPr>
          <w:rStyle w:val="VerbatimChar"/>
        </w:rPr>
        <w:t xml:space="preserve">2 Non-local    49    1.7</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154   23.4</w:t>
      </w:r>
      <w:r>
        <w:br/>
      </w:r>
      <w:r>
        <w:rPr>
          <w:rStyle w:val="VerbatimChar"/>
        </w:rPr>
        <w:t xml:space="preserve">2 Non-local    49   19.4</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154   16.8</w:t>
      </w:r>
      <w:r>
        <w:br/>
      </w:r>
      <w:r>
        <w:rPr>
          <w:rStyle w:val="VerbatimChar"/>
        </w:rPr>
        <w:t xml:space="preserve">2 Non-local    49   16.6</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82   2.75</w:t>
      </w:r>
      <w:r>
        <w:br/>
      </w:r>
      <w:r>
        <w:rPr>
          <w:rStyle w:val="VerbatimChar"/>
        </w:rPr>
        <w:t xml:space="preserve">2 Non-local    69   1.9 </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82   25.8</w:t>
      </w:r>
      <w:r>
        <w:br/>
      </w:r>
      <w:r>
        <w:rPr>
          <w:rStyle w:val="VerbatimChar"/>
        </w:rPr>
        <w:t xml:space="preserve">2 Non-local    69   21.2</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82   19.1</w:t>
      </w:r>
      <w:r>
        <w:br/>
      </w:r>
      <w:r>
        <w:rPr>
          <w:rStyle w:val="VerbatimChar"/>
        </w:rPr>
        <w:t xml:space="preserve">2 Non-local    69   17.8</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14   20  </w:t>
      </w:r>
      <w:r>
        <w:br/>
      </w:r>
      <w:r>
        <w:rPr>
          <w:rStyle w:val="VerbatimChar"/>
        </w:rPr>
        <w:t xml:space="preserve">2 Non-local    10   11.8</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14   29.6</w:t>
      </w:r>
      <w:r>
        <w:br/>
      </w:r>
      <w:r>
        <w:rPr>
          <w:rStyle w:val="VerbatimChar"/>
        </w:rPr>
        <w:t xml:space="preserve">2 Non-local    10   21.9</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14   27.6</w:t>
      </w:r>
      <w:r>
        <w:br/>
      </w:r>
      <w:r>
        <w:rPr>
          <w:rStyle w:val="VerbatimChar"/>
        </w:rPr>
        <w:t xml:space="preserve">2 Non-local    10   29.7</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342   1.7 </w:t>
      </w:r>
      <w:r>
        <w:br/>
      </w:r>
      <w:r>
        <w:rPr>
          <w:rStyle w:val="VerbatimChar"/>
        </w:rPr>
        <w:t xml:space="preserve">2 Non-local    86   1.45</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342   25.1</w:t>
      </w:r>
      <w:r>
        <w:br/>
      </w:r>
      <w:r>
        <w:rPr>
          <w:rStyle w:val="VerbatimChar"/>
        </w:rPr>
        <w:t xml:space="preserve">2 Non-local    86   21.9</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342   16.2</w:t>
      </w:r>
      <w:r>
        <w:br/>
      </w:r>
      <w:r>
        <w:rPr>
          <w:rStyle w:val="VerbatimChar"/>
        </w:rPr>
        <w:t xml:space="preserve">2 Non-local    86   18.8</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59   16.5</w:t>
      </w:r>
      <w:r>
        <w:br/>
      </w:r>
      <w:r>
        <w:rPr>
          <w:rStyle w:val="VerbatimChar"/>
        </w:rPr>
        <w:t xml:space="preserve">2 Non-local     7   11.7</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59   28.3</w:t>
      </w:r>
      <w:r>
        <w:br/>
      </w:r>
      <w:r>
        <w:rPr>
          <w:rStyle w:val="VerbatimChar"/>
        </w:rPr>
        <w:t xml:space="preserve">2 Non-local     7   25.6</w:t>
      </w:r>
    </w:p>
    <w:p>
      <w:pPr>
        <w:pStyle w:val="SourceCode"/>
      </w:pPr>
      <w:r>
        <w:rPr>
          <w:rStyle w:val="VerbatimChar"/>
        </w:rPr>
        <w:t xml:space="preserve"># A tibble: 2 × 3</w:t>
      </w:r>
      <w:r>
        <w:br/>
      </w:r>
      <w:r>
        <w:rPr>
          <w:rStyle w:val="VerbatimChar"/>
        </w:rPr>
        <w:t xml:space="preserve">  Prov      count median</w:t>
      </w:r>
      <w:r>
        <w:br/>
      </w:r>
      <w:r>
        <w:rPr>
          <w:rStyle w:val="VerbatimChar"/>
        </w:rPr>
        <w:t xml:space="preserve">  &lt;chr&gt;     &lt;int&gt;  &lt;dbl&gt;</w:t>
      </w:r>
      <w:r>
        <w:br/>
      </w:r>
      <w:r>
        <w:rPr>
          <w:rStyle w:val="VerbatimChar"/>
        </w:rPr>
        <w:t xml:space="preserve">1 Local        59   30.7</w:t>
      </w:r>
      <w:r>
        <w:br/>
      </w:r>
      <w:r>
        <w:rPr>
          <w:rStyle w:val="VerbatimChar"/>
        </w:rPr>
        <w:t xml:space="preserve">2 Non-local     7   26.0</w:t>
      </w:r>
    </w:p>
    <w:p>
      <w:pPr>
        <w:pStyle w:val="FirstParagraph"/>
      </w:pPr>
      <w:r>
        <w:t xml:space="preserve">The sizes of lithic artefacts (flakes, elongated blanks, cores and retouched tools) are explored through scatterplots of width and length (</w:t>
      </w:r>
      <w:hyperlink w:anchor="fig-gravettian-boxplots">
        <w:r>
          <w:rPr>
            <w:rStyle w:val="Hyperlink"/>
          </w:rPr>
          <w:t xml:space="preserve">Figure 3</w:t>
        </w:r>
      </w:hyperlink>
      <w:r>
        <w:t xml:space="preserve"> </w:t>
      </w:r>
      <w:r>
        <w:t xml:space="preserve">a) and boxplots for weight (</w:t>
      </w:r>
      <w:hyperlink w:anchor="fig-gravettian-boxplots">
        <w:r>
          <w:rPr>
            <w:rStyle w:val="Hyperlink"/>
          </w:rPr>
          <w:t xml:space="preserve">Figure 3</w:t>
        </w:r>
      </w:hyperlink>
      <w:r>
        <w:t xml:space="preserve"> </w:t>
      </w:r>
      <w:r>
        <w:t xml:space="preserve">b); complete tables with descriptive statistics can also be found in SOM ++, table s++. The scatterplots show different patterns in the several analysed classes. Flakes are longer and wider in local cherts and generally smaller in non-local types (~20-22 mm maximum lengths for T6 and T7). This is similar for elongated blanks, with non-local cherts presenting thinner and short bladelets than local types. Core width is variable between both local and non-local cherts; however, non-local cherts show a concentration of cores in the ~20 mm length mark, while local cherts show a wider variation of longer cores. Retouched tools show no differences in width and length between local and non-local cherts. Regarding the weight (</w:t>
      </w:r>
      <w:hyperlink w:anchor="fig-gravettian-boxplots">
        <w:r>
          <w:rPr>
            <w:rStyle w:val="Hyperlink"/>
          </w:rPr>
          <w:t xml:space="preserve">Figure 3</w:t>
        </w:r>
      </w:hyperlink>
      <w:r>
        <w:t xml:space="preserve"> </w:t>
      </w:r>
      <w:r>
        <w:t xml:space="preserve">b), although there is some variability, non-local types T6 and T7 seem to have the lowest weights in all classes (flakes, elongated blanks, cores and retouched tools). The lowest means for flakes are for T6 and T7 (~2.5 gr). However, in general, the lightest flakes seem to be from T2 and T6, although T2 also shows several heavy outliers. Elongated products show even smaller means for T6 and T7 (0.5-1 gr), especially when compared to local cherts (~2.5 gr). Regarding cores,</w:t>
      </w:r>
      <w:r>
        <w:t xml:space="preserve"> </w:t>
      </w:r>
      <w:r>
        <w:rPr>
          <w:b/>
          <w:bCs/>
        </w:rPr>
        <w:t xml:space="preserve">?@tbl-general-gravettian</w:t>
      </w:r>
      <w:r>
        <w:t xml:space="preserve"> </w:t>
      </w:r>
      <w:r>
        <w:t xml:space="preserve">shows that type T2 and T6 have the highest number of cores; between these two types, T6 has the lightest cores, with a maximum of ~21 gr and with a mean of ~12 gr, in comparison to T2 with a maximum of ~37 gr and a mean of ~21 gr. Retouched tools shows similar median values among all chert types (2.5-4 gr), although T6 and T7 have the lowest means (~4 gr); in general, and given the high number of retouched tools for T6 (</w:t>
      </w:r>
      <w:r>
        <w:rPr>
          <w:b/>
          <w:bCs/>
        </w:rPr>
        <w:t xml:space="preserve">?@tbl-general-gravettian</w:t>
      </w:r>
      <w:r>
        <w:t xml:space="preserve">), this non-local chert seems to have been consistently reduced with a third quartile ending in the 5 gr mark.</w:t>
      </w:r>
    </w:p>
    <w:tbl>
      <w:tblPr>
        <w:tblStyle w:val="Table"/>
        <w:tblW w:type="pct" w:w="5000"/>
        <w:tblLayout w:type="fixed"/>
        <w:tblLook w:firstRow="0" w:lastRow="0" w:firstColumn="0" w:lastColumn="0" w:noHBand="0" w:noVBand="0" w:val="0000"/>
      </w:tblPr>
      <w:tblGrid>
        <w:gridCol w:w="7920"/>
      </w:tblGrid>
      <w:tr>
        <w:tc>
          <w:tcPr/>
          <w:bookmarkStart w:id="52" w:name="fig-gravettian-boxplots"/>
          <w:p>
            <w:pPr>
              <w:pStyle w:val="Compact"/>
              <w:jc w:val="center"/>
            </w:pPr>
            <w:r>
              <w:drawing>
                <wp:inline>
                  <wp:extent cx="5943600" cy="4754880"/>
                  <wp:effectExtent b="0" l="0" r="0" t="0"/>
                  <wp:docPr descr="" title="" id="50" name="Picture"/>
                  <a:graphic>
                    <a:graphicData uri="http://schemas.openxmlformats.org/drawingml/2006/picture">
                      <pic:pic>
                        <pic:nvPicPr>
                          <pic:cNvPr descr="paper_files/figure-docx/fig-gravettian-boxplots-1.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Boxplots Gravettian</w:t>
            </w:r>
          </w:p>
          <w:bookmarkEnd w:id="52"/>
        </w:tc>
      </w:tr>
    </w:tbl>
    <w:p>
      <w:pPr>
        <w:pStyle w:val="BodyText"/>
      </w:pPr>
      <w:r>
        <w:t xml:space="preserve">As seen in</w:t>
      </w:r>
      <w:r>
        <w:t xml:space="preserve"> </w:t>
      </w:r>
      <w:hyperlink w:anchor="fig-ratiotd">
        <w:r>
          <w:rPr>
            <w:rStyle w:val="Hyperlink"/>
          </w:rPr>
          <w:t xml:space="preserve">Figure 2</w:t>
        </w:r>
      </w:hyperlink>
      <w:r>
        <w:t xml:space="preserve"> </w:t>
      </w:r>
      <w:r>
        <w:t xml:space="preserve">(see also table s++ in the SOM ++), the lowest ratio of retouched to debitage is seen in T1 and T4, with values below 0.1, while other local types show slightly higher values (0.1-0.2). Following the same trend as the Gravettian, the non-local cherts show slightly higher ratios (0.3-0.5) of retouched to debitage. Regarding the blank to core ratio (</w:t>
      </w:r>
      <w:hyperlink w:anchor="fig-ratiobc">
        <w:r>
          <w:rPr>
            <w:rStyle w:val="Hyperlink"/>
          </w:rPr>
          <w:t xml:space="preserve">Figure 1</w:t>
        </w:r>
      </w:hyperlink>
      <w:r>
        <w:t xml:space="preserve"> </w:t>
      </w:r>
      <w:r>
        <w:t xml:space="preserve">and table s++ in the SOM ++), T2 and T4 show the lowest ratios (8.7 and 6.2 respectively) of blanks per cores, while the non-local T7 shows the highest ratios (11.0) of blanks to cores. Unlike the Gravettian, T1 (local chalcedony) and T6 (non-local chert) have no cores (</w:t>
      </w:r>
      <w:r>
        <w:rPr>
          <w:b/>
          <w:bCs/>
        </w:rPr>
        <w:t xml:space="preserve">?@tbl-general-proto</w:t>
      </w:r>
      <w:r>
        <w:t xml:space="preserve">).</w:t>
      </w:r>
    </w:p>
    <w:p>
      <w:pPr>
        <w:pStyle w:val="BodyText"/>
      </w:pPr>
      <w:r>
        <w:t xml:space="preserve">Regarding the size (width, length and weight) of lithic artefacts (flakes, elongated blanks, cores and retouched tools), several patterns can be seen between local and non-local chert types (</w:t>
      </w:r>
      <w:hyperlink w:anchor="fig-proto-boxplots">
        <w:r>
          <w:rPr>
            <w:rStyle w:val="Hyperlink"/>
          </w:rPr>
          <w:t xml:space="preserve">Figure 4</w:t>
        </w:r>
      </w:hyperlink>
      <w:r>
        <w:t xml:space="preserve">, table s++ and s++ in the SOM ++). The distribution of width and length (</w:t>
      </w:r>
      <w:hyperlink w:anchor="fig-proto-boxplots">
        <w:r>
          <w:rPr>
            <w:rStyle w:val="Hyperlink"/>
          </w:rPr>
          <w:t xml:space="preserve">Figure 4</w:t>
        </w:r>
      </w:hyperlink>
      <w:r>
        <w:t xml:space="preserve"> </w:t>
      </w:r>
      <w:r>
        <w:t xml:space="preserve">a) for flakes shows a concentration of non-local flakes below the 25 mm width and length (with means around 20 mm), while local cherts are more variable and show larger widths and lengths. Similarly, the larger elongated blanks are from local cherts, although there is variability in the sizes. Although there are clear differences in the number of cores between local and non-local cherts (</w:t>
      </w:r>
      <w:r>
        <w:rPr>
          <w:b/>
          <w:bCs/>
        </w:rPr>
        <w:t xml:space="preserve">?@tbl-general-proto</w:t>
      </w:r>
      <w:r>
        <w:t xml:space="preserve">) making patterns harder to identify, non-local cherts seem to show smaller cores. Finally, regarding retouched tools, non-local cherts also seem to be smaller, with widths concentrated below the 20 mm mark, while local cherts are concentrated above the 20 mm mark; no differences were identified regarding length. As for weight (</w:t>
      </w:r>
      <w:hyperlink w:anchor="fig-proto-boxplots">
        <w:r>
          <w:rPr>
            <w:rStyle w:val="Hyperlink"/>
          </w:rPr>
          <w:t xml:space="preserve">Figure 4</w:t>
        </w:r>
      </w:hyperlink>
      <w:r>
        <w:t xml:space="preserve"> </w:t>
      </w:r>
      <w:r>
        <w:t xml:space="preserve">b and table s++ in SOM ++), local flakes seem to be heavier than non-local cherts (means of 3.5-4.5 gr and 1.3-2.6 gr, respectively); especially T4 shows heavier flakes and outliers, than T6 and T7. In comparison, elongated blanks show no differences between local and non-local cherts. Although non-local chert cores are barely represented in the assemblage (</w:t>
      </w:r>
      <w:r>
        <w:rPr>
          <w:b/>
          <w:bCs/>
        </w:rPr>
        <w:t xml:space="preserve">?@tbl-general-proto</w:t>
      </w:r>
      <w:r>
        <w:t xml:space="preserve">), they show the lighter weights than local cherts. Retouched tools show the clearest differences, with non-local cherts presenting lighter weights than local cherts.</w:t>
      </w:r>
    </w:p>
    <w:tbl>
      <w:tblPr>
        <w:tblStyle w:val="Table"/>
        <w:tblW w:type="pct" w:w="5000"/>
        <w:tblLayout w:type="fixed"/>
        <w:tblLook w:firstRow="0" w:lastRow="0" w:firstColumn="0" w:lastColumn="0" w:noHBand="0" w:noVBand="0" w:val="0000"/>
      </w:tblPr>
      <w:tblGrid>
        <w:gridCol w:w="7920"/>
      </w:tblGrid>
      <w:tr>
        <w:tc>
          <w:tcPr/>
          <w:bookmarkStart w:id="56" w:name="fig-proto-boxplots"/>
          <w:p>
            <w:pPr>
              <w:pStyle w:val="Compact"/>
              <w:jc w:val="center"/>
            </w:pPr>
            <w:r>
              <w:drawing>
                <wp:inline>
                  <wp:extent cx="5943600" cy="4754880"/>
                  <wp:effectExtent b="0" l="0" r="0" t="0"/>
                  <wp:docPr descr="" title="" id="54" name="Picture"/>
                  <a:graphic>
                    <a:graphicData uri="http://schemas.openxmlformats.org/drawingml/2006/picture">
                      <pic:pic>
                        <pic:nvPicPr>
                          <pic:cNvPr descr="paper_files/figure-docx/fig-proto-boxplots-1.png" id="55" name="Picture"/>
                          <pic:cNvPicPr>
                            <a:picLocks noChangeArrowheads="1" noChangeAspect="1"/>
                          </pic:cNvPicPr>
                        </pic:nvPicPr>
                        <pic:blipFill>
                          <a:blip r:embed="rId5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56"/>
        </w:tc>
      </w:tr>
    </w:tbl>
    <w:p>
      <w:pPr>
        <w:pStyle w:val="BodyText"/>
      </w:pPr>
      <w:r>
        <w:t xml:space="preserve">Regarding the tools-to-debitage and blank-to-core ratios, the Solutrean assemblage shows similar patterns as the previous assemblages (</w:t>
      </w:r>
      <w:hyperlink w:anchor="fig-ratiotd">
        <w:r>
          <w:rPr>
            <w:rStyle w:val="Hyperlink"/>
          </w:rPr>
          <w:t xml:space="preserve">Figure 2</w:t>
        </w:r>
      </w:hyperlink>
      <w:r>
        <w:t xml:space="preserve"> </w:t>
      </w:r>
      <w:r>
        <w:t xml:space="preserve">and</w:t>
      </w:r>
      <w:r>
        <w:t xml:space="preserve"> </w:t>
      </w:r>
      <w:hyperlink w:anchor="fig-ratiobc">
        <w:r>
          <w:rPr>
            <w:rStyle w:val="Hyperlink"/>
          </w:rPr>
          <w:t xml:space="preserve">Figure 1</w:t>
        </w:r>
      </w:hyperlink>
      <w:r>
        <w:t xml:space="preserve">, respectively). Local cherts (T2-T5) show low retouch to debitage ratios (&lt;0.1), with the exception of T1 (chalcedony), which shows a ratio of 1.8. Other non-local cherts (T6-T7 and T11) show slightly higher retouch to debitage ratios (0.1-0.3). Similarly, local cherts show lower blank to core ratios (&lt;7), while the non-local cherts show higher ratios (&gt;9). Similar to the Proto-Solutrean, chalcedony cores were also not identified in the studied sample (</w:t>
      </w:r>
      <w:r>
        <w:rPr>
          <w:b/>
          <w:bCs/>
        </w:rPr>
        <w:t xml:space="preserve">?@tbl-general-solutrean</w:t>
      </w:r>
      <w:r>
        <w:t xml:space="preserve">).</w:t>
      </w:r>
    </w:p>
    <w:p>
      <w:pPr>
        <w:pStyle w:val="BodyText"/>
      </w:pPr>
      <w:r>
        <w:t xml:space="preserve">Unlike the other assemblages, there seems to be no clear difference in the measurements and weights of artefacts between local and non-local cherts (</w:t>
      </w:r>
      <w:hyperlink w:anchor="fig-solutrean-boxplots">
        <w:r>
          <w:rPr>
            <w:rStyle w:val="Hyperlink"/>
          </w:rPr>
          <w:t xml:space="preserve">Figure 5</w:t>
        </w:r>
      </w:hyperlink>
      <w:r>
        <w:t xml:space="preserve"> </w:t>
      </w:r>
      <w:r>
        <w:t xml:space="preserve">and table s++ in SOM ++). The exception are elongated blanks, with show differences between T2 and T6, with T6 showing smaller width and lengths (&lt;35 mm and 15 mm, respectively), than the local type. Similarly, elongated blank weights are smaller in T6 (ranging between 0-5-2 gr). Core weights are also slightly lower in T6 (means of 16.5 gr) than in T2, although the sample is comparatively small (</w:t>
      </w:r>
      <w:r>
        <w:rPr>
          <w:b/>
          <w:bCs/>
        </w:rPr>
        <w:t xml:space="preserve">?@tbl-general-solutrean</w:t>
      </w:r>
      <w:r>
        <w:t xml:space="preserve">).</w:t>
      </w:r>
    </w:p>
    <w:tbl>
      <w:tblPr>
        <w:tblStyle w:val="Table"/>
        <w:tblW w:type="pct" w:w="5000"/>
        <w:tblLayout w:type="fixed"/>
        <w:tblLook w:firstRow="0" w:lastRow="0" w:firstColumn="0" w:lastColumn="0" w:noHBand="0" w:noVBand="0" w:val="0000"/>
      </w:tblPr>
      <w:tblGrid>
        <w:gridCol w:w="7920"/>
      </w:tblGrid>
      <w:tr>
        <w:tc>
          <w:tcPr/>
          <w:bookmarkStart w:id="60" w:name="fig-solutrean-boxplots"/>
          <w:p>
            <w:pPr>
              <w:pStyle w:val="Compact"/>
              <w:jc w:val="center"/>
            </w:pPr>
            <w:r>
              <w:drawing>
                <wp:inline>
                  <wp:extent cx="5943600" cy="4754880"/>
                  <wp:effectExtent b="0" l="0" r="0" t="0"/>
                  <wp:docPr descr="" title="" id="58" name="Picture"/>
                  <a:graphic>
                    <a:graphicData uri="http://schemas.openxmlformats.org/drawingml/2006/picture">
                      <pic:pic>
                        <pic:nvPicPr>
                          <pic:cNvPr descr="paper_files/figure-docx/fig-solutrean-boxplots-1.png" id="59"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Solutrean.</w:t>
            </w:r>
          </w:p>
          <w:bookmarkEnd w:id="60"/>
        </w:tc>
      </w:tr>
    </w:tbl>
    <w:bookmarkEnd w:id="61"/>
    <w:bookmarkStart w:id="64" w:name="discussion"/>
    <w:p>
      <w:pPr>
        <w:pStyle w:val="Heading1"/>
      </w:pPr>
      <w:r>
        <w:t xml:space="preserve">Discussion</w:t>
      </w:r>
    </w:p>
    <w:p>
      <w:pPr>
        <w:pStyle w:val="FirstParagraph"/>
      </w:pPr>
      <w:r>
        <w:t xml:space="preserve">As mentioned before, this study aimed to test two expectations related to the use and knapping of local and non-local raw materials, in specific, chert and chalcedony, and their relation to settlement and mobility strategies, across several UP occupations. As such, our method derived the following hypotheses to test: a) use lives derived from knapping strategies; b) reduction intensity and tools-to-debitage ratios; c) core size and blank-to-core ratios; d) reduction intensity and tool reworking; e) tool typology diversity and specialization (</w:t>
      </w:r>
      <w:hyperlink w:anchor="tbl-expectations">
        <w:r>
          <w:rPr>
            <w:rStyle w:val="Hyperlink"/>
          </w:rPr>
          <w:t xml:space="preserve">Table 1</w:t>
        </w:r>
      </w:hyperlink>
      <w:r>
        <w:t xml:space="preserve">).</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These parameters and their main results can be found in table</w:t>
      </w:r>
      <w:r>
        <w:t xml:space="preserve"> </w:t>
      </w:r>
      <w:hyperlink w:anchor="tbl-results-sum">
        <w:r>
          <w:rPr>
            <w:rStyle w:val="Hyperlink"/>
          </w:rPr>
          <w:t xml:space="preserve">Table 5</w:t>
        </w:r>
      </w:hyperlink>
      <w:r>
        <w:t xml:space="preserve">, and can be summarised as follows.</w:t>
      </w:r>
    </w:p>
    <w:p>
      <w:pPr>
        <w:pStyle w:val="BodyText"/>
      </w:pPr>
      <w:r>
        <w:t xml:space="preserve">In the Gravettian assemblage, retouched tools (P1) are present in higher frequencies in the non-local cherts, as well as in core preparation and maintenance products (P2). Debitage sizes (P3) show smaller sizes and weights for non-local cherts. Tools-to-debitage ratios (P4) are significantly higher in non-local cherts. Core sizes (P5) are slightly smaller in T6, a non-local chert, and the blank-to-core ratios (P6) are higher in non-local cherts.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tbl>
      <w:tblPr>
        <w:tblStyle w:val="Table"/>
        <w:tblW w:type="pct" w:w="5000"/>
        <w:tblLayout w:type="fixed"/>
        <w:tblLook w:firstRow="0" w:lastRow="0" w:firstColumn="0" w:lastColumn="0" w:noHBand="0" w:noVBand="0" w:val="0000"/>
      </w:tblPr>
      <w:tblGrid>
        <w:gridCol w:w="7920"/>
      </w:tblGrid>
      <w:tr>
        <w:tc>
          <w:tcPr/>
          <w:bookmarkStart w:id="62" w:name="tbl-results-sum"/>
          <w:p>
            <w:pPr>
              <w:jc w:val="center"/>
            </w:pPr>
            <w:pPr>
              <w:jc w:val="start"/>
              <w:spacing w:before="200"/>
              <w:pStyle w:val="ImageCaption"/>
            </w:pPr>
            <w:r>
              <w:t xml:space="preserve">Table 5: Summarised results for analysis parameters. Gr: Gravettian; Pr: Proto-Solutrean; So: Solutrean; Exp: Expectations; L: Local; NL: Non-local.</w:t>
            </w:r>
          </w:p>
          <w:tbl>
            <w:tblPr>
              <w:tblStyle w:val="Table"/>
              <w:tblW w:type="pct" w:w="5000"/>
              <w:tblLayout w:type="fixed"/>
              <w:tblLook w:firstRow="1" w:lastRow="0" w:firstColumn="0" w:lastColumn="0" w:noHBand="0" w:noVBand="0" w:val="0020"/>
            </w:tblPr>
            <w:tblGrid>
              <w:gridCol w:w="2584"/>
              <w:gridCol w:w="750"/>
              <w:gridCol w:w="666"/>
              <w:gridCol w:w="750"/>
              <w:gridCol w:w="666"/>
              <w:gridCol w:w="583"/>
              <w:gridCol w:w="833"/>
              <w:gridCol w:w="500"/>
              <w:gridCol w:w="583"/>
            </w:tblGrid>
            <w:tr>
              <w:trPr>
                <w:tblHeader w:val="on"/>
              </w:trPr>
              <w:tc>
                <w:tcPr/>
                <w:p>
                  <w:pPr>
                    <w:pStyle w:val="Compact"/>
                    <w:jc w:val="left"/>
                    <w:jc w:val="center"/>
                  </w:pPr>
                  <w:r>
                    <w:t xml:space="preserve">Parameters</w:t>
                  </w:r>
                </w:p>
              </w:tc>
              <w:tc>
                <w:tcPr/>
                <w:p>
                  <w:pPr>
                    <w:pStyle w:val="Compact"/>
                    <w:jc w:val="left"/>
                    <w:jc w:val="center"/>
                  </w:pPr>
                  <w:r>
                    <w:t xml:space="preserve">Gr L</w:t>
                  </w:r>
                </w:p>
              </w:tc>
              <w:tc>
                <w:tcPr/>
                <w:p>
                  <w:pPr>
                    <w:pStyle w:val="Compact"/>
                    <w:jc w:val="left"/>
                    <w:jc w:val="center"/>
                  </w:pPr>
                  <w:r>
                    <w:t xml:space="preserve">Gr NL</w:t>
                  </w:r>
                </w:p>
              </w:tc>
              <w:tc>
                <w:tcPr/>
                <w:p>
                  <w:pPr>
                    <w:pStyle w:val="Compact"/>
                    <w:jc w:val="left"/>
                    <w:jc w:val="center"/>
                  </w:pPr>
                  <w:r>
                    <w:t xml:space="preserve">Pr L</w:t>
                  </w:r>
                </w:p>
              </w:tc>
              <w:tc>
                <w:tcPr/>
                <w:p>
                  <w:pPr>
                    <w:pStyle w:val="Compact"/>
                    <w:jc w:val="left"/>
                    <w:jc w:val="center"/>
                  </w:pPr>
                  <w:r>
                    <w:t xml:space="preserve">Pr NL</w:t>
                  </w:r>
                </w:p>
              </w:tc>
              <w:tc>
                <w:tcPr/>
                <w:p>
                  <w:pPr>
                    <w:pStyle w:val="Compact"/>
                    <w:jc w:val="left"/>
                    <w:jc w:val="center"/>
                  </w:pPr>
                  <w:r>
                    <w:t xml:space="preserve">So L</w:t>
                  </w:r>
                </w:p>
              </w:tc>
              <w:tc>
                <w:tcPr/>
                <w:p>
                  <w:pPr>
                    <w:pStyle w:val="Compact"/>
                    <w:jc w:val="left"/>
                    <w:jc w:val="center"/>
                  </w:pPr>
                  <w:r>
                    <w:t xml:space="preserve">So NL</w:t>
                  </w:r>
                </w:p>
              </w:tc>
              <w:tc>
                <w:tcPr/>
                <w:p>
                  <w:pPr>
                    <w:pStyle w:val="Compact"/>
                    <w:jc w:val="left"/>
                    <w:jc w:val="center"/>
                  </w:pPr>
                  <w:r>
                    <w:t xml:space="preserve">Exp L</w:t>
                  </w:r>
                </w:p>
              </w:tc>
              <w:tc>
                <w:tcPr/>
                <w:p>
                  <w:pPr>
                    <w:pStyle w:val="Compact"/>
                    <w:jc w:val="left"/>
                    <w:jc w:val="center"/>
                  </w:pPr>
                  <w:r>
                    <w:t xml:space="preserve">Exp NL</w:t>
                  </w:r>
                </w:p>
              </w:tc>
            </w:tr>
            <w:tr>
              <w:tc>
                <w:tcPr/>
                <w:p>
                  <w:pPr>
                    <w:pStyle w:val="Compact"/>
                    <w:jc w:val="left"/>
                    <w:jc w:val="center"/>
                  </w:pPr>
                  <w:r>
                    <w:t xml:space="preserve">P1: retouched tool %</w:t>
                  </w:r>
                </w:p>
              </w:tc>
              <w:tc>
                <w:tcPr/>
                <w:p>
                  <w:pPr>
                    <w:pStyle w:val="Compact"/>
                    <w:jc w:val="left"/>
                    <w:jc w:val="center"/>
                  </w:pPr>
                  <w:r>
                    <w:t xml:space="preserve">~12-18%</w:t>
                  </w:r>
                </w:p>
              </w:tc>
              <w:tc>
                <w:tcPr/>
                <w:p>
                  <w:pPr>
                    <w:pStyle w:val="Compact"/>
                    <w:jc w:val="left"/>
                    <w:jc w:val="center"/>
                  </w:pPr>
                  <w:r>
                    <w:t xml:space="preserve">~30%</w:t>
                  </w:r>
                </w:p>
              </w:tc>
              <w:tc>
                <w:tcPr/>
                <w:p>
                  <w:pPr>
                    <w:pStyle w:val="Compact"/>
                    <w:jc w:val="left"/>
                    <w:jc w:val="center"/>
                  </w:pPr>
                  <w:r>
                    <w:t xml:space="preserve">5-15%</w:t>
                  </w:r>
                </w:p>
              </w:tc>
              <w:tc>
                <w:tcPr/>
                <w:p>
                  <w:pPr>
                    <w:pStyle w:val="Compact"/>
                    <w:jc w:val="left"/>
                    <w:jc w:val="center"/>
                  </w:pPr>
                  <w:r>
                    <w:t xml:space="preserve">~17-23%</w:t>
                  </w:r>
                </w:p>
              </w:tc>
              <w:tc>
                <w:tcPr/>
                <w:p>
                  <w:pPr>
                    <w:pStyle w:val="Compact"/>
                    <w:jc w:val="left"/>
                    <w:jc w:val="center"/>
                  </w:pPr>
                  <w:r>
                    <w:t xml:space="preserve">~3%</w:t>
                  </w:r>
                </w:p>
              </w:tc>
              <w:tc>
                <w:tcPr/>
                <w:p>
                  <w:pPr>
                    <w:pStyle w:val="Compact"/>
                    <w:jc w:val="left"/>
                    <w:jc w:val="center"/>
                  </w:pPr>
                  <w:r>
                    <w:t xml:space="preserve">&lt;10%</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P2: maintenance products %</w:t>
                  </w:r>
                </w:p>
              </w:tc>
              <w:tc>
                <w:tcPr/>
                <w:p>
                  <w:pPr>
                    <w:pStyle w:val="Compact"/>
                    <w:jc w:val="left"/>
                    <w:jc w:val="center"/>
                  </w:pPr>
                  <w:r>
                    <w:t xml:space="preserve">&lt;2%</w:t>
                  </w:r>
                </w:p>
              </w:tc>
              <w:tc>
                <w:tcPr/>
                <w:p>
                  <w:pPr>
                    <w:pStyle w:val="Compact"/>
                    <w:jc w:val="left"/>
                    <w:jc w:val="center"/>
                  </w:pPr>
                  <w:r>
                    <w:t xml:space="preserve">&lt;4%</w:t>
                  </w:r>
                </w:p>
              </w:tc>
              <w:tc>
                <w:tcPr/>
                <w:p>
                  <w:pPr>
                    <w:pStyle w:val="Compact"/>
                    <w:jc w:val="left"/>
                    <w:jc w:val="center"/>
                  </w:pPr>
                  <w:r>
                    <w:t xml:space="preserve">0%</w:t>
                  </w:r>
                </w:p>
              </w:tc>
              <w:tc>
                <w:tcPr/>
                <w:p>
                  <w:pPr>
                    <w:pStyle w:val="Compact"/>
                    <w:jc w:val="left"/>
                    <w:jc w:val="center"/>
                  </w:pPr>
                  <w:r>
                    <w:t xml:space="preserve">&lt;1%</w:t>
                  </w:r>
                </w:p>
              </w:tc>
              <w:tc>
                <w:tcPr/>
                <w:p>
                  <w:pPr>
                    <w:pStyle w:val="Compact"/>
                    <w:jc w:val="left"/>
                    <w:jc w:val="center"/>
                  </w:pPr>
                  <w:r>
                    <w:t xml:space="preserve">1.30%</w:t>
                  </w:r>
                </w:p>
              </w:tc>
              <w:tc>
                <w:tcPr/>
                <w:p>
                  <w:pPr>
                    <w:pStyle w:val="Compact"/>
                    <w:jc w:val="left"/>
                    <w:jc w:val="center"/>
                  </w:pPr>
                  <w:r>
                    <w:t xml:space="preserve">3.5%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flakes</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elongated</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w:t>
                  </w:r>
                </w:p>
              </w:tc>
              <w:tc>
                <w:tcPr/>
                <w:p>
                  <w:pPr>
                    <w:pStyle w:val="Compact"/>
                    <w:jc w:val="left"/>
                    <w:jc w:val="center"/>
                  </w:pPr>
                  <w:r>
                    <w:t xml:space="preserve">&lt;=</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P4: tools-to-debitage ratio</w:t>
                  </w:r>
                </w:p>
              </w:tc>
              <w:tc>
                <w:tcPr/>
                <w:p>
                  <w:pPr>
                    <w:pStyle w:val="Compact"/>
                    <w:jc w:val="left"/>
                    <w:jc w:val="center"/>
                  </w:pPr>
                  <w:r>
                    <w:t xml:space="preserve">0.25-0.5</w:t>
                  </w:r>
                </w:p>
              </w:tc>
              <w:tc>
                <w:tcPr/>
                <w:p>
                  <w:pPr>
                    <w:pStyle w:val="Compact"/>
                    <w:jc w:val="left"/>
                    <w:jc w:val="center"/>
                  </w:pPr>
                  <w:r>
                    <w:t xml:space="preserve">0.9-1.0</w:t>
                  </w:r>
                </w:p>
              </w:tc>
              <w:tc>
                <w:tcPr/>
                <w:p>
                  <w:pPr>
                    <w:pStyle w:val="Compact"/>
                    <w:jc w:val="left"/>
                    <w:jc w:val="center"/>
                  </w:pPr>
                  <w:r>
                    <w:t xml:space="preserve">&lt;0.1-0.2</w:t>
                  </w:r>
                </w:p>
              </w:tc>
              <w:tc>
                <w:tcPr/>
                <w:p>
                  <w:pPr>
                    <w:pStyle w:val="Compact"/>
                    <w:jc w:val="left"/>
                    <w:jc w:val="center"/>
                  </w:pPr>
                  <w:r>
                    <w:t xml:space="preserve">0.3-0.5</w:t>
                  </w:r>
                </w:p>
              </w:tc>
              <w:tc>
                <w:tcPr/>
                <w:p>
                  <w:pPr>
                    <w:pStyle w:val="Compact"/>
                    <w:jc w:val="left"/>
                    <w:jc w:val="center"/>
                  </w:pPr>
                  <w:r>
                    <w:t xml:space="preserve">&lt;0.1</w:t>
                  </w:r>
                </w:p>
              </w:tc>
              <w:tc>
                <w:tcPr/>
                <w:p>
                  <w:pPr>
                    <w:pStyle w:val="Compact"/>
                    <w:jc w:val="left"/>
                    <w:jc w:val="center"/>
                  </w:pPr>
                  <w:r>
                    <w:t xml:space="preserve">0.1-0.3</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P5: core sizes</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r>
          </w:tbl>
          <w:bookmarkEnd w:id="62"/>
          <w:p/>
        </w:tc>
      </w:tr>
    </w:tbl>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Blank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with only slightly higher frequencies in the non-local cherts. In general, the retouch frequency is lower than that observed in the previous assemblages. Debitage (P3), core (P5), and retouched tool (P7) sizes show no differences between local and non-local cherts, except for elongated blanks which are smaller in T6 and bigger in T2, and for slightly smaller cores seen in T6, although with high standard deviations. Similarly to the Proto-Solutrean, tools-to-debitage ratios (P4) and blank-to-core ratios (P6) are slightly higher in non-local cherts. Both tool diversity (P8) and tool specialization (P9) are higher in local cherts.</w:t>
      </w:r>
    </w:p>
    <w:p>
      <w:pPr>
        <w:pStyle w:val="BodyText"/>
      </w:pPr>
      <w:r>
        <w:t xml:space="preserve">In general, the obtained results seem to fit the study expectations. The Gravettian assemblage seems to show agreement with most of the expectations (table **). Although ~50% of the assemblage is composed of non-local raw materials, making them as frequent as the local cherts, non-local cherts, especially T6 and T7 show differential techno-typological patterns from the local raw materials. Only in expectation e) there seems to be a difference from the expected outcome.</w:t>
      </w:r>
    </w:p>
    <w:p>
      <w:pPr>
        <w:pStyle w:val="BodyText"/>
      </w:pPr>
      <w:r>
        <w:t xml:space="preserve">In this sense, it would be expected a lower typological diversity from non-local cherts, since the distance to source and inferred mobility would assume that less specialized tools would be more adequate for several use-case scenarios; instead, our results show higher tool diversity in non-local cherts. However, this scenario also implies that tools are being transported as either less specialized tools or even blanks which are then maintained. Instead, our results also suggest that the long-distance raw materials, especially T6 and T7, are being knapped at the site. As such, the high diversity of tool typology may simply be a reflection of the transportation of volumes and their knapping on site, a possible preference for these raw materials for the production of retouched tools, and thus their high typological variability. Despite this high variability however, less specialized tools such as retouched blanks are still predominant in non-local cherts, as well as specialized tools such as backed bladelets, giving weight to the interpretation that given the possible ease of access to these raw materials, either through high-mobility or exchanged between groups, these were knapped on site, but with longer use-lives, extensive reduction and high presence of retouch and formal tools.</w:t>
      </w:r>
    </w:p>
    <w:p>
      <w:pPr>
        <w:pStyle w:val="BodyText"/>
      </w:pPr>
      <w:r>
        <w:t xml:space="preserve">Similarly, the Proto-Solutrean assemblage shows only disagreement with the expected outcomes within the variability of retouched tools (expectation e and P8-9) and possibly the focus on maintenance and prolonging use-lives of tools (expectation a), especially concerning P2. Unlike expected, there are little differences in the amount and type of retouched tool types between local and non-local raw materials. Unlike the Gravettian occupation, however, retouched tools are overall not well-represented in the assemblage. It is key to notice, however, that the Proto-Solutrean occupation of Vale Boi seemed to introduce other raw materials, such as quartz or dolerite, to the production of retouched tools. Although knapping strategies seemed to be overall simpler (e.g., simple platform cores in quartz), splintered pieces are highly represented in quartz. In opposition, most endscrapers are made of chert (Belmiro et al., 2021), while the majority of Vale Comprido points are found in dolerite (Belmiro et al., 2021; Marreiros, 2009). These patterns, then, may correspond to a specialisation of tool production to the type of raw material itself (whether quartz, chert or dolerite), thus making chert, retouched tool variability patterns similar and unrelated to distance of source. Regarding P2, although there is a slightly higher presence of core preparation and maintenance products in non-local cherts, there is an overall lack of this class of artefacts. This means that for the Proto-Solutrean assemblage of Vale Boi, core maintenance variables are not adequate to discern differences between local and non-local raw materials, since these knapping strategies were not consistently used during this chronology.</w:t>
      </w:r>
    </w:p>
    <w:p>
      <w:pPr>
        <w:pStyle w:val="BodyText"/>
      </w:pPr>
      <w:r>
        <w:t xml:space="preserve">Finally, the Solutrean assemblages also show only two parameters that disagree with the expectations: debitage sizes (P3) and retouched tool sizes (P7). Flakes show no differences in dimensions and weight between local and non-local raw materials. This may be related to the production process of Solutrean points, which may start with larger flakes or elongated products that are then reconfigured to the desired product, thus producing similar discarded flakes in all chert types. However, elongated blanks do follow the expected patterns, with non-local cherts having smaller products and local cherts. This may mean that non-local cherts, especially T6, are being further reduced in specific strategies for the production of elongated products, thus leading to different patterns between these two classes of blanks. The sizes of retouched tools, alike flakes, also show no relevant differences between local and non-local. However, this variable may not be adequate for the present study, especially regarding the size measurements; both width and length are used for scatterplots, however, the technological database used in this study is missing specific measurements (especially length) for typologies of retouched tools. As such, the scatterplots are further truncated by the difference in analysis methodology, making this pattern possibly invalid.</w:t>
      </w:r>
    </w:p>
    <w:p>
      <w:pPr>
        <w:pStyle w:val="BodyText"/>
      </w:pPr>
      <w:r>
        <w:t xml:space="preserve">Aside from the specific expectations for the treatment of local and non-local cherts within each assemblage, when comparing between technocomplexes, a few key patterns also stand out. Chert retouched tools are present in higher percentages in the Gravettian assemblages (~22%) than in the Proto-Solutrean and Solutrean assemblages (&lt;10%). This is also clear through the tool-to-debitage ratios, which are higher in the Gravettian assemblage (</w:t>
      </w:r>
      <w:hyperlink w:anchor="fig-ratiotd">
        <w:r>
          <w:rPr>
            <w:rStyle w:val="Hyperlink"/>
          </w:rPr>
          <w:t xml:space="preserve">Figure 2</w:t>
        </w:r>
      </w:hyperlink>
      <w:r>
        <w:t xml:space="preserve">).</w:t>
      </w:r>
    </w:p>
    <w:p>
      <w:pPr>
        <w:pStyle w:val="BodyText"/>
      </w:pPr>
      <w:r>
        <w:t xml:space="preserve">There are little differences in the general size and weight of the artifacts between assemblages. For example, for key classes where size and weight differences could be expected (e.g., cores), the length measurements are mostly all located between 20-40 mm and weight between 10-40 gr. The major differences seem to be explained better by bigger cores in local chert types and smaller cores for non-local chert types. However, a few key differences were noted. T4 cores (the chert type most frequent in the Proto-Solutrean assemblage) shows the largest weights of cores of all assemblages, both in the Solutrean and Proto-Solutrean assemblage, as well as T5 in the Solutrean assemblage. T6 and T7 have consistently the smaller weights, especially compared to T2 during the Proto-Solutrean and Gravettian, which shows slightly higher weights. This consistency in artefact size throughout the assemblages may be explained by a combination of local lithic resource availability and transport and knapping strategies focusing on intensive reduction and maintenance of non-local raw materials. Belmiro et al. (2023) highlight the small size of chert nodules (usually between ~5-10 cm with a maximum of 20 cm of diameter) in the Algarve region. Although abundant and possibly available throughout all of the UP, given their location in accessible cliffs, these lithic resources are often small and fracture easily when obtained directly from the source. Given the possibly initial small size of the local chert nodules, it may be possible that the small artefact sizes are related not to intensive knapping of the nodules, but to the initial size of the knapped volumes. This is also supported by the lower blank-to-core ratios seen in local raw materials.</w:t>
      </w:r>
    </w:p>
    <w:p>
      <w:pPr>
        <w:pStyle w:val="BodyText"/>
      </w:pPr>
      <w:r>
        <w:t xml:space="preserve">In comparison, at least for T6 cherts from central Portugal (for which we have a comparable reference collection of unknapped volumes collected from secondary sources), the initial volumes are frequently larger (&gt;20 cm), although smaller nodules can also be found. This suggests that the small artefact sizes of this non-local resource are not necessarily a product of resource availability but an intentional choice of either transportability of smaller volumes/nodules, knapping strategies focused on intensive reduction and maintenance, or both. This is also supported by the higher blank-to-core and tool-to-debitage ratios seen in non-local raw materials, especially T6.</w:t>
      </w:r>
    </w:p>
    <w:p>
      <w:pPr>
        <w:pStyle w:val="BodyText"/>
      </w:pPr>
      <w:r>
        <w:t xml:space="preserve">A key interpretation can be derived. Cores, shatter and debitage are present even in non-local chert types (excluding the TL category), meaning although possibly coming from long-distance (e.g., T6 and T7 with sources over ~200 km, as the crow flies), these raw materials were being introduced to the site as knappable volumes and not only as finished products. This has also been previously suggested, based on the presence of cortex attributed to small transport distances from source to procurement area, in non-local cherts in all assemblages (Belmiro et al., 2025).</w:t>
      </w:r>
    </w:p>
    <w:bookmarkStart w:id="63" w:name="some-extra-notes-and-structure"/>
    <w:p>
      <w:pPr>
        <w:pStyle w:val="Heading2"/>
      </w:pPr>
      <w:r>
        <w:t xml:space="preserve">Some extra notes and structure</w:t>
      </w:r>
    </w:p>
    <w:p>
      <w:pPr>
        <w:pStyle w:val="Compact"/>
        <w:numPr>
          <w:ilvl w:val="0"/>
          <w:numId w:val="1002"/>
        </w:numPr>
      </w:pPr>
      <w:r>
        <w:t xml:space="preserve">Goals of the study</w:t>
      </w:r>
    </w:p>
    <w:p>
      <w:pPr>
        <w:pStyle w:val="Compact"/>
        <w:numPr>
          <w:ilvl w:val="0"/>
          <w:numId w:val="1002"/>
        </w:numPr>
      </w:pPr>
      <w:r>
        <w:t xml:space="preserve">Parameters studied</w:t>
      </w:r>
    </w:p>
    <w:p>
      <w:pPr>
        <w:pStyle w:val="Compact"/>
        <w:numPr>
          <w:ilvl w:val="0"/>
          <w:numId w:val="1002"/>
        </w:numPr>
      </w:pPr>
      <w:r>
        <w:t xml:space="preserve">Summary of the results based on expectations</w:t>
      </w:r>
    </w:p>
    <w:p>
      <w:pPr>
        <w:pStyle w:val="Compact"/>
        <w:numPr>
          <w:ilvl w:val="0"/>
          <w:numId w:val="1002"/>
        </w:numPr>
      </w:pPr>
      <w:r>
        <w:t xml:space="preserve">How they fit within the expectations + how they differ by assemblage</w:t>
      </w:r>
    </w:p>
    <w:p>
      <w:pPr>
        <w:pStyle w:val="Compact"/>
        <w:numPr>
          <w:ilvl w:val="0"/>
          <w:numId w:val="1002"/>
        </w:numPr>
      </w:pPr>
      <w:r>
        <w:t xml:space="preserve">General differences between expectations</w:t>
      </w:r>
    </w:p>
    <w:p>
      <w:pPr>
        <w:pStyle w:val="Compact"/>
        <w:numPr>
          <w:ilvl w:val="0"/>
          <w:numId w:val="1002"/>
        </w:numPr>
      </w:pPr>
      <w:r>
        <w:t xml:space="preserve">Interpretation of chert procurement and management, and changes through time + settlement changes</w:t>
      </w:r>
    </w:p>
    <w:p>
      <w:pPr>
        <w:pStyle w:val="FirstParagraph"/>
      </w:pPr>
      <w:r>
        <w:t xml:space="preserve">When groups move to areas where raw materials are scarcer or of poorer quality (understanding that poorer quality may not mean they are bad quality, simply not as good quality as the raw materials group have current access), more effort is placed in the preparation of transportable cores and tools (Kelly, 1988). This may be the case for the Gravettian assemblage; not only is the percentage of tools high, large enough volumes of stone were transported to the site and knapped, but also high frequency of burins, which may have also been a technological choice to obtain elongated products in an efficient way. There seems to be an effort in transporting raw materials of known good quality in transportable yet adaptable shapes to later shape and use.</w:t>
      </w:r>
    </w:p>
    <w:p>
      <w:pPr>
        <w:pStyle w:val="BodyText"/>
      </w:pPr>
      <w:r>
        <w:t xml:space="preserve">It would be also expected that whenever groups have easy access to good quality, non-local raw materials, either due to high mobility or exchanges between groups, these resources become more abundant in the assemblage, but also be less extensively used (Andrefsky, 1994). The idea is that the patterns of non-local raw material use are based on their conservation due to cost of procurement; when that cost is reduced, so is the necessity to conserve the resources, and thus the expected patterns may not be as clear. Despite the high frequency of non-local raw materials, which implies some sort of ease of access to non-local raw materials of good quality, probably due to high residential mobility, the assemblage still shows conservation of raw materials. This is seen in the high frequence of retouched tools and high ratios of tool to debitage when compared to local raw materials. Artefact sizes are also smaller in non-local raw materials then local raw materials and blank-to-core ratios are higher, showing that these non-local raw materials were extensively used. This shows that access to non-local raw materials, making them highly represented in the assemblage, especially the cherts from central Portugal (T6), did not impact the patterns expected for the treatment of non-local raw materials.</w:t>
      </w:r>
    </w:p>
    <w:p>
      <w:pPr>
        <w:pStyle w:val="BodyText"/>
      </w:pPr>
      <w:r>
        <w:t xml:space="preserve">A strategy used to raw material transportation is stockpilling lithic raw materials in various production stages, thus reducing the need for extensive lithic production and tool reworking (Kuhn, 2004). Longer-term residential occupations occupations are more likely to involve stockpilling strategies and reduced investment in tool maintenance (Bamforth, 1990). This would create assemblages with more blanks, less maintenance products and less retouched tools such as retouched flakes. However, even with stockpilling,</w:t>
      </w:r>
    </w:p>
    <w:bookmarkEnd w:id="63"/>
    <w:bookmarkEnd w:id="64"/>
    <w:bookmarkStart w:id="65" w:name="conclusion"/>
    <w:p>
      <w:pPr>
        <w:pStyle w:val="Heading1"/>
      </w:pPr>
      <w:r>
        <w:t xml:space="preserve">Conclusion</w:t>
      </w:r>
    </w:p>
    <w:bookmarkEnd w:id="65"/>
    <w:bookmarkStart w:id="66" w:name="acknowledgements"/>
    <w:p>
      <w:pPr>
        <w:pStyle w:val="Heading1"/>
      </w:pPr>
      <w:r>
        <w:t xml:space="preserve">Acknowledgements</w:t>
      </w:r>
    </w:p>
    <w:p>
      <w:r>
        <w:br w:type="page"/>
      </w:r>
    </w:p>
    <w:bookmarkEnd w:id="66"/>
    <w:bookmarkStart w:id="71" w:name="references"/>
    <w:p>
      <w:pPr>
        <w:pStyle w:val="Heading1"/>
      </w:pPr>
      <w:r>
        <w:t xml:space="preserve">References</w:t>
      </w:r>
    </w:p>
    <w:bookmarkStart w:id="69" w:name="refs"/>
    <w:bookmarkStart w:id="68"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67">
        <w:r>
          <w:rPr>
            <w:rStyle w:val="Hyperlink"/>
          </w:rPr>
          <w:t xml:space="preserve">https://doi.org/10.1016/j.jaa.2004.09.001</w:t>
        </w:r>
      </w:hyperlink>
    </w:p>
    <w:bookmarkEnd w:id="68"/>
    <w:bookmarkEnd w:id="69"/>
    <w:p>
      <w:r>
        <w:br w:type="page"/>
      </w:r>
    </w:p>
    <w:bookmarkStart w:id="70" w:name="colophon"/>
    <w:p>
      <w:pPr>
        <w:pStyle w:val="Heading3"/>
      </w:pPr>
      <w:r>
        <w:t xml:space="preserve">Colophon</w:t>
      </w:r>
    </w:p>
    <w:p>
      <w:pPr>
        <w:pStyle w:val="FirstParagraph"/>
      </w:pPr>
      <w:r>
        <w:t xml:space="preserve">This report was generated on 2025-02-26 11:44:35.723938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2025-02-26</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utf8          1.2.4    2023-10-22 [1] CRAN (R 4.4.0)</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70"/>
    <w:bookmarkEnd w:id="71"/>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59821680" w:numId="1">
    <w:abstractNumId w:val="2"/>
  </w:num>
  <w:num w16cid:durableId="1419910699" w:numId="2">
    <w:abstractNumId w:val="1"/>
  </w:num>
  <w:num w16cid:durableId="1389719503"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67"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2025-02-26T11:44:38Z</dcterms:created>
  <dcterms:modified xsi:type="dcterms:W3CDTF">2025-02-26T11:44:38Z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February 26,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