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0.png" ContentType="image/png"/>
  <Override PartName="/word/media/rId44.png" ContentType="image/png"/>
  <Override PartName="/word/media/rId32.png" ContentType="image/png"/>
  <Override PartName="/word/media/rId36.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From</w:t>
      </w:r>
      <w:r>
        <w:t xml:space="preserve"> </w:t>
      </w:r>
      <w:r>
        <w:t xml:space="preserve">Stone</w:t>
      </w:r>
      <w:r>
        <w:t xml:space="preserve"> </w:t>
      </w:r>
      <w:r>
        <w:t xml:space="preserve">to</w:t>
      </w:r>
      <w:r>
        <w:t xml:space="preserve"> </w:t>
      </w:r>
      <w:r>
        <w:t xml:space="preserve">Tool:</w:t>
      </w:r>
      <w:r>
        <w:t xml:space="preserve"> </w:t>
      </w:r>
      <w:r>
        <w:t xml:space="preserve">How</w:t>
      </w:r>
      <w:r>
        <w:t xml:space="preserve"> </w:t>
      </w:r>
      <w:r>
        <w:t xml:space="preserve">Raw</w:t>
      </w:r>
      <w:r>
        <w:t xml:space="preserve"> </w:t>
      </w:r>
      <w:r>
        <w:t xml:space="preserve">Materials</w:t>
      </w:r>
      <w:r>
        <w:t xml:space="preserve"> </w:t>
      </w:r>
      <w:r>
        <w:t xml:space="preserve">Influenced</w:t>
      </w:r>
      <w:r>
        <w:t xml:space="preserve"> </w:t>
      </w:r>
      <w:r>
        <w:t xml:space="preserve">Upper</w:t>
      </w:r>
      <w:r>
        <w:t xml:space="preserve"> </w:t>
      </w:r>
      <w:r>
        <w:t xml:space="preserve">Paleolithic</w:t>
      </w:r>
      <w:r>
        <w:t xml:space="preserve"> </w:t>
      </w:r>
      <w:r>
        <w:t xml:space="preserve">Technology</w:t>
      </w:r>
      <w:r>
        <w:t xml:space="preserve"> </w:t>
      </w:r>
      <w:r>
        <w:t xml:space="preserve">in</w:t>
      </w:r>
      <w:r>
        <w:t xml:space="preserve"> </w:t>
      </w:r>
      <w:r>
        <w:t xml:space="preserve">Southwestern</w:t>
      </w:r>
      <w:r>
        <w:t xml:space="preserve"> </w:t>
      </w:r>
      <w:r>
        <w:t xml:space="preserve">Iberia</w:t>
      </w:r>
      <w:r>
        <w:t xml:space="preserve"> </w:t>
      </w:r>
      <w:r>
        <w:t xml:space="preserve">(Vale</w:t>
      </w:r>
      <w:r>
        <w:t xml:space="preserve"> </w:t>
      </w:r>
      <w:r>
        <w:t xml:space="preserve">Boi)</w:t>
      </w:r>
    </w:p>
    <w:p>
      <w:pPr>
        <w:pStyle w:val="Author"/>
      </w:pPr>
      <w:r>
        <w:t xml:space="preserve">Joana Belmiro</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Nuno Bicho</w:t>
      </w:r>
      <w:r>
        <w:rPr>
          <w:vertAlign w:val="superscript"/>
        </w:rPr>
        <w:t xml:space="preserve">1</w:t>
      </w:r>
      <w:r>
        <w:t xml:space="preserve">,</w:t>
      </w:r>
      <w:r>
        <w:t xml:space="preserve"> </w:t>
      </w:r>
      <w:r>
        <w:t xml:space="preserve">Xavier Terradas</w:t>
      </w:r>
      <w:r>
        <w:rPr>
          <w:vertAlign w:val="superscript"/>
        </w:rPr>
        <w:t xml:space="preserve">2</w:t>
      </w:r>
      <w:r>
        <w:t xml:space="preserve">,</w:t>
      </w:r>
      <w:r>
        <w:t xml:space="preserve"> </w:t>
      </w:r>
      <w:r>
        <w:t xml:space="preserve">and</w:t>
      </w:r>
      <w:r>
        <w:t xml:space="preserve"> </w:t>
      </w:r>
      <w:r>
        <w:t xml:space="preserve">João Cascalheira</w:t>
      </w:r>
      <w:r>
        <w:rPr>
          <w:vertAlign w:val="superscript"/>
        </w:rPr>
        <w:t xml:space="preserve">1</w:t>
      </w:r>
    </w:p>
    <w:p>
      <w:pPr>
        <w:pStyle w:val="Date"/>
      </w:pPr>
      <w:r>
        <w:t xml:space="preserve">March</w:t>
      </w:r>
      <w:r>
        <w:t xml:space="preserve"> </w:t>
      </w:r>
      <w:r>
        <w:t xml:space="preserve">1,</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Interdisciplinary Center for Archaeology and Human Evolution</w:t>
      </w:r>
      <w:r>
        <w:br/>
      </w:r>
      <w:r>
        <w:rPr>
          <w:vertAlign w:val="superscript"/>
        </w:rPr>
        <w:t xml:space="preserve">2</w:t>
      </w:r>
      <w:r>
        <w:t xml:space="preserve"> </w:t>
      </w:r>
      <w:r>
        <w:t xml:space="preserve">CSIC</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Joana Belmiro &lt;jfbelmiro@ualg.pt&gt;</w:t>
        </w:r>
      </w:hyperlink>
    </w:p>
    <w:p>
      <w:pPr>
        <w:pStyle w:val="BodyText"/>
      </w:pPr>
      <w:r>
        <w:t xml:space="preserve">Keywords: keyword 1; keyword 2; keyword 3</w:t>
      </w:r>
    </w:p>
    <w:p>
      <w:pPr>
        <w:pStyle w:val="BodyText"/>
      </w:pPr>
      <w:r>
        <w:t xml:space="preserve">Highlights: These are the highlights.</w:t>
      </w:r>
    </w:p>
    <w:bookmarkStart w:id="23" w:name="introduction"/>
    <w:p>
      <w:pPr>
        <w:pStyle w:val="Heading1"/>
      </w:pPr>
      <w:r>
        <w:t xml:space="preserve">Introduction</w:t>
      </w:r>
    </w:p>
    <w:p>
      <w:pPr>
        <w:pStyle w:val="FirstParagraph"/>
      </w:pPr>
      <w:r>
        <w:t xml:space="preserve">The Iberian Peninsula has been a key region for the study of human adaptations and cultural transitions in Archaeology. Located in the westernmost tip of Europe and with a generally stable climate even during the coldest periods punctuating the Late Pleistocene, this region has yielded some of the most significant glacial refugia in Europe</w:t>
      </w:r>
      <w:r>
        <w:t xml:space="preserve"> </w:t>
      </w:r>
      <w:r>
        <w:t xml:space="preserve">(</w:t>
      </w:r>
      <w:r>
        <w:rPr>
          <w:b/>
          <w:bCs/>
        </w:rPr>
        <w:t xml:space="preserve">hewitt2000?</w:t>
      </w:r>
      <w:r>
        <w:t xml:space="preserve">;</w:t>
      </w:r>
      <w:r>
        <w:t xml:space="preserve"> </w:t>
      </w:r>
      <w:r>
        <w:rPr>
          <w:b/>
          <w:bCs/>
        </w:rPr>
        <w:t xml:space="preserve">gómez2007?</w:t>
      </w:r>
      <w:r>
        <w:t xml:space="preserve">;</w:t>
      </w:r>
      <w:r>
        <w:t xml:space="preserve"> </w:t>
      </w:r>
      <w:r>
        <w:rPr>
          <w:b/>
          <w:bCs/>
        </w:rPr>
        <w:t xml:space="preserve">gonzález-sampériz2010?</w:t>
      </w:r>
      <w:r>
        <w:t xml:space="preserve">;</w:t>
      </w:r>
      <w:r>
        <w:t xml:space="preserve"> </w:t>
      </w:r>
      <w:r>
        <w:rPr>
          <w:b/>
          <w:bCs/>
        </w:rPr>
        <w:t xml:space="preserve">carvalho2022?</w:t>
      </w:r>
      <w:r>
        <w:t xml:space="preserve">)</w:t>
      </w:r>
      <w:r>
        <w:t xml:space="preserve">.</w:t>
      </w:r>
    </w:p>
    <w:p>
      <w:pPr>
        <w:pStyle w:val="BodyText"/>
      </w:pPr>
      <w:r>
        <w:t xml:space="preserve">For this reason, the Iberian Peninsula has been the focal point of several discussions regarding Late Pleistocene human adaptations</w:t>
      </w:r>
      <w:r>
        <w:t xml:space="preserve"> </w:t>
      </w:r>
      <w:r>
        <w:t xml:space="preserve">(</w:t>
      </w:r>
      <w:r>
        <w:rPr>
          <w:b/>
          <w:bCs/>
        </w:rPr>
        <w:t xml:space="preserve">finlayson2006?</w:t>
      </w:r>
      <w:r>
        <w:t xml:space="preserve">;</w:t>
      </w:r>
      <w:r>
        <w:t xml:space="preserve"> </w:t>
      </w:r>
      <w:r>
        <w:rPr>
          <w:b/>
          <w:bCs/>
        </w:rPr>
        <w:t xml:space="preserve">zilhão2017?</w:t>
      </w:r>
      <w:r>
        <w:t xml:space="preserve">;</w:t>
      </w:r>
      <w:r>
        <w:t xml:space="preserve"> </w:t>
      </w:r>
      <w:r>
        <w:rPr>
          <w:b/>
          <w:bCs/>
        </w:rPr>
        <w:t xml:space="preserve">cascalheira2017?</w:t>
      </w:r>
      <w:r>
        <w:t xml:space="preserve">)</w:t>
      </w:r>
      <w:r>
        <w:t xml:space="preserve">.</w:t>
      </w:r>
    </w:p>
    <w:p>
      <w:pPr>
        <w:pStyle w:val="BodyText"/>
      </w:pPr>
      <w:r>
        <w:t xml:space="preserve">A particularly good example is the region’s role in the discussion of Upper Paleolithic technocomplexes transitions. Previous studies have discussed the territory’s potential as a refugium during cold and harsh climatic conditions</w:t>
      </w:r>
      <w:r>
        <w:t xml:space="preserve"> </w:t>
      </w:r>
      <w:r>
        <w:t xml:space="preserve">(</w:t>
      </w:r>
      <w:r>
        <w:rPr>
          <w:b/>
          <w:bCs/>
        </w:rPr>
        <w:t xml:space="preserve">gómez2007?</w:t>
      </w:r>
      <w:r>
        <w:t xml:space="preserve">;</w:t>
      </w:r>
      <w:r>
        <w:t xml:space="preserve"> </w:t>
      </w:r>
      <w:r>
        <w:rPr>
          <w:b/>
          <w:bCs/>
        </w:rPr>
        <w:t xml:space="preserve">rodríguez-sánchez2010?</w:t>
      </w:r>
      <w:r>
        <w:t xml:space="preserve">;</w:t>
      </w:r>
      <w:r>
        <w:t xml:space="preserve"> </w:t>
      </w:r>
      <w:r>
        <w:rPr>
          <w:b/>
          <w:bCs/>
        </w:rPr>
        <w:t xml:space="preserve">jennings2011?</w:t>
      </w:r>
      <w:r>
        <w:t xml:space="preserve">)</w:t>
      </w:r>
      <w:r>
        <w:t xml:space="preserve">. Other studies have expanded upon this notion of climatic refugia during harsh climatic events, to understand the Iberian Peninsula as a long-term eco-cultural refugia</w:t>
      </w:r>
      <w:r>
        <w:t xml:space="preserve"> </w:t>
      </w:r>
      <w:r>
        <w:t xml:space="preserve">(</w:t>
      </w:r>
      <w:r>
        <w:rPr>
          <w:b/>
          <w:bCs/>
        </w:rPr>
        <w:t xml:space="preserve">cascalheira2017?</w:t>
      </w:r>
      <w:r>
        <w:t xml:space="preserve">)</w:t>
      </w:r>
      <w:r>
        <w:t xml:space="preserve">. Using this framework, this territory would consist of several ecological niches, consistently used through time, possibly due to the stability in the richness and variety of resources. This continuous use would then create long-term regional adaptive structures, which when correlated with the ecological niches,</w:t>
      </w:r>
      <w:r>
        <w:t xml:space="preserve"> </w:t>
      </w:r>
      <w:r>
        <w:t xml:space="preserve">(</w:t>
      </w:r>
      <w:r>
        <w:rPr>
          <w:b/>
          <w:bCs/>
        </w:rPr>
        <w:t xml:space="preserve">cascalheira2017?</w:t>
      </w:r>
      <w:r>
        <w:t xml:space="preserve">)</w:t>
      </w:r>
      <w:r>
        <w:t xml:space="preserve"> </w:t>
      </w:r>
      <w:r>
        <w:t xml:space="preserve">have referred to as eco-cultural niches. In fact, it seems that a large number of caves and rockshelters in Iberia are multi-layered, giving validity to the aforementioned framework</w:t>
      </w:r>
      <w:r>
        <w:t xml:space="preserve"> </w:t>
      </w:r>
      <w:r>
        <w:t xml:space="preserve">(</w:t>
      </w:r>
      <w:r>
        <w:rPr>
          <w:b/>
          <w:bCs/>
        </w:rPr>
        <w:t xml:space="preserve">schmidt2012?</w:t>
      </w:r>
      <w:r>
        <w:t xml:space="preserve">)</w:t>
      </w:r>
      <w:r>
        <w:t xml:space="preserve">. These eco-cultural niches provide an exceptional opportunity to understand long-term dynamics regarding biotic and abiotic resource exploitation since they can provide details on how human populations maintained or changed their adaptive systems when facing environmental changes, and cultural and social transformations or constraints.</w:t>
      </w:r>
    </w:p>
    <w:p>
      <w:pPr>
        <w:pStyle w:val="BodyText"/>
      </w:pPr>
      <w:r>
        <w:t xml:space="preserve">More specifically, southwestern Iberia has been shown to be a key eco-cultural niche to study cultural transitions and the role of such a peripheral coastal region within hunter-gatherer social networks</w:t>
      </w:r>
      <w:r>
        <w:t xml:space="preserve"> </w:t>
      </w:r>
      <w:r>
        <w:t xml:space="preserve">(</w:t>
      </w:r>
      <w:r>
        <w:rPr>
          <w:b/>
          <w:bCs/>
        </w:rPr>
        <w:t xml:space="preserve">cascalheira2017?</w:t>
      </w:r>
      <w:r>
        <w:t xml:space="preserve">)</w:t>
      </w:r>
      <w:r>
        <w:t xml:space="preserve">. This has been mostly due to the archaeological site of Vale Boi, located in southwesternmost Iberia and characterized by a nearly complete UP sequence (++). This site is crucial for understanding Upper Paleolithic (UP) adaptations, as it is currently the only site in southwestern Iberia with a long-term occupation spanning most of the UP, enabling the exploration of cultural and technological trends over time (Cascalheira et al. 2017).</w:t>
      </w:r>
    </w:p>
    <w:p>
      <w:pPr>
        <w:pStyle w:val="BodyText"/>
      </w:pPr>
      <w:r>
        <w:t xml:space="preserve">For example, Vale Boi has provided valuable insights into hunter-gatherer subsistence strategies and technological organisation (Belmiro et al. 2021; Bicho et al. 2013; Cascalheira et al. 2017; Cascalheira 2019; Horta et al. 2019; Manne et al. 2012; Marreiros et al. 2016), contributing to a better understanding of territory exploitation and interactions with other regions of Iberia throughout the UP. Especially due to lithic technology studies from this site, the region has been shown to have played a shifting and complex role within the larger territory.</w:t>
      </w:r>
    </w:p>
    <w:p>
      <w:pPr>
        <w:pStyle w:val="BodyText"/>
      </w:pPr>
      <w:r>
        <w:t xml:space="preserve">During the Gravettian, the peripheral nature of the region studies of Gravettian occupations reveal marked regional differences, suggesting more limited movement of people and information in southwestern Iberia (Marreiros and Bicho, 2013). In comparison, Proto-Solutrean evidence indicates technological similarities and close contact with central Portugal (Belmiro et al., 2021). The Solutrean period stands out as a particularly dynamic phase at Vale Boi, during which the site served as a key connection point between central Portugal and southern Spain, facilitating social networks and cultural exchanges (Cascalheira, 2013; Cascalheira et al., 2017).</w:t>
      </w:r>
    </w:p>
    <w:p>
      <w:pPr>
        <w:pStyle w:val="BodyText"/>
      </w:pPr>
      <w:r>
        <w:t xml:space="preserve">Expanding on these findings, recent research has further refined our understanding of mobility and social networks through lithic raw material studies at the site. Our team’s recent work (Belmiro et al., 2025) identified non-local cherts originating from central Portugal (&gt;250 km from Vale Boi) and southern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pPr>
        <w:pStyle w:val="BodyText"/>
      </w:pPr>
      <w:r>
        <w:t xml:space="preserve">These results, particularly those related to the Gravettian, were interpreted as outcomes of residential mobility rather than direct social network influences, though further investigation is required.</w:t>
      </w:r>
    </w:p>
    <w:p>
      <w:pPr>
        <w:pStyle w:val="BodyText"/>
      </w:pPr>
      <w:r>
        <w:t xml:space="preserve">Despite the insights gained from previous studies, the relationship between lithic technology and raw material use at Vale Boi remains largely uncorrelated. While broader research highlights the complexity of lithic technological organisation, a more integrated approach is needed to fully understand how raw material provisioning influenced technological strategies at the site and what this can tell us about how hunter-gatherer groups organized, explored the territory and connected to others across Iberia. To address this, our goal is to combine lithic technological and chert raw material studies to better characterize hunter-gatherer technological and social adaptations throughout the UP in southwestern Iberia. To do so, we create and test expectations built upon previous archaeological and ethnographic studies of the technological organization of hunter-gatherers.</w:t>
      </w:r>
    </w:p>
    <w:bookmarkStart w:id="22" w:name="theoretical-framework-and-objectives"/>
    <w:p>
      <w:pPr>
        <w:pStyle w:val="Heading2"/>
      </w:pPr>
      <w:r>
        <w:t xml:space="preserve">Theoretical framework and objectives</w:t>
      </w:r>
    </w:p>
    <w:p>
      <w:pPr>
        <w:pStyle w:val="FirstParagraph"/>
      </w:pPr>
      <w:r>
        <w:t xml:space="preserve">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pPr>
        <w:pStyle w:val="BodyText"/>
      </w:pPr>
      <w:r>
        <w:t xml:space="preserve">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pPr>
        <w:pStyle w:val="BodyText"/>
      </w:pPr>
      <w:r>
        <w:t xml:space="preserve">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pPr>
        <w:pStyle w:val="BodyText"/>
      </w:pPr>
      <w:r>
        <w:t xml:space="preserve">For example, technological variability within a lithic assemblage may be explained by the abundance and quality of raw materials (Andrefsky, 1994; Brown, 1999; Oestmo, 2017). 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pPr>
        <w:pStyle w:val="BodyText"/>
      </w:pPr>
      <w:r>
        <w:t xml:space="preserve">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pPr>
        <w:pStyle w:val="BodyText"/>
      </w:pPr>
      <w:r>
        <w:t xml:space="preserve">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r>
        <w:t xml:space="preserve"> </w:t>
      </w: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r>
        <w:t xml:space="preserve"> </w:t>
      </w:r>
      <w:r>
        <w:t xml:space="preserve">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pPr>
        <w:pStyle w:val="BodyText"/>
      </w:pPr>
      <w:r>
        <w:t xml:space="preserve">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pPr>
        <w:pStyle w:val="BodyText"/>
      </w:pPr>
      <w:r>
        <w:t xml:space="preserve">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pPr>
        <w:pStyle w:val="BodyText"/>
      </w:pPr>
      <w:r>
        <w:t xml:space="preserve">Altogether, different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 - procurement, distribution, use, maintenance, and discard - through interconnected approaches that combine lithic technology and raw material analyses.</w:t>
      </w:r>
    </w:p>
    <w:p>
      <w:pPr>
        <w:pStyle w:val="BodyText"/>
      </w:pPr>
      <w:r>
        <w:t xml:space="preserve">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several expectations regarding local and non-local raw materials that can be found summarized in</w:t>
      </w:r>
      <w:r>
        <w:t xml:space="preserve"> </w:t>
      </w:r>
      <w:hyperlink w:anchor="tbl-expectations">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1" w:name="tbl-expectations"/>
          <w:p>
            <w:pPr>
              <w:jc w:val="center"/>
            </w:pPr>
            <w:pPr>
              <w:jc w:val="start"/>
              <w:spacing w:before="200"/>
              <w:pStyle w:val="ImageCaption"/>
            </w:pPr>
            <w:r>
              <w:t xml:space="preserve">Table 1: A table.</w:t>
            </w:r>
          </w:p>
          <w:tbl>
            <w:tblPr>
              <w:tblStyle w:val="Table"/>
              <w:tblW w:type="pct" w:w="5000"/>
              <w:tblLayout w:type="fixed"/>
              <w:tblLook w:firstRow="1" w:lastRow="0" w:firstColumn="0" w:lastColumn="0" w:noHBand="0" w:noVBand="0" w:val="0020"/>
            </w:tblPr>
            <w:tblGrid>
              <w:gridCol w:w="2752"/>
              <w:gridCol w:w="5167"/>
            </w:tblGrid>
            <w:tr>
              <w:trPr>
                <w:tblHeader w:val="on"/>
              </w:trPr>
              <w:tc>
                <w:tcPr/>
                <w:p>
                  <w:pPr>
                    <w:pStyle w:val="Compact"/>
                    <w:jc w:val="left"/>
                    <w:jc w:val="center"/>
                  </w:pPr>
                  <w:r>
                    <w:t xml:space="preserve">1. Local raw materials</w:t>
                  </w:r>
                </w:p>
              </w:tc>
              <w:tc>
                <w:tcPr/>
                <w:p>
                  <w:pPr>
                    <w:pStyle w:val="Compact"/>
                    <w:jc w:val="left"/>
                    <w:jc w:val="center"/>
                  </w:pPr>
                  <w:r>
                    <w:t xml:space="preserve">2. Non-local raw materials</w:t>
                  </w:r>
                </w:p>
              </w:tc>
            </w:tr>
            <w:tr>
              <w:tc>
                <w:tcPr/>
                <w:p>
                  <w:pPr>
                    <w:pStyle w:val="Compact"/>
                    <w:jc w:val="left"/>
                    <w:jc w:val="center"/>
                  </w:pPr>
                  <w:r>
                    <w:t xml:space="preserve">1a) Low use-lives, with knapping strategies characterised by manufacture, use and discard</w:t>
                  </w:r>
                </w:p>
              </w:tc>
              <w:tc>
                <w:tcPr/>
                <w:p>
                  <w:pPr>
                    <w:pStyle w:val="Compact"/>
                    <w:jc w:val="left"/>
                    <w:jc w:val="center"/>
                  </w:pPr>
                  <w:r>
                    <w:t xml:space="preserve">2a) Majority of formal tools, in the case of individual provisioning or higher use-lives, with knapping strategies characterised by the manufacture, use and maintenance</w:t>
                  </w:r>
                </w:p>
              </w:tc>
            </w:tr>
            <w:tr>
              <w:tc>
                <w:tcPr/>
                <w:p>
                  <w:pPr>
                    <w:pStyle w:val="Compact"/>
                    <w:jc w:val="left"/>
                    <w:jc w:val="center"/>
                  </w:pPr>
                  <w:r>
                    <w:t xml:space="preserve">1b) Decreased reduction intensity and low tools to debitage ratio</w:t>
                  </w:r>
                </w:p>
              </w:tc>
              <w:tc>
                <w:tcPr/>
                <w:p>
                  <w:pPr>
                    <w:pStyle w:val="Compact"/>
                    <w:jc w:val="left"/>
                    <w:jc w:val="center"/>
                  </w:pPr>
                  <w:r>
                    <w:t xml:space="preserve">2b) Increased reduction intensity and high tools to debitage ratio</w:t>
                  </w:r>
                </w:p>
              </w:tc>
            </w:tr>
            <w:tr>
              <w:tc>
                <w:tcPr/>
                <w:p>
                  <w:pPr>
                    <w:pStyle w:val="Compact"/>
                    <w:jc w:val="left"/>
                    <w:jc w:val="center"/>
                  </w:pPr>
                  <w:r>
                    <w:t xml:space="preserve">1c) Larger cores and lower blank-to-core ratio</w:t>
                  </w:r>
                </w:p>
              </w:tc>
              <w:tc>
                <w:tcPr/>
                <w:p>
                  <w:pPr>
                    <w:pStyle w:val="Compact"/>
                    <w:jc w:val="left"/>
                    <w:jc w:val="center"/>
                  </w:pPr>
                  <w:r>
                    <w:t xml:space="preserve">2c) Smaller cores and higher blank-to-core ratio</w:t>
                  </w:r>
                </w:p>
              </w:tc>
            </w:tr>
            <w:tr>
              <w:tc>
                <w:tcPr/>
                <w:p>
                  <w:pPr>
                    <w:pStyle w:val="Compact"/>
                    <w:jc w:val="left"/>
                    <w:jc w:val="center"/>
                  </w:pPr>
                  <w:r>
                    <w:t xml:space="preserve">1d) Less extensive reduction and reworking of tools</w:t>
                  </w:r>
                </w:p>
              </w:tc>
              <w:tc>
                <w:tcPr/>
                <w:p>
                  <w:pPr>
                    <w:pStyle w:val="Compact"/>
                    <w:jc w:val="left"/>
                    <w:jc w:val="center"/>
                  </w:pPr>
                  <w:r>
                    <w:t xml:space="preserve">2d) More extensive reduction and high presence of retouch and/or tool maintenance</w:t>
                  </w:r>
                </w:p>
              </w:tc>
            </w:tr>
            <w:tr>
              <w:tc>
                <w:tcPr/>
                <w:p>
                  <w:pPr>
                    <w:pStyle w:val="Compact"/>
                    <w:jc w:val="left"/>
                    <w:jc w:val="center"/>
                  </w:pPr>
                  <w:r>
                    <w:t xml:space="preserve">1e) Higher tool typology diversity</w:t>
                  </w:r>
                </w:p>
              </w:tc>
              <w:tc>
                <w:tcPr/>
                <w:p>
                  <w:pPr>
                    <w:pStyle w:val="Compact"/>
                    <w:jc w:val="left"/>
                    <w:jc w:val="center"/>
                  </w:pPr>
                  <w:r>
                    <w:t xml:space="preserve">2e) Lower tool diversity, characterised by less specialised tool</w:t>
                  </w:r>
                </w:p>
              </w:tc>
            </w:tr>
          </w:tbl>
          <w:bookmarkEnd w:id="21"/>
          <w:p/>
        </w:tc>
      </w:tr>
    </w:tbl>
    <w:p>
      <w:pPr>
        <w:pStyle w:val="BodyText"/>
      </w:pPr>
      <w:r>
        <w:t xml:space="preserve">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 (Kuhn, 2004). When non-local raw materials are as abundant as local ones, the difference in the technological organization between these materials may be less obvious (Andrefsky, 2004).</w:t>
      </w:r>
    </w:p>
    <w:bookmarkEnd w:id="22"/>
    <w:bookmarkEnd w:id="23"/>
    <w:bookmarkStart w:id="27" w:name="materials-and-methods"/>
    <w:p>
      <w:pPr>
        <w:pStyle w:val="Heading1"/>
      </w:pPr>
      <w:r>
        <w:t xml:space="preserve">Materials and methods</w:t>
      </w:r>
    </w:p>
    <w:bookmarkStart w:id="24" w:name="site-description"/>
    <w:p>
      <w:pPr>
        <w:pStyle w:val="Heading2"/>
      </w:pPr>
      <w:r>
        <w:t xml:space="preserve">Site description</w:t>
      </w:r>
    </w:p>
    <w:p>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pPr>
        <w:pStyle w:val="BodyText"/>
      </w:pPr>
      <w:r>
        <w:t xml:space="preserve">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pPr>
        <w:pStyle w:val="BodyText"/>
      </w:pPr>
      <w:r>
        <w:t xml:space="preserve">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w:t>
      </w:r>
      <w:r>
        <w:t xml:space="preserve"> </w:t>
      </w:r>
      <w:r>
        <w:t xml:space="preserve">“</w:t>
      </w:r>
      <w:r>
        <w:t xml:space="preserve">Materials and methods</w:t>
      </w:r>
      <w:r>
        <w:t xml:space="preserve">”</w:t>
      </w:r>
      <w:r>
        <w:t xml:space="preserve">), we summarise here the results for the technological analysis of the Solutrean assemblages (levels A-C) of the Shelter (Cascalheira, 2010; Cascalheira et al., 2013) and the Proto-Solutrean assemblages (levels 4E-5) of the Terrace (Belmiro, 2020; Belmiro et al., 2021). The Gravettian occupations (Levels 6-8) of the Terrace have been recently studied, but the results remain unpublished.</w:t>
      </w:r>
    </w:p>
    <w:p>
      <w:pPr>
        <w:pStyle w:val="BodyText"/>
      </w:pPr>
      <w:r>
        <w:t xml:space="preserve">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pPr>
        <w:pStyle w:val="BodyText"/>
      </w:pPr>
      <w:r>
        <w:t xml:space="preserve">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pPr>
        <w:pStyle w:val="BodyText"/>
      </w:pPr>
      <w:r>
        <w:t xml:space="preserve">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w:t>
      </w:r>
      <w:r>
        <w:t xml:space="preserve"> </w:t>
      </w:r>
      <w:r>
        <w:t xml:space="preserve">(</w:t>
      </w:r>
      <w:r>
        <w:rPr>
          <w:b/>
          <w:bCs/>
        </w:rPr>
        <w:t xml:space="preserve">manneIntensiveSubsistencePractices2012?</w:t>
      </w:r>
      <w:r>
        <w:t xml:space="preserve">)</w:t>
      </w:r>
      <w:r>
        <w:t xml:space="preserve">. This is true for most of the occupations (levels), with exception of the Early Gravettian occupations of the Terrace area and Magdalenian occupation of the Shelter.</w:t>
      </w:r>
    </w:p>
    <w:p>
      <w:pPr>
        <w:pStyle w:val="BodyText"/>
      </w:pPr>
      <w:r>
        <w:t xml:space="preserve">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bookmarkEnd w:id="24"/>
    <w:bookmarkStart w:id="26" w:name="lithic-analysis"/>
    <w:p>
      <w:pPr>
        <w:pStyle w:val="Heading2"/>
      </w:pPr>
      <w:r>
        <w:t xml:space="preserve">Lithic analysis</w:t>
      </w:r>
    </w:p>
    <w:p>
      <w:pPr>
        <w:pStyle w:val="FirstParagraph"/>
      </w:pPr>
      <w:r>
        <w:t xml:space="preserve">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pPr>
        <w:pStyle w:val="BodyText"/>
      </w:pPr>
      <w:r>
        <w:t xml:space="preserve">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pPr>
        <w:pStyle w:val="BodyText"/>
      </w:pPr>
      <w:r>
        <w:t xml:space="preserve">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and by different researchers, a data dictionary with the variables used in this study can also be found in the Supplementary materials and in our online repository.</w:t>
      </w:r>
    </w:p>
    <w:p>
      <w:pPr>
        <w:pStyle w:val="BodyText"/>
      </w:pPr>
      <w:r>
        <w:t xml:space="preserve">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w:t>
      </w:r>
      <w:r>
        <w:t xml:space="preserve"> </w:t>
      </w:r>
      <w:r>
        <w:t xml:space="preserve">“</w:t>
      </w:r>
      <w:r>
        <w:t xml:space="preserve">ID</w:t>
      </w:r>
      <w:r>
        <w:t xml:space="preserve">”</w:t>
      </w:r>
      <w:r>
        <w:t xml:space="preserve">,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tbl>
      <w:tblPr>
        <w:tblStyle w:val="Table"/>
        <w:tblW w:type="pct" w:w="5000"/>
        <w:tblLayout w:type="fixed"/>
        <w:tblLook w:firstRow="0" w:lastRow="0" w:firstColumn="0" w:lastColumn="0" w:noHBand="0" w:noVBand="0" w:val="0000"/>
      </w:tblPr>
      <w:tblGrid>
        <w:gridCol w:w="7920"/>
      </w:tblGrid>
      <w:tr>
        <w:tc>
          <w:tcPr/>
          <w:bookmarkStart w:id="25" w:name="tbl-samples"/>
          <w:p>
            <w:pPr>
              <w:jc w:val="center"/>
            </w:pPr>
            <w:pPr>
              <w:jc w:val="start"/>
              <w:spacing w:before="200"/>
              <w:pStyle w:val="ImageCaption"/>
            </w:pPr>
            <w:r>
              <w:t xml:space="preserve">Table 2: Sample absolute number comparison between original datasets (chert and chalcedony only) for the Solutrean occupation of the Shelter area (levels A-C) published in Cascalheira (2010), the Proto-Solutrean occupation of the Terrace (levels 4E and 5) published in Belmiro et. al., (2021) and the Solutrean occupation of the Terrace (levels 6-7) and the final datasets used in the study after filtering individually plotted IDs (excluding bucket points) and merging with the geoarchaeological dataset published in Belmiro et al., (2025).</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Assemblage</w:t>
                  </w:r>
                </w:p>
              </w:tc>
              <w:tc>
                <w:tcPr/>
                <w:p>
                  <w:pPr>
                    <w:pStyle w:val="Compact"/>
                    <w:jc w:val="right"/>
                    <w:jc w:val="center"/>
                  </w:pPr>
                  <w:r>
                    <w:t xml:space="preserve">Original dataset (n)</w:t>
                  </w:r>
                </w:p>
              </w:tc>
              <w:tc>
                <w:tcPr/>
                <w:p>
                  <w:pPr>
                    <w:pStyle w:val="Compact"/>
                    <w:jc w:val="right"/>
                    <w:jc w:val="center"/>
                  </w:pPr>
                  <w:r>
                    <w:t xml:space="preserve">Merged dataset (n)</w:t>
                  </w:r>
                </w:p>
              </w:tc>
            </w:tr>
            <w:tr>
              <w:tc>
                <w:tcPr/>
                <w:p>
                  <w:pPr>
                    <w:pStyle w:val="Compact"/>
                    <w:jc w:val="left"/>
                    <w:jc w:val="center"/>
                  </w:pPr>
                  <w:r>
                    <w:t xml:space="preserve">Shelter level A-C</w:t>
                  </w:r>
                </w:p>
              </w:tc>
              <w:tc>
                <w:tcPr/>
                <w:p>
                  <w:pPr>
                    <w:pStyle w:val="Compact"/>
                    <w:jc w:val="right"/>
                    <w:jc w:val="center"/>
                  </w:pPr>
                  <w:r>
                    <w:t xml:space="preserve">3359</w:t>
                  </w:r>
                </w:p>
              </w:tc>
              <w:tc>
                <w:tcPr/>
                <w:p>
                  <w:pPr>
                    <w:pStyle w:val="Compact"/>
                    <w:jc w:val="right"/>
                    <w:jc w:val="center"/>
                  </w:pPr>
                  <w:r>
                    <w:t xml:space="preserve">910</w:t>
                  </w:r>
                </w:p>
              </w:tc>
            </w:tr>
            <w:tr>
              <w:tc>
                <w:tcPr/>
                <w:p>
                  <w:pPr>
                    <w:pStyle w:val="Compact"/>
                    <w:jc w:val="left"/>
                    <w:jc w:val="center"/>
                  </w:pPr>
                  <w:r>
                    <w:t xml:space="preserve">Terrace level 4E-5</w:t>
                  </w:r>
                </w:p>
              </w:tc>
              <w:tc>
                <w:tcPr/>
                <w:p>
                  <w:pPr>
                    <w:pStyle w:val="Compact"/>
                    <w:jc w:val="right"/>
                    <w:jc w:val="center"/>
                  </w:pPr>
                  <w:r>
                    <w:t xml:space="preserve">1821</w:t>
                  </w:r>
                </w:p>
              </w:tc>
              <w:tc>
                <w:tcPr/>
                <w:p>
                  <w:pPr>
                    <w:pStyle w:val="Compact"/>
                    <w:jc w:val="right"/>
                    <w:jc w:val="center"/>
                  </w:pPr>
                  <w:r>
                    <w:t xml:space="preserve">635</w:t>
                  </w:r>
                </w:p>
              </w:tc>
            </w:tr>
            <w:tr>
              <w:tc>
                <w:tcPr/>
                <w:p>
                  <w:pPr>
                    <w:pStyle w:val="Compact"/>
                    <w:jc w:val="left"/>
                    <w:jc w:val="center"/>
                  </w:pPr>
                  <w:r>
                    <w:t xml:space="preserve">Terrace level 6-7</w:t>
                  </w:r>
                </w:p>
              </w:tc>
              <w:tc>
                <w:tcPr/>
                <w:p>
                  <w:pPr>
                    <w:pStyle w:val="Compact"/>
                    <w:jc w:val="right"/>
                    <w:jc w:val="center"/>
                  </w:pPr>
                  <w:r>
                    <w:t xml:space="preserve">781</w:t>
                  </w:r>
                </w:p>
              </w:tc>
              <w:tc>
                <w:tcPr/>
                <w:p>
                  <w:pPr>
                    <w:pStyle w:val="Compact"/>
                    <w:jc w:val="right"/>
                    <w:jc w:val="center"/>
                  </w:pPr>
                  <w:r>
                    <w:t xml:space="preserve">766</w:t>
                  </w:r>
                </w:p>
              </w:tc>
            </w:tr>
          </w:tbl>
          <w:bookmarkEnd w:id="25"/>
          <w:p/>
        </w:tc>
      </w:tr>
    </w:tbl>
    <w:p>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frequency of cores; P3) frequency of maintenance products; P4) debitage sizes; P5) tools-to-debitage ratios; P6) core sizes; P7) blank-to-core ratios; P8) tool diversity; P9) tool specialization. Debitage and core sizes were analysed through descriptive statistics (mean and sd tables available in the SOM**) and plotted through boxplots and through non-parametric statistical analyses (Mann-Whitney U test). The ratios were obtained through the division of each group (e.g., tools by debitage and blanks by core), by chert type and assemblage. All other parameters were observed through number and percentages tables. All the analyses were done through code in R Studio.</w:t>
      </w:r>
    </w:p>
    <w:p>
      <w:pPr>
        <w:pStyle w:val="BodyText"/>
      </w:pPr>
      <w:r>
        <w:t xml:space="preserve">The entirety of the R code used for the analysis, datasets, and visual representations contained in this paper can be accessed through our online research compendium. We used the rrtools package by Marwick et al.</w:t>
      </w:r>
      <w:r>
        <w:t xml:space="preserve"> </w:t>
      </w:r>
      <w:r>
        <w:t xml:space="preserve">(</w:t>
      </w:r>
      <w:r>
        <w:rPr>
          <w:b/>
          <w:bCs/>
        </w:rPr>
        <w:t xml:space="preserve">marwickPackagingDataAnalytical2018?</w:t>
      </w:r>
      <w:r>
        <w:t xml:space="preserve">)</w:t>
      </w:r>
      <w:r>
        <w:t xml:space="preserve"> </w:t>
      </w:r>
      <w:r>
        <w:t xml:space="preserve">to create a research compendium and write a reproducible journal article. The provided files include the complete set of raw data used in the analysis, along with a custom R project</w:t>
      </w:r>
      <w:r>
        <w:t xml:space="preserve"> </w:t>
      </w:r>
      <w:r>
        <w:t xml:space="preserve">(</w:t>
      </w:r>
      <w:r>
        <w:rPr>
          <w:b/>
          <w:bCs/>
        </w:rPr>
        <w:t xml:space="preserve">wickhamPackagesOrganizeTest2015?</w:t>
      </w:r>
      <w:r>
        <w:t xml:space="preserve">)</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w:t>
      </w:r>
      <w:r>
        <w:t xml:space="preserve"> </w:t>
      </w:r>
      <w:r>
        <w:rPr>
          <w:b/>
          <w:bCs/>
        </w:rPr>
        <w:t xml:space="preserve">marwickComputationalReproducibilityArchaeological2017?</w:t>
      </w:r>
      <w:r>
        <w:t xml:space="preserve">)</w:t>
      </w:r>
      <w:r>
        <w:t xml:space="preserve">.</w:t>
      </w:r>
    </w:p>
    <w:bookmarkEnd w:id="26"/>
    <w:bookmarkEnd w:id="27"/>
    <w:bookmarkStart w:id="53" w:name="results"/>
    <w:p>
      <w:pPr>
        <w:pStyle w:val="Heading1"/>
      </w:pPr>
      <w:r>
        <w:t xml:space="preserve">Results</w:t>
      </w:r>
    </w:p>
    <w:p>
      <w:pPr>
        <w:pStyle w:val="FirstParagraph"/>
      </w:pPr>
      <w:r>
        <w:t xml:space="preserve">The results are presented following the analysis parameters, focusing on the comparison between wider chert groups (local and non-local cherts) and between assemblages. A complete description of the assemblages and detailed tables for each analysis presented in this study can be found in the supplementary materials (SOM ++).</w:t>
      </w:r>
    </w:p>
    <w:p>
      <w:pPr>
        <w:pStyle w:val="BodyText"/>
      </w:pPr>
      <w:r>
        <w:t xml:space="preserve">In all assemblages, blanks and blank fragments are the most frequent class of lithic artefacts and in all chert types (&gt;40% of the assemblages). Cores are, as expected, found in smaller percentages in all assemblages (~3-8%). Cores are present in local cherts in larger numbers than in non-local types (P2); their presence is noted in almost all non-local cherts in all assemblages, except for the TL group. In the Proto-Solutrean assemblage however, non-local chert core presence is small and limited to T7-9 (n=4 complete cores and n=2 core fragments). Albeit in very small numbers in all assemblages (n&lt;10), core preparation and maintenance products (P3) are also present in local and non-local cherts, especially in the non-local types which show the larger sample number such as T6-7. The presence of knapping by-products such as shatter is also seen in both local and non-local cherts in the Gravettian and Proto-Solutrean assemblages. Retouched tools (P1) were identified in all chert types from all studied assemblages; in general, all assemblages show a similar pattern where local cherts show smaller percentages of retouched tools than non-local cherts. However, the assemblages show clear differences in the number of retouched tools.</w:t>
      </w:r>
    </w:p>
    <w:tbl>
      <w:tblPr>
        <w:tblStyle w:val="Table"/>
        <w:tblW w:type="pct" w:w="5000"/>
        <w:tblLayout w:type="fixed"/>
        <w:tblLook w:firstRow="0" w:lastRow="0" w:firstColumn="0" w:lastColumn="0" w:noHBand="0" w:noVBand="0" w:val="0000"/>
      </w:tblPr>
      <w:tblGrid>
        <w:gridCol w:w="7920"/>
      </w:tblGrid>
      <w:tr>
        <w:tc>
          <w:tcPr/>
          <w:bookmarkStart w:id="31" w:name="fig-general-graphs"/>
          <w:p>
            <w:pPr>
              <w:pStyle w:val="Compact"/>
              <w:jc w:val="center"/>
            </w:pPr>
            <w:r>
              <w:drawing>
                <wp:inline>
                  <wp:extent cx="5943600" cy="4754880"/>
                  <wp:effectExtent b="0" l="0" r="0" t="0"/>
                  <wp:docPr descr="" title="" id="29" name="Picture"/>
                  <a:graphic>
                    <a:graphicData uri="http://schemas.openxmlformats.org/drawingml/2006/picture">
                      <pic:pic>
                        <pic:nvPicPr>
                          <pic:cNvPr descr="paper_files/figure-docx/fig-general-graphs-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Class by chert type in the Gravettian (a), Proto-Solutrean (b) and Solutrean (c) assemblages. Labels within the plots correspond to the number of artefacts within each class. Only labels of n&gt;3 are shown.</w:t>
            </w:r>
          </w:p>
          <w:bookmarkEnd w:id="31"/>
        </w:tc>
      </w:tr>
    </w:tbl>
    <w:p>
      <w:pPr>
        <w:pStyle w:val="BodyText"/>
      </w:pPr>
      <w:r>
        <w:t xml:space="preserve">The Gravettian assemblage shows higher percentages of retouched tools (~21%) than the other assemblages (&lt;10%). Detailed tables with tool typology and counts by chert type and assemblage can be found in the SOM (tables +++). Tool diversity (P8) is higher in non-local cherts in the Gravettian assemblage,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 In comparison to the Gravettian, other assemblages show smaller numbers of retouched tools. While in the Proto-Solutrean no pattern was identified between local and non-local retouched tools, in the Solutrean assemblage both tool diversity (P8) and tool specialization (P9) are higher in local cherts.</w:t>
      </w:r>
    </w:p>
    <w:p>
      <w:pPr>
        <w:pStyle w:val="BodyText"/>
      </w:pPr>
      <w:r>
        <w:t xml:space="preserve">The relation between blank and core numbers was explored through a blank-to-core ratio (P7; Figure 1 and table s++). In all assemblages, local cherts have generally smaller ratios than non-local cherts, although sample sizes for cores are variable (graph ++). For the Gravettian assemblages, the results show that non-local cherts show ratios above 7 (with the exception of T10), while local cherts have ratios located below 4. The Solutrean assemblage also shows higher ratios for non-local cherts (&gt;12), with local cherts showing ratios below 7. The Proto-Solutrean assemblage has most blank-to-core ratios below 10, except for non-local T7. However, non-local cores are poorly represented within the assemblage (table ++).</w:t>
      </w:r>
    </w:p>
    <w:tbl>
      <w:tblPr>
        <w:tblStyle w:val="Table"/>
        <w:tblW w:type="pct" w:w="5000"/>
        <w:tblLayout w:type="fixed"/>
        <w:tblLook w:firstRow="0" w:lastRow="0" w:firstColumn="0" w:lastColumn="0" w:noHBand="0" w:noVBand="0" w:val="0000"/>
      </w:tblPr>
      <w:tblGrid>
        <w:gridCol w:w="7920"/>
      </w:tblGrid>
      <w:tr>
        <w:tc>
          <w:tcPr/>
          <w:bookmarkStart w:id="35" w:name="fig-ratiobc"/>
          <w:p>
            <w:pPr>
              <w:pStyle w:val="Compact"/>
              <w:jc w:val="center"/>
            </w:pPr>
            <w:r>
              <w:drawing>
                <wp:inline>
                  <wp:extent cx="5943600" cy="4754880"/>
                  <wp:effectExtent b="0" l="0" r="0" t="0"/>
                  <wp:docPr descr="" title="" id="33" name="Picture"/>
                  <a:graphic>
                    <a:graphicData uri="http://schemas.openxmlformats.org/drawingml/2006/picture">
                      <pic:pic>
                        <pic:nvPicPr>
                          <pic:cNvPr descr="paper_files/figure-docx/fig-ratiobc-1.png" id="34"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Plotted ratios of blanks-to-core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5"/>
        </w:tc>
      </w:tr>
    </w:tbl>
    <w:p>
      <w:pPr>
        <w:pStyle w:val="BodyText"/>
      </w:pPr>
      <w:r>
        <w:t xml:space="preserve">Retouched tools were further explored through the tools-to-debitage ratio (P5; Figure 2 and table s++). In general, the result show that non-local chert types have higher retouch-to-debitage ratios than local types, albeit with differences between assemblages. The Gravettian assemblage shows the highest tool-to-debitage ratios compared to the remaining assemblages; non-local cherts show ratios above 0.9, while local cherts show values below 0.5. In the Proto-Solutrean non-local cherts show ratios between 0.3 to 0.5, while local cherts show ratios below 0.3. This pattern is less clear in the Solutrean assemblage since the ratios are the lowest of all assemblages. Non-local cherts show ratios above 0.1 (with exception of T8) while local cherts show ratios below 0.1 (with exception of the local chalcedony).</w:t>
      </w:r>
    </w:p>
    <w:tbl>
      <w:tblPr>
        <w:tblStyle w:val="Table"/>
        <w:tblW w:type="pct" w:w="5000"/>
        <w:tblLayout w:type="fixed"/>
        <w:tblLook w:firstRow="0" w:lastRow="0" w:firstColumn="0" w:lastColumn="0" w:noHBand="0" w:noVBand="0" w:val="0000"/>
      </w:tblPr>
      <w:tblGrid>
        <w:gridCol w:w="7920"/>
      </w:tblGrid>
      <w:tr>
        <w:tc>
          <w:tcPr/>
          <w:bookmarkStart w:id="39" w:name="fig-ratiotd"/>
          <w:p>
            <w:pPr>
              <w:pStyle w:val="Compact"/>
              <w:jc w:val="center"/>
            </w:pPr>
            <w:r>
              <w:drawing>
                <wp:inline>
                  <wp:extent cx="5943600" cy="4754880"/>
                  <wp:effectExtent b="0" l="0" r="0" t="0"/>
                  <wp:docPr descr="" title="" id="37" name="Picture"/>
                  <a:graphic>
                    <a:graphicData uri="http://schemas.openxmlformats.org/drawingml/2006/picture">
                      <pic:pic>
                        <pic:nvPicPr>
                          <pic:cNvPr descr="paper_files/figure-docx/fig-ratiotd-1.png" id="38"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Plotted ratios of tools-to-debitage by assemblage and by chert type. All local cherts were grouped in a single category</w:t>
            </w:r>
            <w:r>
              <w:t xml:space="preserve"> </w:t>
            </w:r>
            <w:r>
              <w:t xml:space="preserve">“</w:t>
            </w:r>
            <w:r>
              <w:t xml:space="preserve">Local</w:t>
            </w:r>
            <w:r>
              <w:t xml:space="preserve">”</w:t>
            </w:r>
            <w:r>
              <w:t xml:space="preserve">, while non-local cherts maintained their individual IDs.</w:t>
            </w:r>
          </w:p>
          <w:bookmarkEnd w:id="39"/>
        </w:tc>
      </w:tr>
    </w:tbl>
    <w:p>
      <w:pPr>
        <w:pStyle w:val="BodyText"/>
      </w:pPr>
      <w:r>
        <w:t xml:space="preserve">The sizes of blanks (P4) and cores (P6) are explored through scatterplots of width and length (Figure 3 a) and boxplots for weight (Figure 3 b); complete tables with descriptive statistics and non-parametric statistical test results can also be found in SOM ++, table s++. The scatterplots show different patterns in the several analysed classes.</w:t>
      </w:r>
    </w:p>
    <w:tbl>
      <w:tblPr>
        <w:tblStyle w:val="Table"/>
        <w:tblW w:type="pct" w:w="5000"/>
        <w:tblLayout w:type="fixed"/>
        <w:tblLook w:firstRow="0" w:lastRow="0" w:firstColumn="0" w:lastColumn="0" w:noHBand="0" w:noVBand="0" w:val="0000"/>
      </w:tblPr>
      <w:tblGrid>
        <w:gridCol w:w="7920"/>
      </w:tblGrid>
      <w:tr>
        <w:tc>
          <w:tcPr/>
          <w:bookmarkStart w:id="43" w:name="fig-gravettian-boxplots"/>
          <w:p>
            <w:pPr>
              <w:pStyle w:val="Compact"/>
              <w:jc w:val="center"/>
            </w:pPr>
            <w:r>
              <w:drawing>
                <wp:inline>
                  <wp:extent cx="5943600" cy="4754880"/>
                  <wp:effectExtent b="0" l="0" r="0" t="0"/>
                  <wp:docPr descr="" title="" id="41" name="Picture"/>
                  <a:graphic>
                    <a:graphicData uri="http://schemas.openxmlformats.org/drawingml/2006/picture">
                      <pic:pic>
                        <pic:nvPicPr>
                          <pic:cNvPr descr="paper_files/figure-docx/fig-gravettian-boxplots-1.png" id="42"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Boxplots Gravettian</w:t>
            </w:r>
          </w:p>
          <w:bookmarkEnd w:id="43"/>
        </w:tc>
      </w:tr>
    </w:tbl>
    <w:tbl>
      <w:tblPr>
        <w:tblStyle w:val="Table"/>
        <w:tblW w:type="pct" w:w="5000"/>
        <w:tblLayout w:type="fixed"/>
        <w:tblLook w:firstRow="0" w:lastRow="0" w:firstColumn="0" w:lastColumn="0" w:noHBand="0" w:noVBand="0" w:val="0000"/>
      </w:tblPr>
      <w:tblGrid>
        <w:gridCol w:w="7920"/>
      </w:tblGrid>
      <w:tr>
        <w:tc>
          <w:tcPr/>
          <w:bookmarkStart w:id="47" w:name="fig-proto-boxplots"/>
          <w:p>
            <w:pPr>
              <w:pStyle w:val="Compact"/>
              <w:jc w:val="center"/>
            </w:pPr>
            <w:r>
              <w:drawing>
                <wp:inline>
                  <wp:extent cx="5943600" cy="4754880"/>
                  <wp:effectExtent b="0" l="0" r="0" t="0"/>
                  <wp:docPr descr="" title="" id="45" name="Picture"/>
                  <a:graphic>
                    <a:graphicData uri="http://schemas.openxmlformats.org/drawingml/2006/picture">
                      <pic:pic>
                        <pic:nvPicPr>
                          <pic:cNvPr descr="paper_files/figure-docx/fig-proto-boxplots-1.png" id="46"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Boxplots Proto-solutrean.</w:t>
            </w:r>
          </w:p>
          <w:bookmarkEnd w:id="47"/>
        </w:tc>
      </w:tr>
    </w:tbl>
    <w:tbl>
      <w:tblPr>
        <w:tblStyle w:val="Table"/>
        <w:tblW w:type="pct" w:w="5000"/>
        <w:tblLayout w:type="fixed"/>
        <w:tblLook w:firstRow="0" w:lastRow="0" w:firstColumn="0" w:lastColumn="0" w:noHBand="0" w:noVBand="0" w:val="0000"/>
      </w:tblPr>
      <w:tblGrid>
        <w:gridCol w:w="7920"/>
      </w:tblGrid>
      <w:tr>
        <w:tc>
          <w:tcPr/>
          <w:bookmarkStart w:id="51" w:name="fig-solutrean-boxplots"/>
          <w:p>
            <w:pPr>
              <w:pStyle w:val="Compact"/>
              <w:jc w:val="center"/>
            </w:pPr>
            <w:r>
              <w:drawing>
                <wp:inline>
                  <wp:extent cx="5943600" cy="4754880"/>
                  <wp:effectExtent b="0" l="0" r="0" t="0"/>
                  <wp:docPr descr="" title="" id="49" name="Picture"/>
                  <a:graphic>
                    <a:graphicData uri="http://schemas.openxmlformats.org/drawingml/2006/picture">
                      <pic:pic>
                        <pic:nvPicPr>
                          <pic:cNvPr descr="paper_files/figure-docx/fig-solutrean-boxplots-1.png" id="50" name="Picture"/>
                          <pic:cNvPicPr>
                            <a:picLocks noChangeArrowheads="1" noChangeAspect="1"/>
                          </pic:cNvPicPr>
                        </pic:nvPicPr>
                        <pic:blipFill>
                          <a:blip r:embed="rId4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Boxplots Solutrean.</w:t>
            </w:r>
          </w:p>
          <w:bookmarkEnd w:id="51"/>
        </w:tc>
      </w:tr>
    </w:tbl>
    <w:p>
      <w:pPr>
        <w:pStyle w:val="BodyText"/>
      </w:pPr>
      <w:r>
        <w:t xml:space="preserve">In the Gravettian assemblage, non-local chert blanks (P4) are smaller than local chert blanks, especially regarding length (~ &lt;25 mm) and weight (&lt;5 gr), with statistically significant differences (p value of 0.00009*** and 0.012, respectively). The local chert blanks, although mostly concentrated below 25 mm width and length and with weights below 5 gr, have the largest number of outliers and variability in terms of size. The same patterns can be seen in the Proto-Solutrean assemblage, where length and weight also show statistically significant differences between chert types (0.046* and 0.004), with non-local types showing smaller values. In comparison, in the Solutrean assemblage, only non-local chert blank length seems to show statistically significant smaller values (p value of 0.0005**) than local chert blanks, being mostly concentrated below ~30 mm, while local chert blank lengths are more variable. While width seems to be more variable in both local and non-local chert blanks, the statistical analysis shows that non-local chert width is significantly higher than local chert blanks (p value of 0.02).</w:t>
      </w:r>
    </w:p>
    <w:p>
      <w:pPr>
        <w:pStyle w:val="BodyText"/>
      </w:pPr>
      <w:r>
        <w:t xml:space="preserve">Regarding cores (P6), the differences in sizes and weights seem between local and non-local cherts seem to be less obvious than those observed in blanks. In the Gravettian assemblage, there is a cluster of non-local chert cores below the 25 mm width and length, while in general, local chert cores seem to be more variable. Especially regarding weight, T6 cores (non-local) show lighter cores (~12 gr means) compared to local cherts. In the Solutrean assemblage, weight is the only measurement where differences can be seen between local and non-local chert cores; similarly to the Gravettian assemblage, T6 cores show slightly smaller cores (~18 gr means) than local cherts (~22 gr means). Despite these differences, the statistical tests applied to the dimensions between local and non-local chert cores show no statistically significant differences between the groups (p &gt; 0.05). The Proto-Solutrean assemblage shows a small sample of non-local chert cores (n=4), not allowing a clear identification of patterns between the groups; alike the other assemblage however, local chert cores show a high range of sizes (~15-50 mm width and length) and weights (~3-85 gr).</w:t>
      </w:r>
    </w:p>
    <w:p>
      <w:pPr>
        <w:pStyle w:val="BodyText"/>
      </w:pPr>
      <w:r>
        <w:t xml:space="preserve">Following the analysis parameters previously described, the summarised results for each parameter can be found in</w:t>
      </w:r>
      <w:r>
        <w:t xml:space="preserve"> </w:t>
      </w:r>
      <w:hyperlink w:anchor="tbl-results-sum">
        <w:r>
          <w:rPr>
            <w:rStyle w:val="Hyperlink"/>
          </w:rPr>
          <w:t xml:space="preserve">Table 3</w:t>
        </w:r>
      </w:hyperlink>
      <w:r>
        <w:t xml:space="preserve">, and can be summarised as follows:</w:t>
      </w:r>
    </w:p>
    <w:p>
      <w:pPr>
        <w:pStyle w:val="BodyText"/>
      </w:pPr>
      <w:r>
        <w:t xml:space="preserve">In the Gravettian assemblage, retouched tools (P1) are present in higher frequencies in the non-local cherts, as well as in core preparation and maintenance products (P3). Cores are present in even in non-local chert types (P2). Debitage sizes (P4) show smaller sizes and weights for non-local cherts. Tools-to-debitage ratios (P5) are significantly higher in non-local cherts. Core sizes (P6) are slightly smaller in T6, a non-local chert, and the blank-to-core ratios (P7) are higher in non-local cherts.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p>
      <w:pPr>
        <w:pStyle w:val="BodyText"/>
      </w:pPr>
      <w:r>
        <w:t xml:space="preserve">The Proto-Solutrean assemblages show a smaller presence of retouched tools than the Gravettian, and within the assemblage, retouched tools (P1) are slightly more frequent in non-local cherts. Cores of non-local chert types are found in very small numbers (P2), although knapping is likely occurring on site. Core preparation and maintenance products (P3) are only present in non-local cherts, albeit in very small numbers (n=2). Blank sizes (P4) and core sizes (P6) are slightly smaller in non-local cherts. Regarding the ratios, tool-to-debitage ratios (P5) are higher in non-local cherts, albeit smaller than those seen in the Gravettian assemblage, and blank-to-core ratios (P7) are also higher in non-local cherts. Little differences were observed in tool diversity (P8) and specialisation (P9) between local and non-local cherts.</w:t>
      </w:r>
    </w:p>
    <w:p>
      <w:pPr>
        <w:pStyle w:val="BodyText"/>
      </w:pPr>
      <w:r>
        <w:t xml:space="preserve">Finally, the Solutrean shows no relevant differences in the frequencies of retouched tools (P1) and core preparation and maintenance products (P2) between local and non-local cherts, with only slightly higher frequencies in the non-local cherts. In general, the retouch frequency is lower than that observed in the previous assemblages. Cores are present in relevant quantities in non-local chert types (P2). Debitage (P4) mass is slightly smaller in non-local cherts, although with larger widths. Core (P6) sizes show slightly smaller values for T6. Similarly to the Proto-Solutrean, tools-to-debitage ratios (P5) and blank-to-core ratios (P7) are slightly higher in non-local cherts. Both tool diversity (P8) and tool specialization (P9) are higher in local cherts.</w:t>
      </w:r>
    </w:p>
    <w:tbl>
      <w:tblPr>
        <w:tblStyle w:val="Table"/>
        <w:tblW w:type="pct" w:w="5000"/>
        <w:tblLayout w:type="fixed"/>
        <w:tblLook w:firstRow="0" w:lastRow="0" w:firstColumn="0" w:lastColumn="0" w:noHBand="0" w:noVBand="0" w:val="0000"/>
      </w:tblPr>
      <w:tblGrid>
        <w:gridCol w:w="7920"/>
      </w:tblGrid>
      <w:tr>
        <w:tc>
          <w:tcPr/>
          <w:bookmarkStart w:id="52" w:name="tbl-results-sum"/>
          <w:p>
            <w:pPr>
              <w:jc w:val="center"/>
            </w:pPr>
            <w:pPr>
              <w:jc w:val="start"/>
              <w:spacing w:before="200"/>
              <w:pStyle w:val="ImageCaption"/>
            </w:pPr>
            <w:r>
              <w:t xml:space="preserve">Table 3: Summarised results for analysis parameters. Gr: Gravettian; Pr: Proto-Solutrean; So: Solutrean; Exp: Expectations; L: Local; NL: Non-local.</w:t>
            </w:r>
          </w:p>
          <w:tbl>
            <w:tblPr>
              <w:tblStyle w:val="Table"/>
              <w:tblW w:type="pct" w:w="5000"/>
              <w:tblLayout w:type="fixed"/>
              <w:tblLook w:firstRow="1" w:lastRow="0" w:firstColumn="0" w:lastColumn="0" w:noHBand="0" w:noVBand="0" w:val="0020"/>
            </w:tblPr>
            <w:tblGrid>
              <w:gridCol w:w="2584"/>
              <w:gridCol w:w="750"/>
              <w:gridCol w:w="666"/>
              <w:gridCol w:w="750"/>
              <w:gridCol w:w="666"/>
              <w:gridCol w:w="583"/>
              <w:gridCol w:w="833"/>
              <w:gridCol w:w="500"/>
              <w:gridCol w:w="583"/>
            </w:tblGrid>
            <w:tr>
              <w:trPr>
                <w:tblHeader w:val="on"/>
              </w:trPr>
              <w:tc>
                <w:tcPr/>
                <w:p>
                  <w:pPr>
                    <w:pStyle w:val="Compact"/>
                    <w:jc w:val="left"/>
                    <w:jc w:val="center"/>
                  </w:pPr>
                  <w:r>
                    <w:t xml:space="preserve">Parameters</w:t>
                  </w:r>
                </w:p>
              </w:tc>
              <w:tc>
                <w:tcPr/>
                <w:p>
                  <w:pPr>
                    <w:pStyle w:val="Compact"/>
                    <w:jc w:val="left"/>
                    <w:jc w:val="center"/>
                  </w:pPr>
                  <w:r>
                    <w:t xml:space="preserve">Gr L</w:t>
                  </w:r>
                </w:p>
              </w:tc>
              <w:tc>
                <w:tcPr/>
                <w:p>
                  <w:pPr>
                    <w:pStyle w:val="Compact"/>
                    <w:jc w:val="left"/>
                    <w:jc w:val="center"/>
                  </w:pPr>
                  <w:r>
                    <w:t xml:space="preserve">Gr NL</w:t>
                  </w:r>
                </w:p>
              </w:tc>
              <w:tc>
                <w:tcPr/>
                <w:p>
                  <w:pPr>
                    <w:pStyle w:val="Compact"/>
                    <w:jc w:val="left"/>
                    <w:jc w:val="center"/>
                  </w:pPr>
                  <w:r>
                    <w:t xml:space="preserve">Pr L</w:t>
                  </w:r>
                </w:p>
              </w:tc>
              <w:tc>
                <w:tcPr/>
                <w:p>
                  <w:pPr>
                    <w:pStyle w:val="Compact"/>
                    <w:jc w:val="left"/>
                    <w:jc w:val="center"/>
                  </w:pPr>
                  <w:r>
                    <w:t xml:space="preserve">Pr NL</w:t>
                  </w:r>
                </w:p>
              </w:tc>
              <w:tc>
                <w:tcPr/>
                <w:p>
                  <w:pPr>
                    <w:pStyle w:val="Compact"/>
                    <w:jc w:val="left"/>
                    <w:jc w:val="center"/>
                  </w:pPr>
                  <w:r>
                    <w:t xml:space="preserve">So L</w:t>
                  </w:r>
                </w:p>
              </w:tc>
              <w:tc>
                <w:tcPr/>
                <w:p>
                  <w:pPr>
                    <w:pStyle w:val="Compact"/>
                    <w:jc w:val="left"/>
                    <w:jc w:val="center"/>
                  </w:pPr>
                  <w:r>
                    <w:t xml:space="preserve">So NL</w:t>
                  </w:r>
                </w:p>
              </w:tc>
              <w:tc>
                <w:tcPr/>
                <w:p>
                  <w:pPr>
                    <w:pStyle w:val="Compact"/>
                    <w:jc w:val="left"/>
                    <w:jc w:val="center"/>
                  </w:pPr>
                  <w:r>
                    <w:t xml:space="preserve">Exp L</w:t>
                  </w:r>
                </w:p>
              </w:tc>
              <w:tc>
                <w:tcPr/>
                <w:p>
                  <w:pPr>
                    <w:pStyle w:val="Compact"/>
                    <w:jc w:val="left"/>
                    <w:jc w:val="center"/>
                  </w:pPr>
                  <w:r>
                    <w:t xml:space="preserve">Exp NL</w:t>
                  </w:r>
                </w:p>
              </w:tc>
            </w:tr>
            <w:tr>
              <w:tc>
                <w:tcPr/>
                <w:p>
                  <w:pPr>
                    <w:pStyle w:val="Compact"/>
                    <w:jc w:val="left"/>
                    <w:jc w:val="center"/>
                  </w:pPr>
                  <w:r>
                    <w:t xml:space="preserve">P1: retouched tool %</w:t>
                  </w:r>
                </w:p>
              </w:tc>
              <w:tc>
                <w:tcPr/>
                <w:p>
                  <w:pPr>
                    <w:pStyle w:val="Compact"/>
                    <w:jc w:val="left"/>
                    <w:jc w:val="center"/>
                  </w:pPr>
                  <w:r>
                    <w:t xml:space="preserve">~12-18%</w:t>
                  </w:r>
                </w:p>
              </w:tc>
              <w:tc>
                <w:tcPr/>
                <w:p>
                  <w:pPr>
                    <w:pStyle w:val="Compact"/>
                    <w:jc w:val="left"/>
                    <w:jc w:val="center"/>
                  </w:pPr>
                  <w:r>
                    <w:t xml:space="preserve">~30%</w:t>
                  </w:r>
                </w:p>
              </w:tc>
              <w:tc>
                <w:tcPr/>
                <w:p>
                  <w:pPr>
                    <w:pStyle w:val="Compact"/>
                    <w:jc w:val="left"/>
                    <w:jc w:val="center"/>
                  </w:pPr>
                  <w:r>
                    <w:t xml:space="preserve">5-15%</w:t>
                  </w:r>
                </w:p>
              </w:tc>
              <w:tc>
                <w:tcPr/>
                <w:p>
                  <w:pPr>
                    <w:pStyle w:val="Compact"/>
                    <w:jc w:val="left"/>
                    <w:jc w:val="center"/>
                  </w:pPr>
                  <w:r>
                    <w:t xml:space="preserve">~17-23%</w:t>
                  </w:r>
                </w:p>
              </w:tc>
              <w:tc>
                <w:tcPr/>
                <w:p>
                  <w:pPr>
                    <w:pStyle w:val="Compact"/>
                    <w:jc w:val="left"/>
                    <w:jc w:val="center"/>
                  </w:pPr>
                  <w:r>
                    <w:t xml:space="preserve">~3%</w:t>
                  </w:r>
                </w:p>
              </w:tc>
              <w:tc>
                <w:tcPr/>
                <w:p>
                  <w:pPr>
                    <w:pStyle w:val="Compact"/>
                    <w:jc w:val="left"/>
                    <w:jc w:val="center"/>
                  </w:pPr>
                  <w:r>
                    <w:t xml:space="preserve">&lt;10%</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P2: maintenance products %</w:t>
                  </w:r>
                </w:p>
              </w:tc>
              <w:tc>
                <w:tcPr/>
                <w:p>
                  <w:pPr>
                    <w:pStyle w:val="Compact"/>
                    <w:jc w:val="left"/>
                    <w:jc w:val="center"/>
                  </w:pPr>
                  <w:r>
                    <w:t xml:space="preserve">&lt;2%</w:t>
                  </w:r>
                </w:p>
              </w:tc>
              <w:tc>
                <w:tcPr/>
                <w:p>
                  <w:pPr>
                    <w:pStyle w:val="Compact"/>
                    <w:jc w:val="left"/>
                    <w:jc w:val="center"/>
                  </w:pPr>
                  <w:r>
                    <w:t xml:space="preserve">&lt;4%</w:t>
                  </w:r>
                </w:p>
              </w:tc>
              <w:tc>
                <w:tcPr/>
                <w:p>
                  <w:pPr>
                    <w:pStyle w:val="Compact"/>
                    <w:jc w:val="left"/>
                    <w:jc w:val="center"/>
                  </w:pPr>
                  <w:r>
                    <w:t xml:space="preserve">0%</w:t>
                  </w:r>
                </w:p>
              </w:tc>
              <w:tc>
                <w:tcPr/>
                <w:p>
                  <w:pPr>
                    <w:pStyle w:val="Compact"/>
                    <w:jc w:val="left"/>
                    <w:jc w:val="center"/>
                  </w:pPr>
                  <w:r>
                    <w:t xml:space="preserve">&lt;1%</w:t>
                  </w:r>
                </w:p>
              </w:tc>
              <w:tc>
                <w:tcPr/>
                <w:p>
                  <w:pPr>
                    <w:pStyle w:val="Compact"/>
                    <w:jc w:val="left"/>
                    <w:jc w:val="center"/>
                  </w:pPr>
                  <w:r>
                    <w:t xml:space="preserve">1.30%</w:t>
                  </w:r>
                </w:p>
              </w:tc>
              <w:tc>
                <w:tcPr/>
                <w:p>
                  <w:pPr>
                    <w:pStyle w:val="Compact"/>
                    <w:jc w:val="left"/>
                    <w:jc w:val="center"/>
                  </w:pPr>
                  <w:r>
                    <w:t xml:space="preserve">3.5% (T6)</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P3: debitage sizes - flakes</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P3: debitage sizes - elongated</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w:t>
                  </w:r>
                </w:p>
              </w:tc>
              <w:tc>
                <w:tcPr/>
                <w:p>
                  <w:pPr>
                    <w:pStyle w:val="Compact"/>
                    <w:jc w:val="left"/>
                    <w:jc w:val="center"/>
                  </w:pPr>
                  <w:r>
                    <w:t xml:space="preserve">&lt;=</w:t>
                  </w:r>
                </w:p>
              </w:tc>
              <w:tc>
                <w:tcPr/>
                <w:p>
                  <w:pPr>
                    <w:pStyle w:val="Compact"/>
                    <w:jc w:val="left"/>
                    <w:jc w:val="center"/>
                  </w:pPr>
                  <w:r>
                    <w:t xml:space="preserve">&gt; (T2)</w:t>
                  </w:r>
                </w:p>
              </w:tc>
              <w:tc>
                <w:tcPr/>
                <w:p>
                  <w:pPr>
                    <w:pStyle w:val="Compact"/>
                    <w:jc w:val="left"/>
                    <w:jc w:val="center"/>
                  </w:pPr>
                  <w:r>
                    <w:t xml:space="preserve">&lt; (T6)</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P4: tools-to-debitage ratio</w:t>
                  </w:r>
                </w:p>
              </w:tc>
              <w:tc>
                <w:tcPr/>
                <w:p>
                  <w:pPr>
                    <w:pStyle w:val="Compact"/>
                    <w:jc w:val="left"/>
                    <w:jc w:val="center"/>
                  </w:pPr>
                  <w:r>
                    <w:t xml:space="preserve">0.25-0.5</w:t>
                  </w:r>
                </w:p>
              </w:tc>
              <w:tc>
                <w:tcPr/>
                <w:p>
                  <w:pPr>
                    <w:pStyle w:val="Compact"/>
                    <w:jc w:val="left"/>
                    <w:jc w:val="center"/>
                  </w:pPr>
                  <w:r>
                    <w:t xml:space="preserve">0.9-1.0</w:t>
                  </w:r>
                </w:p>
              </w:tc>
              <w:tc>
                <w:tcPr/>
                <w:p>
                  <w:pPr>
                    <w:pStyle w:val="Compact"/>
                    <w:jc w:val="left"/>
                    <w:jc w:val="center"/>
                  </w:pPr>
                  <w:r>
                    <w:t xml:space="preserve">&lt;0.1-0.2</w:t>
                  </w:r>
                </w:p>
              </w:tc>
              <w:tc>
                <w:tcPr/>
                <w:p>
                  <w:pPr>
                    <w:pStyle w:val="Compact"/>
                    <w:jc w:val="left"/>
                    <w:jc w:val="center"/>
                  </w:pPr>
                  <w:r>
                    <w:t xml:space="preserve">0.3-0.5</w:t>
                  </w:r>
                </w:p>
              </w:tc>
              <w:tc>
                <w:tcPr/>
                <w:p>
                  <w:pPr>
                    <w:pStyle w:val="Compact"/>
                    <w:jc w:val="left"/>
                    <w:jc w:val="center"/>
                  </w:pPr>
                  <w:r>
                    <w:t xml:space="preserve">&lt;0.1</w:t>
                  </w:r>
                </w:p>
              </w:tc>
              <w:tc>
                <w:tcPr/>
                <w:p>
                  <w:pPr>
                    <w:pStyle w:val="Compact"/>
                    <w:jc w:val="left"/>
                    <w:jc w:val="center"/>
                  </w:pPr>
                  <w:r>
                    <w:t xml:space="preserve">0.1-0.3</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P5: core sizes</w:t>
                  </w:r>
                </w:p>
              </w:tc>
              <w:tc>
                <w:tcPr/>
                <w:p>
                  <w:pPr>
                    <w:pStyle w:val="Compact"/>
                    <w:jc w:val="left"/>
                    <w:jc w:val="center"/>
                  </w:pPr>
                  <w:r>
                    <w:t xml:space="preserve">&gt; (T2)</w:t>
                  </w:r>
                </w:p>
              </w:tc>
              <w:tc>
                <w:tcPr/>
                <w:p>
                  <w:pPr>
                    <w:pStyle w:val="Compact"/>
                    <w:jc w:val="left"/>
                    <w:jc w:val="center"/>
                  </w:pPr>
                  <w:r>
                    <w:t xml:space="preserve">&lt; (T6)</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&gt; </w:t>
                  </w:r>
                </w:p>
              </w:tc>
              <w:tc>
                <w:tcPr/>
                <w:p>
                  <w:pPr>
                    <w:pStyle w:val="Compact"/>
                    <w:jc w:val="left"/>
                    <w:jc w:val="center"/>
                  </w:pPr>
                  <w:r>
                    <w:t xml:space="preserve">&lt; </w:t>
                  </w:r>
                </w:p>
              </w:tc>
              <w:tc>
                <w:tcPr/>
                <w:p>
                  <w:pPr>
                    <w:pStyle w:val="Compact"/>
                    <w:jc w:val="left"/>
                    <w:jc w:val="center"/>
                  </w:pPr>
                  <w:r>
                    <w:t xml:space="preserve">-</w:t>
                  </w:r>
                </w:p>
              </w:tc>
              <w:tc>
                <w:tcPr/>
                <w:p>
                  <w:pPr>
                    <w:pStyle w:val="Compact"/>
                    <w:jc w:val="left"/>
                    <w:jc w:val="center"/>
                  </w:pPr>
                  <w:r>
                    <w:t xml:space="preserve">+</w:t>
                  </w:r>
                </w:p>
              </w:tc>
            </w:tr>
          </w:tbl>
          <w:bookmarkEnd w:id="52"/>
          <w:p/>
        </w:tc>
      </w:tr>
    </w:tbl>
    <w:bookmarkEnd w:id="53"/>
    <w:bookmarkStart w:id="55" w:name="discussion"/>
    <w:p>
      <w:pPr>
        <w:pStyle w:val="Heading1"/>
      </w:pPr>
      <w:r>
        <w:t xml:space="preserve">Discussion</w:t>
      </w:r>
    </w:p>
    <w:p>
      <w:pPr>
        <w:pStyle w:val="FirstParagraph"/>
      </w:pPr>
      <w:r>
        <w:t xml:space="preserve">In general, the obtained results seem to fit the study expectations. The Gravettian assemblage seems to show agreement with most of the expectations (table **). Although ~50% of the assemblage is composed of non-local raw materials, making them as frequent as the local cherts, non-local cherts, especially T6 and T7 show differential techno-typological patterns from the local raw materials. Only in expectation e) there seems to be a difference from the expected outcome.</w:t>
      </w:r>
    </w:p>
    <w:p>
      <w:pPr>
        <w:pStyle w:val="BodyText"/>
      </w:pPr>
      <w:r>
        <w:t xml:space="preserve">In this sense, it would be expected a lower typological diversity from non-local cherts, since the distance to source and inferred mobility would assume that less specialized tools would be more adequate for several use-case scenarios; instead, our results show higher tool diversity in non-local cherts. However, this scenario also implies that tools are being transported as either less specialized tools or even blanks which are then maintained. Instead, our results also suggest that the long-distance raw materials, especially T6 and T7, are being knapped at the site. As such, the high diversity of tool typology may simply be a reflection of the transportation of volumes and their knapping on site, a possible preference for these raw materials for the production of retouched tools, and thus their high typological variability. Despite this high variability however, less specialized tools such as retouched blanks are still predominant in non-local cherts, as well as specialized tools such as backed bladelets, giving weight to the interpretation that given the possible ease of access to these raw materials, either through high-mobility or exchanged between groups, these were knapped on site, but with longer use-lives, extensive reduction and high presence of retouch and formal tools.</w:t>
      </w:r>
    </w:p>
    <w:p>
      <w:pPr>
        <w:pStyle w:val="BodyText"/>
      </w:pPr>
      <w:r>
        <w:t xml:space="preserve">Similarly, the Proto-Solutrean assemblage shows only disagreement with the expected outcomes within the variability of retouched tools (expectation e and P8-9) and possibly the focus on maintenance and prolonging use-lives of tools (expectation a), especially concerning P2. Unlike expected, there are little differences in the amount and type of retouched tool types between local and non-local raw materials. Unlike the Gravettian occupation, however, retouched tools are overall not well-represented in the assemblage. It is key to notice, however, that the Proto-Solutrean occupation of Vale Boi seemed to introduce other raw materials, such as quartz or dolerite, to the production of retouched tools. Although knapping strategies seemed to be overall simpler (e.g., simple platform cores in quartz), splintered pieces are highly represented in quartz. In opposition, most endscrapers are made of chert (Belmiro et al., 2021), while the majority of Vale Comprido points are found in dolerite (Belmiro et al., 2021; Marreiros, 2009). These patterns, then, may correspond to a specialisation of tool production to the type of raw material itself (whether quartz, chert or dolerite), thus making chert, retouched tool variability patterns similar and unrelated to distance of source. Regarding P2, although there is a slightly higher presence of core preparation and maintenance products in non-local cherts, there is an overall lack of this class of artefacts. This means that for the Proto-Solutrean assemblage of Vale Boi, core maintenance variables are not adequate to discern differences between local and non-local raw materials, since these knapping strategies were not consistently used during this chronology.</w:t>
      </w:r>
    </w:p>
    <w:p>
      <w:pPr>
        <w:pStyle w:val="BodyText"/>
      </w:pPr>
      <w:r>
        <w:t xml:space="preserve">Finally, the Solutrean assemblages also show only two parameters that disagree with the expectations: debitage sizes (P3) and retouched tool sizes (P7). Flakes show no differences in dimensions and weight between local and non-local raw materials. This may be related to the production process of Solutrean points, which may start with larger flakes or elongated products that are then reconfigured to the desired product, thus producing similar discarded flakes in all chert types. However, elongated blanks do follow the expected patterns, with non-local cherts having smaller products and local cherts. This may mean that non-local cherts, especially T6, are being further reduced in specific strategies for the production of elongated products, thus leading to different patterns between these two classes of blanks. The sizes of retouched tools, alike flakes, also show no relevant differences between local and non-local. However, this variable may not be adequate for the present study, especially regarding the size measurements; both width and length are used for scatterplots, however, the technological database used in this study is missing specific measurements (especially length) for typologies of retouched tools. As such, the scatterplots are further truncated by the difference in analysis methodology, making this pattern possibly invalid.</w:t>
      </w:r>
    </w:p>
    <w:p>
      <w:pPr>
        <w:pStyle w:val="BodyText"/>
      </w:pPr>
      <w:r>
        <w:t xml:space="preserve">Aside from the specific expectations for the treatment of local and non-local cherts within each assemblage, when comparing between technocomplexes, a few key patterns also stand out. Chert retouched tools are present in higher percentages in the Gravettian assemblages (~22%) than in the Proto-Solutrean and Solutrean assemblages (&lt;10%). This is also clear through the tool-to-debitage ratios, which are higher in the Gravettian assemblage (</w:t>
      </w:r>
      <w:hyperlink w:anchor="fig-ratiotd">
        <w:r>
          <w:rPr>
            <w:rStyle w:val="Hyperlink"/>
          </w:rPr>
          <w:t xml:space="preserve">Figure 3</w:t>
        </w:r>
      </w:hyperlink>
      <w:r>
        <w:t xml:space="preserve">).</w:t>
      </w:r>
    </w:p>
    <w:p>
      <w:pPr>
        <w:pStyle w:val="BodyText"/>
      </w:pPr>
      <w:r>
        <w:t xml:space="preserve">There are little differences in the general size and weight of the artifacts between assemblages. For example, for key classes where size and weight differences could be expected (e.g., cores), the length measurements are mostly all located between 20-40 mm and weight between 10-40 gr. The major differences seem to be explained better by bigger cores in local chert types and smaller cores for non-local chert types. However, a few key differences were noted. T4 cores (the chert type most frequent in the Proto-Solutrean assemblage) shows the largest weights of cores of all assemblages, both in the Solutrean and Proto-Solutrean assemblage, as well as T5 in the Solutrean assemblage. T6 and T7 have consistently the smaller weights, especially compared to T2 during the Proto-Solutrean and Gravettian, which shows slightly higher weights. This consistency in artefact size throughout the assemblages may be explained by a combination of local lithic resource availability and transport and knapping strategies focusing on intensive reduction and maintenance of non-local raw materials. Belmiro et al. (2023) highlight the small size of chert nodules (usually between ~5-10 cm with a maximum of 20 cm of diameter) in the Algarve region. Although abundant and possibly available throughout all of the UP, given their location in accessible cliffs, these lithic resources are often small and fracture easily when obtained directly from the source. Given the possibly initial small size of the local chert nodules, it may be possible that the small artefact sizes are related not to intensive knapping of the nodules, but to the initial size of the knapped volumes. This is also supported by the lower blank-to-core ratios seen in local raw materials.</w:t>
      </w:r>
    </w:p>
    <w:p>
      <w:pPr>
        <w:pStyle w:val="BodyText"/>
      </w:pPr>
      <w:r>
        <w:t xml:space="preserve">In comparison, at least for T6 cherts from central Portugal (for which we have a comparable reference collection of unknapped volumes collected from secondary sources), the initial volumes are frequently larger (&gt;20 cm), although smaller nodules can also be found. This suggests that the small artefact sizes of this non-local resource are not necessarily a product of resource availability but an intentional choice of either transportability of smaller volumes/nodules, knapping strategies focused on intensive reduction and maintenance, or both. This is also supported by the higher blank-to-core and tool-to-debitage ratios seen in non-local raw materials, especially T6.</w:t>
      </w:r>
    </w:p>
    <w:p>
      <w:pPr>
        <w:pStyle w:val="BodyText"/>
      </w:pPr>
      <w:r>
        <w:t xml:space="preserve">A key interpretation can be derived. Cores, shatter and debitage are present even in non-local chert types (excluding the TL category), meaning although possibly coming from long-distance (e.g., T6 and T7 with sources over ~200 km, as the crow flies), these raw materials were being introduced to the site as knappable volumes and not only as finished products. This has also been previously suggested, based on the presence of cortex attributed to small transport distances from source to procurement area, in non-local cherts in all assemblages (Belmiro et al., 2025).</w:t>
      </w:r>
    </w:p>
    <w:bookmarkStart w:id="54" w:name="some-extra-notes-and-structure"/>
    <w:p>
      <w:pPr>
        <w:pStyle w:val="Heading2"/>
      </w:pPr>
      <w:r>
        <w:t xml:space="preserve">Some extra notes and structure</w:t>
      </w:r>
    </w:p>
    <w:p>
      <w:pPr>
        <w:pStyle w:val="Compact"/>
        <w:numPr>
          <w:ilvl w:val="0"/>
          <w:numId w:val="1001"/>
        </w:numPr>
      </w:pPr>
      <w:r>
        <w:t xml:space="preserve">Goals of the study</w:t>
      </w:r>
    </w:p>
    <w:p>
      <w:pPr>
        <w:pStyle w:val="Compact"/>
        <w:numPr>
          <w:ilvl w:val="0"/>
          <w:numId w:val="1001"/>
        </w:numPr>
      </w:pPr>
      <w:r>
        <w:t xml:space="preserve">Parameters studied</w:t>
      </w:r>
    </w:p>
    <w:p>
      <w:pPr>
        <w:pStyle w:val="Compact"/>
        <w:numPr>
          <w:ilvl w:val="0"/>
          <w:numId w:val="1001"/>
        </w:numPr>
      </w:pPr>
      <w:r>
        <w:t xml:space="preserve">Summary of the results based on expectations</w:t>
      </w:r>
    </w:p>
    <w:p>
      <w:pPr>
        <w:pStyle w:val="Compact"/>
        <w:numPr>
          <w:ilvl w:val="0"/>
          <w:numId w:val="1001"/>
        </w:numPr>
      </w:pPr>
      <w:r>
        <w:t xml:space="preserve">How they fit within the expectations + how they differ by assemblage</w:t>
      </w:r>
    </w:p>
    <w:p>
      <w:pPr>
        <w:pStyle w:val="Compact"/>
        <w:numPr>
          <w:ilvl w:val="0"/>
          <w:numId w:val="1001"/>
        </w:numPr>
      </w:pPr>
      <w:r>
        <w:t xml:space="preserve">General differences between expectations</w:t>
      </w:r>
    </w:p>
    <w:p>
      <w:pPr>
        <w:pStyle w:val="Compact"/>
        <w:numPr>
          <w:ilvl w:val="0"/>
          <w:numId w:val="1001"/>
        </w:numPr>
      </w:pPr>
      <w:r>
        <w:t xml:space="preserve">Interpretation of chert procurement and management, and changes through time + settlement changes</w:t>
      </w:r>
    </w:p>
    <w:p>
      <w:pPr>
        <w:pStyle w:val="FirstParagraph"/>
      </w:pPr>
      <w:r>
        <w:t xml:space="preserve">When groups move to areas where raw materials are scarcer or of poorer quality (understanding that poorer quality may not mean they are bad quality, simply not as good quality as the raw materials group have current access), more effort is placed in the preparation of transportable cores and tools (Kelly, 1988). This may be the case for the Gravettian assemblage; not only is the percentage of tools high, large enough volumes of stone were transported to the site and knapped, but also high frequency of burins, which may have also been a technological choice to obtain elongated products in an efficient way. There seems to be an effort in transporting raw materials of known good quality in transportable yet adaptable shapes to later shape and use.</w:t>
      </w:r>
    </w:p>
    <w:p>
      <w:pPr>
        <w:pStyle w:val="BodyText"/>
      </w:pPr>
      <w:r>
        <w:t xml:space="preserve">It would be also expected that whenever groups have easy access to good quality, non-local raw materials, either due to high mobility or exchanges between groups, these resources become more abundant in the assemblage, but also be less extensively used (Andrefsky, 1994). The idea is that the patterns of non-local raw material use are based on their conservation due to cost of procurement; when that cost is reduced, so is the necessity to conserve the resources, and thus the expected patterns may not be as clear. Despite the high frequency of non-local raw materials, which implies some sort of ease of access to non-local raw materials of good quality, probably due to high residential mobility, the assemblage still shows conservation of raw materials. This is seen in the high frequence of retouched tools and high ratios of tool to debitage when compared to local raw materials. Artefact sizes are also smaller in non-local raw materials then local raw materials and blank-to-core ratios are higher, showing that these non-local raw materials were extensively used. This shows that access to non-local raw materials, making them highly represented in the assemblage, especially the cherts from central Portugal (T6), did not impact the patterns expected for the treatment of non-local raw materials.</w:t>
      </w:r>
    </w:p>
    <w:p>
      <w:pPr>
        <w:pStyle w:val="BodyText"/>
      </w:pPr>
      <w:r>
        <w:t xml:space="preserve">A strategy used to raw material transportation is stockpilling lithic raw materials in various production stages, thus reducing the need for extensive lithic production and tool reworking (Kuhn, 2004). Longer-term residential occupations occupations are more likely to involve stockpilling strategies and reduced investment in tool maintenance (Bamforth, 1990). This would create assemblages with more blanks, less maintenance products and less retouched tools such as retouched flakes. However, even with stockpilling,</w:t>
      </w:r>
    </w:p>
    <w:bookmarkEnd w:id="54"/>
    <w:bookmarkEnd w:id="55"/>
    <w:bookmarkStart w:id="56" w:name="conclusion"/>
    <w:p>
      <w:pPr>
        <w:pStyle w:val="Heading1"/>
      </w:pPr>
      <w:r>
        <w:t xml:space="preserve">Conclusion</w:t>
      </w:r>
    </w:p>
    <w:bookmarkEnd w:id="56"/>
    <w:bookmarkStart w:id="57" w:name="acknowledgements"/>
    <w:p>
      <w:pPr>
        <w:pStyle w:val="Heading1"/>
      </w:pPr>
      <w:r>
        <w:t xml:space="preserve">Acknowledgements</w:t>
      </w:r>
    </w:p>
    <w:p>
      <w:r>
        <w:br w:type="page"/>
      </w:r>
    </w:p>
    <w:bookmarkEnd w:id="57"/>
    <w:bookmarkStart w:id="60" w:name="references"/>
    <w:p>
      <w:pPr>
        <w:pStyle w:val="Heading1"/>
      </w:pPr>
      <w:r>
        <w:t xml:space="preserve">References</w:t>
      </w:r>
    </w:p>
    <w:bookmarkStart w:id="58" w:name="refs"/>
    <w:bookmarkEnd w:id="58"/>
    <w:p>
      <w:r>
        <w:br w:type="page"/>
      </w:r>
    </w:p>
    <w:bookmarkStart w:id="59" w:name="colophon"/>
    <w:p>
      <w:pPr>
        <w:pStyle w:val="Heading3"/>
      </w:pPr>
      <w:r>
        <w:t xml:space="preserve">Colophon</w:t>
      </w:r>
    </w:p>
    <w:p>
      <w:pPr>
        <w:pStyle w:val="FirstParagraph"/>
      </w:pPr>
      <w:r>
        <w:t xml:space="preserve">This report was generated on 2025-03-01 12:52:34.801856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2025-03-01</w:t>
      </w:r>
      <w:r>
        <w:br/>
      </w:r>
      <w:r>
        <w:rPr>
          <w:rStyle w:val="VerbatimChar"/>
        </w:rPr>
        <w:t xml:space="preserve"> pandoc   3.2 @ /Applications/RStudio.app/Contents/Resources/app/quarto/bin/tools/aarch64/ (via rmarkdown)</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 xml:space="preserve">──────────────────────────────────────────────────────────────────────────────</w:t>
      </w:r>
    </w:p>
    <w:bookmarkEnd w:id="59"/>
    <w:bookmarkEnd w:id="60"/>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59821680" w:numId="1">
    <w:abstractNumId w:val="2"/>
  </w:num>
  <w:num w16cid:durableId="1419910699" w:numId="2">
    <w:abstractNumId w:val="1"/>
  </w:num>
  <w:num w16cid:durableId="1389719503"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705E12"/>
    <w:rsid w:val="00784D58"/>
    <w:rsid w:val="00884F3F"/>
    <w:rsid w:val="008D6863"/>
    <w:rsid w:val="00970303"/>
    <w:rsid w:val="00B86B75"/>
    <w:rsid w:val="00BC48D5"/>
    <w:rsid w:val="00C36279"/>
    <w:rsid w:val="00DA425F"/>
    <w:rsid w:val="00E315A3"/>
    <w:rsid w:val="00EF2D6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180" w:before="180" w:line="360" w:lineRule="auto"/>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hyperlink" Id="rId20" Target="mailto:jfbelmiro@ualg.pt" TargetMode="External" /></Relationships>
</file>

<file path=word/_rels/footnotes.xml.rels><?xml version="1.0" encoding="UTF-8"?><Relationships xmlns="http://schemas.openxmlformats.org/package/2006/relationships"><Relationship Type="http://schemas.openxmlformats.org/officeDocument/2006/relationships/hyperlink" Id="rId20" Target="mailto:jfbelmiro@ualg.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166</Words>
  <Characters>948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Stone to Tool: How Raw Materials Influenced Upper Paleolithic Technology in Southwestern Iberia (Vale Boi)</dc:title>
  <dc:creator>Joana Belmiro1,✉, Nuno Bicho1, Xavier Terradas2, and João Cascalheira1</dc:creator>
  <cp:keywords/>
  <dcterms:created xsi:type="dcterms:W3CDTF">2025-03-01T12:52:36Z</dcterms:created>
  <dcterms:modified xsi:type="dcterms:W3CDTF">2025-03-01T12:52:36Z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March 1,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