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077534724126b522f63c57787cba61453875e63"/>
    <w:p>
      <w:pPr>
        <w:pStyle w:val="Heading1"/>
      </w:pPr>
      <w:r>
        <w:t xml:space="preserve">Best Practices for Building a Web Platform that Keeps Specialty Coffee Roasters Close to Origin</w:t>
      </w:r>
    </w:p>
    <w:bookmarkStart w:id="25" w:name="strategic-framing-and-user-outcomes"/>
    <w:p>
      <w:pPr>
        <w:pStyle w:val="Heading2"/>
      </w:pPr>
      <w:r>
        <w:t xml:space="preserve">Strategic framing and user outcomes</w:t>
      </w:r>
    </w:p>
    <w:p>
      <w:pPr>
        <w:pStyle w:val="FirstParagraph"/>
      </w:pPr>
      <w:r>
        <w:t xml:space="preserve">A platform designed for specialty-coffee roasters to</w:t>
      </w:r>
      <w:r>
        <w:t xml:space="preserve"> </w:t>
      </w:r>
      <w:r>
        <w:rPr>
          <w:i/>
          <w:iCs/>
        </w:rPr>
        <w:t xml:space="preserve">participate in</w:t>
      </w:r>
      <w:r>
        <w:t xml:space="preserve"> </w:t>
      </w:r>
      <w:r>
        <w:t xml:space="preserve">(or at least meaningfully follow) fermentation, drying, and other green-coffee phases is not just an e-commerce site: it is a</w:t>
      </w:r>
      <w:r>
        <w:t xml:space="preserve"> </w:t>
      </w:r>
      <w:r>
        <w:rPr>
          <w:b/>
          <w:bCs/>
        </w:rPr>
        <w:t xml:space="preserve">relationship and trust product</w:t>
      </w:r>
      <w:r>
        <w:t xml:space="preserve"> </w:t>
      </w:r>
      <w:r>
        <w:t xml:space="preserve">that happens to include buying. In post-harvest processing, fermentation dynamics differ between wet and dry processing environments, and fermentation-derived “signatures” can persist on green coffee—making process visibility and record-keeping directly relevant to quality storytelling, learning, and confidence in purchase decisions.</w:t>
      </w:r>
      <w:r>
        <w:t xml:space="preserve"> </w:t>
      </w:r>
      <w:hyperlink r:id="rId21">
        <w:r>
          <w:rPr>
            <w:rStyle w:val="Hyperlink"/>
          </w:rPr>
          <w:t xml:space="preserve">[1]</w:t>
        </w:r>
      </w:hyperlink>
    </w:p>
    <w:p>
      <w:pPr>
        <w:pStyle w:val="BodyText"/>
      </w:pPr>
      <w:r>
        <w:t xml:space="preserve">A practical way to “design for engagement” without falling into empty gamification is to define engagement as</w:t>
      </w:r>
      <w:r>
        <w:t xml:space="preserve"> </w:t>
      </w:r>
      <w:r>
        <w:rPr>
          <w:i/>
          <w:iCs/>
        </w:rPr>
        <w:t xml:space="preserve">voluntary, repeated, value-adding behaviours</w:t>
      </w:r>
      <w:r>
        <w:t xml:space="preserve"> </w:t>
      </w:r>
      <w:r>
        <w:t xml:space="preserve">that improve both customer experience and commercial outcomes. Self-Determination Theory (SDT) is a strong theoretical backbone for this: people sustain motivation when experiences support</w:t>
      </w:r>
      <w:r>
        <w:t xml:space="preserve"> </w:t>
      </w:r>
      <w:r>
        <w:rPr>
          <w:b/>
          <w:bCs/>
        </w:rPr>
        <w:t xml:space="preserve">autonomy</w:t>
      </w:r>
      <w:r>
        <w:t xml:space="preserve"> </w:t>
      </w:r>
      <w:r>
        <w:t xml:space="preserve">(choice/control),</w:t>
      </w:r>
      <w:r>
        <w:t xml:space="preserve"> </w:t>
      </w:r>
      <w:r>
        <w:rPr>
          <w:b/>
          <w:bCs/>
        </w:rPr>
        <w:t xml:space="preserve">competence</w:t>
      </w:r>
      <w:r>
        <w:t xml:space="preserve"> </w:t>
      </w:r>
      <w:r>
        <w:t xml:space="preserve">(feeling capable/learning), and</w:t>
      </w:r>
      <w:r>
        <w:t xml:space="preserve"> </w:t>
      </w:r>
      <w:r>
        <w:rPr>
          <w:b/>
          <w:bCs/>
        </w:rPr>
        <w:t xml:space="preserve">relatedness</w:t>
      </w:r>
      <w:r>
        <w:t xml:space="preserve"> </w:t>
      </w:r>
      <w:r>
        <w:t xml:space="preserve">(connection/belonging).</w:t>
      </w:r>
      <w:r>
        <w:t xml:space="preserve"> </w:t>
      </w:r>
      <w:hyperlink r:id="rId22">
        <w:r>
          <w:rPr>
            <w:rStyle w:val="Hyperlink"/>
          </w:rPr>
          <w:t xml:space="preserve">[2]</w:t>
        </w:r>
      </w:hyperlink>
    </w:p>
    <w:p>
      <w:pPr>
        <w:pStyle w:val="BodyText"/>
      </w:pPr>
      <w:r>
        <w:t xml:space="preserve">For your scenario (roasters collaborating with your team on processing decisions and monitoring lots), those SDT needs translate cleanly into product outcomes:</w:t>
      </w:r>
    </w:p>
    <w:p>
      <w:pPr>
        <w:pStyle w:val="Compact"/>
        <w:numPr>
          <w:ilvl w:val="0"/>
          <w:numId w:val="1001"/>
        </w:numPr>
      </w:pPr>
      <w:r>
        <w:rPr>
          <w:b/>
          <w:bCs/>
        </w:rPr>
        <w:t xml:space="preserve">Autonomy:</w:t>
      </w:r>
      <w:r>
        <w:t xml:space="preserve"> </w:t>
      </w:r>
      <w:r>
        <w:t xml:space="preserve">roasters can choose participation depth (observe → comment → co-decide), and choose what they get notified about; permissions feel purposeful rather than restrictive.</w:t>
      </w:r>
      <w:r>
        <w:t xml:space="preserve"> </w:t>
      </w:r>
      <w:hyperlink r:id="rId23">
        <w:r>
          <w:rPr>
            <w:rStyle w:val="Hyperlink"/>
          </w:rPr>
          <w:t xml:space="preserve">[3]</w:t>
        </w:r>
      </w:hyperlink>
    </w:p>
    <w:p>
      <w:pPr>
        <w:pStyle w:val="Compact"/>
        <w:numPr>
          <w:ilvl w:val="0"/>
          <w:numId w:val="1001"/>
        </w:numPr>
      </w:pPr>
      <w:r>
        <w:rPr>
          <w:b/>
          <w:bCs/>
        </w:rPr>
        <w:t xml:space="preserve">Competence:</w:t>
      </w:r>
      <w:r>
        <w:t xml:space="preserve"> </w:t>
      </w:r>
      <w:r>
        <w:t xml:space="preserve">the platform helps them understand what’s happening (clear explanations, trends, “why this mattered” summaries), so they become better buyers and partners over time.</w:t>
      </w:r>
      <w:r>
        <w:t xml:space="preserve"> </w:t>
      </w:r>
      <w:hyperlink r:id="rId22">
        <w:r>
          <w:rPr>
            <w:rStyle w:val="Hyperlink"/>
          </w:rPr>
          <w:t xml:space="preserve">[4]</w:t>
        </w:r>
      </w:hyperlink>
    </w:p>
    <w:p>
      <w:pPr>
        <w:pStyle w:val="Compact"/>
        <w:numPr>
          <w:ilvl w:val="0"/>
          <w:numId w:val="1001"/>
        </w:numPr>
      </w:pPr>
      <w:r>
        <w:rPr>
          <w:b/>
          <w:bCs/>
        </w:rPr>
        <w:t xml:space="preserve">Relatedness:</w:t>
      </w:r>
      <w:r>
        <w:t xml:space="preserve"> </w:t>
      </w:r>
      <w:r>
        <w:t xml:space="preserve">it creates direct human connection to the people and place behind the lot (your processing team, producers, context at origin), strengthening loyalty and willingness to commit to future volumes.</w:t>
      </w:r>
      <w:r>
        <w:t xml:space="preserve"> </w:t>
      </w:r>
      <w:hyperlink r:id="rId22">
        <w:r>
          <w:rPr>
            <w:rStyle w:val="Hyperlink"/>
          </w:rPr>
          <w:t xml:space="preserve">[2]</w:t>
        </w:r>
      </w:hyperlink>
    </w:p>
    <w:p>
      <w:pPr>
        <w:pStyle w:val="FirstParagraph"/>
      </w:pPr>
      <w:r>
        <w:t xml:space="preserve">A useful “north star” framing for MVP and beyond is:</w:t>
      </w:r>
      <w:r>
        <w:t xml:space="preserve"> </w:t>
      </w:r>
      <w:r>
        <w:rPr>
          <w:b/>
          <w:bCs/>
        </w:rPr>
        <w:t xml:space="preserve">turn process traceability into a shared project</w:t>
      </w:r>
      <w:r>
        <w:t xml:space="preserve"> </w:t>
      </w:r>
      <w:r>
        <w:t xml:space="preserve">(co-creation), not just a report. This is consistent with how direct-trade style relationships are often positioned: transparency plus feedback loops between buyer and origin can drive quality improvement and long-term consistency.</w:t>
      </w:r>
      <w:r>
        <w:t xml:space="preserve"> </w:t>
      </w:r>
      <w:hyperlink r:id="rId24">
        <w:r>
          <w:rPr>
            <w:rStyle w:val="Hyperlink"/>
          </w:rPr>
          <w:t xml:space="preserve">[5]</w:t>
        </w:r>
      </w:hyperlink>
    </w:p>
    <w:bookmarkEnd w:id="25"/>
    <w:bookmarkStart w:id="35" w:name="X75ee98e96df8026ae0a99c2b02dd83a52454d67"/>
    <w:p>
      <w:pPr>
        <w:pStyle w:val="Heading2"/>
      </w:pPr>
      <w:r>
        <w:t xml:space="preserve">Benchmarks and reference platforms worth studying</w:t>
      </w:r>
    </w:p>
    <w:p>
      <w:pPr>
        <w:pStyle w:val="FirstParagraph"/>
      </w:pPr>
      <w:r>
        <w:t xml:space="preserve">In coffee, there are several “reference types” that can inform your feature set and information architecture—each with different strengths.</w:t>
      </w:r>
    </w:p>
    <w:p>
      <w:pPr>
        <w:pStyle w:val="BodyText"/>
      </w:pPr>
      <w:r>
        <w:t xml:space="preserve">Consumer-facing traceability experiences show how to make provenance</w:t>
      </w:r>
      <w:r>
        <w:t xml:space="preserve"> </w:t>
      </w:r>
      <w:r>
        <w:rPr>
          <w:i/>
          <w:iCs/>
        </w:rPr>
        <w:t xml:space="preserve">feel</w:t>
      </w:r>
      <w:r>
        <w:t xml:space="preserve"> </w:t>
      </w:r>
      <w:r>
        <w:t xml:space="preserve">real at scale.</w:t>
      </w:r>
      <w:r>
        <w:t xml:space="preserve"> </w:t>
      </w:r>
      <w:r>
        <w:rPr>
          <w:b/>
          <w:bCs/>
        </w:rPr>
        <w:t xml:space="preserve">Farmer Connect</w:t>
      </w:r>
      <w:hyperlink r:id="rId26">
        <w:r>
          <w:rPr>
            <w:rStyle w:val="Hyperlink"/>
            <w:b/>
            <w:bCs/>
          </w:rPr>
          <w:t xml:space="preserve">[6]</w:t>
        </w:r>
      </w:hyperlink>
      <w:r>
        <w:t xml:space="preserve"> </w:t>
      </w:r>
      <w:r>
        <w:t xml:space="preserve">built experiences (e.g., “Thank My Farmer”) that use QR-code-based access to trace coffee back to origin and present the supply-chain story through a digital interface, with blockchain mentioned as an enabling technology for traceability and trust narratives.</w:t>
      </w:r>
      <w:r>
        <w:t xml:space="preserve"> </w:t>
      </w:r>
      <w:hyperlink r:id="rId27">
        <w:r>
          <w:rPr>
            <w:rStyle w:val="Hyperlink"/>
          </w:rPr>
          <w:t xml:space="preserve">[7]</w:t>
        </w:r>
      </w:hyperlink>
    </w:p>
    <w:p>
      <w:pPr>
        <w:pStyle w:val="BodyText"/>
      </w:pPr>
      <w:r>
        <w:t xml:space="preserve">B2B sourcing + inventory tools show how to manage</w:t>
      </w:r>
      <w:r>
        <w:t xml:space="preserve"> </w:t>
      </w:r>
      <w:r>
        <w:rPr>
          <w:i/>
          <w:iCs/>
        </w:rPr>
        <w:t xml:space="preserve">lots as living objects</w:t>
      </w:r>
      <w:r>
        <w:t xml:space="preserve"> </w:t>
      </w:r>
      <w:r>
        <w:t xml:space="preserve">across time (split/merge, samples, sharing permissions).</w:t>
      </w:r>
      <w:r>
        <w:t xml:space="preserve"> </w:t>
      </w:r>
      <w:r>
        <w:rPr>
          <w:b/>
          <w:bCs/>
        </w:rPr>
        <w:t xml:space="preserve">Cropster</w:t>
      </w:r>
      <w:hyperlink r:id="rId23">
        <w:r>
          <w:rPr>
            <w:rStyle w:val="Hyperlink"/>
            <w:b/>
            <w:bCs/>
          </w:rPr>
          <w:t xml:space="preserve">[8]</w:t>
        </w:r>
      </w:hyperlink>
      <w:r>
        <w:t xml:space="preserve"> </w:t>
      </w:r>
      <w:r>
        <w:t xml:space="preserve">highlights buyer-facing sharing patterns, including selective data sharing, smart labels, and direct sharing between accounts—useful precedents for “share what matters, hide what doesn’t” when different roasters have different relationships/contract terms.</w:t>
      </w:r>
      <w:r>
        <w:t xml:space="preserve"> </w:t>
      </w:r>
      <w:hyperlink r:id="rId28">
        <w:r>
          <w:rPr>
            <w:rStyle w:val="Hyperlink"/>
          </w:rPr>
          <w:t xml:space="preserve">[9]</w:t>
        </w:r>
      </w:hyperlink>
    </w:p>
    <w:p>
      <w:pPr>
        <w:pStyle w:val="BodyText"/>
      </w:pPr>
      <w:r>
        <w:t xml:space="preserve">Marketplace and relationship platforms show how to formalise “connection to origin” and make trade operationally easy.</w:t>
      </w:r>
      <w:r>
        <w:t xml:space="preserve"> </w:t>
      </w:r>
      <w:r>
        <w:rPr>
          <w:b/>
          <w:bCs/>
        </w:rPr>
        <w:t xml:space="preserve">Algrano</w:t>
      </w:r>
      <w:hyperlink r:id="rId23">
        <w:r>
          <w:rPr>
            <w:rStyle w:val="Hyperlink"/>
            <w:b/>
            <w:bCs/>
          </w:rPr>
          <w:t xml:space="preserve">[10]</w:t>
        </w:r>
      </w:hyperlink>
      <w:r>
        <w:t xml:space="preserve"> </w:t>
      </w:r>
      <w:r>
        <w:t xml:space="preserve">positions itself as a gateway for producers and roasters to discover, trade, and manage coffee online with an emphasis on a “fully traceable supply chain” and operational simplicity (selection → releases).</w:t>
      </w:r>
      <w:r>
        <w:t xml:space="preserve"> </w:t>
      </w:r>
      <w:hyperlink r:id="rId29">
        <w:r>
          <w:rPr>
            <w:rStyle w:val="Hyperlink"/>
          </w:rPr>
          <w:t xml:space="preserve">[11]</w:t>
        </w:r>
      </w:hyperlink>
    </w:p>
    <w:p>
      <w:pPr>
        <w:pStyle w:val="BodyText"/>
      </w:pPr>
      <w:r>
        <w:t xml:space="preserve">Sustainability assurance and verification platforms show how data, evidence, and risk management become product requirements (especially for EU-bound lots).</w:t>
      </w:r>
      <w:r>
        <w:t xml:space="preserve"> </w:t>
      </w:r>
      <w:r>
        <w:rPr>
          <w:b/>
          <w:bCs/>
        </w:rPr>
        <w:t xml:space="preserve">Enveritas</w:t>
      </w:r>
      <w:hyperlink r:id="rId30">
        <w:r>
          <w:rPr>
            <w:rStyle w:val="Hyperlink"/>
            <w:b/>
            <w:bCs/>
          </w:rPr>
          <w:t xml:space="preserve">[12]</w:t>
        </w:r>
      </w:hyperlink>
      <w:r>
        <w:t xml:space="preserve"> </w:t>
      </w:r>
      <w:r>
        <w:t xml:space="preserve">describes large-scale farm-level sustainability data collection and benchmarking; these approaches are increasingly relevant as compliance expectations rise.</w:t>
      </w:r>
      <w:r>
        <w:t xml:space="preserve"> </w:t>
      </w:r>
      <w:hyperlink r:id="rId31">
        <w:r>
          <w:rPr>
            <w:rStyle w:val="Hyperlink"/>
          </w:rPr>
          <w:t xml:space="preserve">[13]</w:t>
        </w:r>
      </w:hyperlink>
    </w:p>
    <w:p>
      <w:pPr>
        <w:pStyle w:val="BodyText"/>
      </w:pPr>
      <w:r>
        <w:t xml:space="preserve">Blockchain-for-traceability solutions show both potential and common pitfalls.</w:t>
      </w:r>
      <w:r>
        <w:t xml:space="preserve"> </w:t>
      </w:r>
      <w:r>
        <w:rPr>
          <w:b/>
          <w:bCs/>
        </w:rPr>
        <w:t xml:space="preserve">Bext360</w:t>
      </w:r>
      <w:hyperlink r:id="rId32">
        <w:r>
          <w:rPr>
            <w:rStyle w:val="Hyperlink"/>
            <w:b/>
            <w:bCs/>
          </w:rPr>
          <w:t xml:space="preserve">[14]</w:t>
        </w:r>
      </w:hyperlink>
      <w:r>
        <w:t xml:space="preserve"> </w:t>
      </w:r>
      <w:r>
        <w:t xml:space="preserve">explicitly positions its platform as combining blockchain traceability with sustainability measures across supply chains. Evidence from systematic reviews of blockchain in coffee traceability highlights promise, but also persistent challenges such as integration, infrastructure, standards, governance agreements, and willingness to invest.</w:t>
      </w:r>
      <w:r>
        <w:t xml:space="preserve"> </w:t>
      </w:r>
      <w:hyperlink r:id="rId33">
        <w:r>
          <w:rPr>
            <w:rStyle w:val="Hyperlink"/>
          </w:rPr>
          <w:t xml:space="preserve">[15]</w:t>
        </w:r>
      </w:hyperlink>
    </w:p>
    <w:p>
      <w:pPr>
        <w:pStyle w:val="BodyText"/>
      </w:pPr>
      <w:r>
        <w:t xml:space="preserve">Finally, industry guidance can validate what roasters increasingly expect. The Specialty Coffee Association’s direct green-coffee sourcing guide explicitly calls out traceability as a priority for roasters and points to tools (including QR-code options and platforms) that help producers share information.</w:t>
      </w:r>
      <w:r>
        <w:t xml:space="preserve"> </w:t>
      </w:r>
      <w:hyperlink r:id="rId34">
        <w:r>
          <w:rPr>
            <w:rStyle w:val="Hyperlink"/>
          </w:rPr>
          <w:t xml:space="preserve">[16]</w:t>
        </w:r>
      </w:hyperlink>
    </w:p>
    <w:bookmarkEnd w:id="35"/>
    <w:bookmarkStart w:id="43" w:name="Xe9259c7fadc579355ef9aa444f47e7abed0307b"/>
    <w:p>
      <w:pPr>
        <w:pStyle w:val="Heading2"/>
      </w:pPr>
      <w:r>
        <w:t xml:space="preserve">Engagement and UX patterns for “co-processing” experiences</w:t>
      </w:r>
    </w:p>
    <w:p>
      <w:pPr>
        <w:pStyle w:val="FirstParagraph"/>
      </w:pPr>
      <w:r>
        <w:t xml:space="preserve">Designing for roaster engagement in this context is about</w:t>
      </w:r>
      <w:r>
        <w:t xml:space="preserve"> </w:t>
      </w:r>
      <w:r>
        <w:rPr>
          <w:b/>
          <w:bCs/>
        </w:rPr>
        <w:t xml:space="preserve">reducing uncertainty while increasing meaningful participation</w:t>
      </w:r>
      <w:r>
        <w:t xml:space="preserve">. Several evidence-backed UX patterns map particularly well to fermentation/drying collaboration.</w:t>
      </w:r>
    </w:p>
    <w:p>
      <w:pPr>
        <w:pStyle w:val="BodyText"/>
      </w:pPr>
      <w:r>
        <w:t xml:space="preserve">A motivation model that fits specialty coffee partnerships</w:t>
      </w:r>
      <w:r>
        <w:br/>
      </w:r>
      <w:r>
        <w:t xml:space="preserve">If you treat the platform as a learning-and-collaboration environment (not merely a purchasing funnel), SDT gives concrete design rules: provide choices and clear agency (autonomy), make learning visible and cumulative (competence), and foreground human interaction and shared goals (relatedness).</w:t>
      </w:r>
      <w:r>
        <w:t xml:space="preserve"> </w:t>
      </w:r>
      <w:hyperlink r:id="rId22">
        <w:r>
          <w:rPr>
            <w:rStyle w:val="Hyperlink"/>
          </w:rPr>
          <w:t xml:space="preserve">[2]</w:t>
        </w:r>
      </w:hyperlink>
      <w:r>
        <w:br/>
      </w:r>
      <w:r>
        <w:t xml:space="preserve">This directly supports “engaged buyers” because they are not just consuming updates—they are building knowledge, confidence, and relationships that persist across harvests.</w:t>
      </w:r>
    </w:p>
    <w:p>
      <w:pPr>
        <w:pStyle w:val="BodyText"/>
      </w:pPr>
      <w:r>
        <w:t xml:space="preserve">Progressive disclosure for complex process data</w:t>
      </w:r>
      <w:r>
        <w:br/>
      </w:r>
      <w:r>
        <w:t xml:space="preserve">Fermentation and drying data can be dense. Progressive disclosure is a classic usability technique for reducing cognitive load by showing basics first and deferring advanced details until users need them, making systems easier to learn and less error-prone.</w:t>
      </w:r>
      <w:r>
        <w:t xml:space="preserve"> </w:t>
      </w:r>
      <w:hyperlink r:id="rId32">
        <w:r>
          <w:rPr>
            <w:rStyle w:val="Hyperlink"/>
          </w:rPr>
          <w:t xml:space="preserve">[17]</w:t>
        </w:r>
      </w:hyperlink>
      <w:r>
        <w:br/>
      </w:r>
      <w:r>
        <w:t xml:space="preserve">Applied to coffee processing, this suggests a tiered information structure:</w:t>
      </w:r>
    </w:p>
    <w:p>
      <w:pPr>
        <w:pStyle w:val="Compact"/>
        <w:numPr>
          <w:ilvl w:val="0"/>
          <w:numId w:val="1002"/>
        </w:numPr>
      </w:pPr>
      <w:r>
        <w:rPr>
          <w:b/>
          <w:bCs/>
        </w:rPr>
        <w:t xml:space="preserve">Layer 1 (fast scan):</w:t>
      </w:r>
      <w:r>
        <w:t xml:space="preserve"> </w:t>
      </w:r>
      <w:r>
        <w:t xml:space="preserve">“What’s happening now?”, next milestone, risk flags, latest photos/video, and “what you can do”.</w:t>
      </w:r>
    </w:p>
    <w:p>
      <w:pPr>
        <w:pStyle w:val="Compact"/>
        <w:numPr>
          <w:ilvl w:val="0"/>
          <w:numId w:val="1002"/>
        </w:numPr>
      </w:pPr>
      <w:r>
        <w:rPr>
          <w:b/>
          <w:bCs/>
        </w:rPr>
        <w:t xml:space="preserve">Layer 2 (decision support):</w:t>
      </w:r>
      <w:r>
        <w:t xml:space="preserve"> </w:t>
      </w:r>
      <w:r>
        <w:t xml:space="preserve">trend charts, parameter ranges, comparisons to plan/targets, sample schedule, QC notes.</w:t>
      </w:r>
    </w:p>
    <w:p>
      <w:pPr>
        <w:pStyle w:val="Compact"/>
        <w:numPr>
          <w:ilvl w:val="0"/>
          <w:numId w:val="1002"/>
        </w:numPr>
      </w:pPr>
      <w:r>
        <w:rPr>
          <w:b/>
          <w:bCs/>
        </w:rPr>
        <w:t xml:space="preserve">Layer 3 (expert mode):</w:t>
      </w:r>
      <w:r>
        <w:t xml:space="preserve"> </w:t>
      </w:r>
      <w:r>
        <w:t xml:space="preserve">full logs, sensor exports, batch/lot transformation history, lab results, and audit trails.</w:t>
      </w:r>
    </w:p>
    <w:p>
      <w:pPr>
        <w:pStyle w:val="FirstParagraph"/>
      </w:pPr>
      <w:r>
        <w:t xml:space="preserve">Microinteractions that build trust</w:t>
      </w:r>
      <w:r>
        <w:br/>
      </w:r>
      <w:r>
        <w:t xml:space="preserve">Microinteractions—small single-purpose interactions that convey system status and support error prevention—can make the experience feel responsive and “alive,” which matters when users are following a real-world process that changes over hours/days.</w:t>
      </w:r>
      <w:r>
        <w:t xml:space="preserve"> </w:t>
      </w:r>
      <w:hyperlink r:id="rId36">
        <w:r>
          <w:rPr>
            <w:rStyle w:val="Hyperlink"/>
          </w:rPr>
          <w:t xml:space="preserve">[18]</w:t>
        </w:r>
      </w:hyperlink>
      <w:r>
        <w:br/>
      </w:r>
      <w:r>
        <w:t xml:space="preserve">In your context, microinteractions should prioritise clarity: “update received”, “your input was recorded”, “decision locked”, “risk escalated”.</w:t>
      </w:r>
    </w:p>
    <w:p>
      <w:pPr>
        <w:pStyle w:val="BodyText"/>
      </w:pPr>
      <w:r>
        <w:t xml:space="preserve">Responsible gamification (if you use it at all)</w:t>
      </w:r>
      <w:r>
        <w:br/>
      </w:r>
      <w:r>
        <w:t xml:space="preserve">Gamification can generate motivation, but it should start from a learner-centred mindset and should not reduce relationships to point-scoring.</w:t>
      </w:r>
      <w:r>
        <w:t xml:space="preserve"> </w:t>
      </w:r>
      <w:hyperlink r:id="rId37">
        <w:r>
          <w:rPr>
            <w:rStyle w:val="Hyperlink"/>
          </w:rPr>
          <w:t xml:space="preserve">[19]</w:t>
        </w:r>
      </w:hyperlink>
      <w:r>
        <w:br/>
      </w:r>
      <w:r>
        <w:t xml:space="preserve">A safe pattern here is</w:t>
      </w:r>
      <w:r>
        <w:t xml:space="preserve"> </w:t>
      </w:r>
      <w:r>
        <w:rPr>
          <w:b/>
          <w:bCs/>
        </w:rPr>
        <w:t xml:space="preserve">progress-as-mastery</w:t>
      </w:r>
      <w:r>
        <w:t xml:space="preserve"> </w:t>
      </w:r>
      <w:r>
        <w:t xml:space="preserve">rather than badges-as-bribes: show “processing literacy” growth (e.g., completed learning modules, interpretation confidence) tied to real outcomes and real conversations. This aligns better with autonomy/competence/relatedness than superficial reward loops.</w:t>
      </w:r>
      <w:r>
        <w:t xml:space="preserve"> </w:t>
      </w:r>
      <w:hyperlink r:id="rId23">
        <w:r>
          <w:rPr>
            <w:rStyle w:val="Hyperlink"/>
          </w:rPr>
          <w:t xml:space="preserve">[20]</w:t>
        </w:r>
      </w:hyperlink>
    </w:p>
    <w:p>
      <w:pPr>
        <w:pStyle w:val="BodyText"/>
      </w:pPr>
      <w:r>
        <w:t xml:space="preserve">Performance and “app-like” behaviour are engagement features</w:t>
      </w:r>
      <w:r>
        <w:br/>
      </w:r>
      <w:r>
        <w:t xml:space="preserve">For a distributed roaster audience (often mobile, often travelling), perceived speed and reliability strongly influence repeat use. Core Web Vitals define key UX-related performance metrics (LCP, INP, CLS) and their thresholds, and are explicitly positioned as signals essential to a great user experience.</w:t>
      </w:r>
      <w:r>
        <w:t xml:space="preserve"> </w:t>
      </w:r>
      <w:hyperlink r:id="rId38">
        <w:r>
          <w:rPr>
            <w:rStyle w:val="Hyperlink"/>
          </w:rPr>
          <w:t xml:space="preserve">[21]</w:t>
        </w:r>
      </w:hyperlink>
      <w:r>
        <w:br/>
      </w:r>
      <w:r>
        <w:t xml:space="preserve">Progressive Web App guidance emphasises “starts fast, stays fast” and highlights that as load times increase, bounce probability can increase dramatically—underscoring that performance is not cosmetic.</w:t>
      </w:r>
      <w:r>
        <w:t xml:space="preserve"> </w:t>
      </w:r>
      <w:hyperlink r:id="rId39">
        <w:r>
          <w:rPr>
            <w:rStyle w:val="Hyperlink"/>
          </w:rPr>
          <w:t xml:space="preserve">[22]</w:t>
        </w:r>
      </w:hyperlink>
      <w:r>
        <w:br/>
      </w:r>
      <w:r>
        <w:t xml:space="preserve">A PWA approach is also relevant because installability and offline-aware design can make the platform feel closer to a native app experience.</w:t>
      </w:r>
      <w:r>
        <w:t xml:space="preserve"> </w:t>
      </w:r>
      <w:hyperlink r:id="rId40">
        <w:r>
          <w:rPr>
            <w:rStyle w:val="Hyperlink"/>
          </w:rPr>
          <w:t xml:space="preserve">[23]</w:t>
        </w:r>
      </w:hyperlink>
    </w:p>
    <w:p>
      <w:pPr>
        <w:pStyle w:val="BodyText"/>
      </w:pPr>
      <w:r>
        <w:t xml:space="preserve">Accessibility as baseline quality (not an optional extra)</w:t>
      </w:r>
      <w:r>
        <w:br/>
      </w:r>
      <w:r>
        <w:t xml:space="preserve">If the platform is used internationally and by diverse roles, accessibility standards reduce friction and risk. WCAG 2.2 is the W3C Recommendation describing how to make web content more accessible across a wide range of disabilities.</w:t>
      </w:r>
      <w:r>
        <w:t xml:space="preserve"> </w:t>
      </w:r>
      <w:hyperlink r:id="rId41">
        <w:r>
          <w:rPr>
            <w:rStyle w:val="Hyperlink"/>
          </w:rPr>
          <w:t xml:space="preserve">[24]</w:t>
        </w:r>
      </w:hyperlink>
      <w:r>
        <w:br/>
      </w:r>
      <w:r>
        <w:t xml:space="preserve">Pragmatically: ensure colour/contrast, keyboard navigation, clear focus states, and accessible chart summaries—particularly for process dashboards where rich visuals can become barriers.</w:t>
      </w:r>
    </w:p>
    <w:p>
      <w:pPr>
        <w:pStyle w:val="BodyText"/>
      </w:pPr>
      <w:r>
        <w:t xml:space="preserve">Measuring UX improvement with lightweight, repeatable metrics</w:t>
      </w:r>
      <w:r>
        <w:br/>
      </w:r>
      <w:r>
        <w:t xml:space="preserve">To “train” a cloud/dev team to improve UX, you need a repeatable measurement instrument. The System Usability Scale (SUS) is a widely used, low-cost usability scale and is described as robust and reliable for usability assessment.</w:t>
      </w:r>
      <w:r>
        <w:t xml:space="preserve"> </w:t>
      </w:r>
      <w:hyperlink r:id="rId42">
        <w:r>
          <w:rPr>
            <w:rStyle w:val="Hyperlink"/>
          </w:rPr>
          <w:t xml:space="preserve">[25]</w:t>
        </w:r>
      </w:hyperlink>
      <w:r>
        <w:br/>
      </w:r>
      <w:r>
        <w:t xml:space="preserve">Using SUS quarterly (plus task success rates and qualitative testing) forces UX work to remain empirical instead of opinion-driven.</w:t>
      </w:r>
    </w:p>
    <w:bookmarkEnd w:id="43"/>
    <w:bookmarkStart w:id="51" w:name="Xe8ec54e6aa2e2db26c63051f8b6883242443bda"/>
    <w:p>
      <w:pPr>
        <w:pStyle w:val="Heading2"/>
      </w:pPr>
      <w:r>
        <w:t xml:space="preserve">Traceability and a process data model that supports fermentation and drying collaboration</w:t>
      </w:r>
    </w:p>
    <w:p>
      <w:pPr>
        <w:pStyle w:val="FirstParagraph"/>
      </w:pPr>
      <w:r>
        <w:t xml:space="preserve">To keep roasters engaged and confident, the platform must treat each lot as a</w:t>
      </w:r>
      <w:r>
        <w:t xml:space="preserve"> </w:t>
      </w:r>
      <w:r>
        <w:rPr>
          <w:b/>
          <w:bCs/>
        </w:rPr>
        <w:t xml:space="preserve">time-evolving narrative + dataset</w:t>
      </w:r>
      <w:r>
        <w:t xml:space="preserve">. A helpful product concept is a “digital lot passport” that:</w:t>
      </w:r>
      <w:r>
        <w:br/>
      </w:r>
      <w:r>
        <w:t xml:space="preserve">(1) preserves identity through transformations, (2) records what happened and why, (3) supports selective sharing, and (4) can be used for audits, QC, and storytelling.</w:t>
      </w:r>
    </w:p>
    <w:p>
      <w:pPr>
        <w:pStyle w:val="BodyText"/>
      </w:pPr>
      <w:r>
        <w:t xml:space="preserve">Traceability system principles</w:t>
      </w:r>
      <w:r>
        <w:br/>
      </w:r>
      <w:r>
        <w:t xml:space="preserve">ISO 22005 provides principles and basic requirements for designing and implementing a traceability system applicable at any step in the feed/food chain, with an emphasis on determining the history or location of a product and its relevant components.</w:t>
      </w:r>
      <w:r>
        <w:t xml:space="preserve"> </w:t>
      </w:r>
      <w:hyperlink r:id="rId26">
        <w:r>
          <w:rPr>
            <w:rStyle w:val="Hyperlink"/>
          </w:rPr>
          <w:t xml:space="preserve">[26]</w:t>
        </w:r>
      </w:hyperlink>
      <w:r>
        <w:br/>
      </w:r>
      <w:r>
        <w:t xml:space="preserve">Even if you never certify to ISO 22005, using it as a design reference helps you avoid “pretty dashboards” that fail in real-world disputes (e.g., lot mixing, repacking, disputed claims).</w:t>
      </w:r>
    </w:p>
    <w:p>
      <w:pPr>
        <w:pStyle w:val="BodyText"/>
      </w:pPr>
      <w:r>
        <w:t xml:space="preserve">Why traceability demands are rising</w:t>
      </w:r>
      <w:r>
        <w:br/>
      </w:r>
      <w:r>
        <w:t xml:space="preserve">For EU-facing trade, deforestation and due diligence regulation is a major external driver of traceability requirements for commodities including coffee. In late 2025, EU institutions agreed to postpone the regulation’s application; Council communications describe postponement to 30 December 2026 for operators generally, with additional cushioning for micro/small entities, and other government summaries echo this timeline (large operators from 30 December 2026; micro/small later).</w:t>
      </w:r>
      <w:r>
        <w:t xml:space="preserve"> </w:t>
      </w:r>
      <w:hyperlink r:id="rId44">
        <w:r>
          <w:rPr>
            <w:rStyle w:val="Hyperlink"/>
          </w:rPr>
          <w:t xml:space="preserve">[27]</w:t>
        </w:r>
      </w:hyperlink>
      <w:r>
        <w:br/>
      </w:r>
      <w:r>
        <w:t xml:space="preserve">For your platform, this matters because “traceability” may shift from a differentiator to a compliance baseline—so the winning experience becomes</w:t>
      </w:r>
      <w:r>
        <w:t xml:space="preserve"> </w:t>
      </w:r>
      <w:r>
        <w:rPr>
          <w:i/>
          <w:iCs/>
        </w:rPr>
        <w:t xml:space="preserve">how well you make it collaborative, credible, and usable</w:t>
      </w:r>
      <w:r>
        <w:t xml:space="preserve">.</w:t>
      </w:r>
    </w:p>
    <w:p>
      <w:pPr>
        <w:pStyle w:val="BodyText"/>
      </w:pPr>
      <w:r>
        <w:t xml:space="preserve">What processing data to capture for meaningful participation</w:t>
      </w:r>
      <w:r>
        <w:br/>
      </w:r>
      <w:r>
        <w:t xml:space="preserve">A platform that invites roasters into fermentation/drying needs to capture the variables that practitioners actually use to manage risk and steer outcomes. Research and technical literature repeatedly highlight monitoring of physicochemical parameters such as</w:t>
      </w:r>
      <w:r>
        <w:t xml:space="preserve"> </w:t>
      </w:r>
      <w:r>
        <w:rPr>
          <w:b/>
          <w:bCs/>
        </w:rPr>
        <w:t xml:space="preserve">temperature, time, pH, °Brix, oxygen/CO₂</w:t>
      </w:r>
      <w:r>
        <w:t xml:space="preserve">, and bioreactor/container conditions as influential for microbial fermentation outcomes.</w:t>
      </w:r>
      <w:r>
        <w:t xml:space="preserve"> </w:t>
      </w:r>
      <w:hyperlink r:id="rId45">
        <w:r>
          <w:rPr>
            <w:rStyle w:val="Hyperlink"/>
          </w:rPr>
          <w:t xml:space="preserve">[28]</w:t>
        </w:r>
      </w:hyperlink>
      <w:r>
        <w:br/>
      </w:r>
      <w:r>
        <w:t xml:space="preserve">This supports a data model where each “processing step” records: target plan, actual measurements, interventions, and outcomes (including sensory/QC observations).</w:t>
      </w:r>
    </w:p>
    <w:p>
      <w:pPr>
        <w:pStyle w:val="BodyText"/>
      </w:pPr>
      <w:r>
        <w:t xml:space="preserve">Drying endpoints and stability indicators</w:t>
      </w:r>
      <w:r>
        <w:br/>
      </w:r>
      <w:r>
        <w:t xml:space="preserve">Colombian coffee research publications describe final green coffee moisture targets; one Cenicafé-hosted document explicitly references drying to 10–12% moisture content and methods for measuring moisture during drying.</w:t>
      </w:r>
      <w:r>
        <w:t xml:space="preserve"> </w:t>
      </w:r>
      <w:hyperlink r:id="rId46">
        <w:r>
          <w:rPr>
            <w:rStyle w:val="Hyperlink"/>
          </w:rPr>
          <w:t xml:space="preserve">[29]</w:t>
        </w:r>
      </w:hyperlink>
      <w:r>
        <w:br/>
      </w:r>
      <w:r>
        <w:t xml:space="preserve">Peer-reviewed work on storage stability reiterates that final moisture content (often cited around 10–12%) is a critical determinant of stability during storage and supply-chain handling.</w:t>
      </w:r>
      <w:r>
        <w:t xml:space="preserve"> </w:t>
      </w:r>
      <w:hyperlink r:id="rId47">
        <w:r>
          <w:rPr>
            <w:rStyle w:val="Hyperlink"/>
          </w:rPr>
          <w:t xml:space="preserve">[30]</w:t>
        </w:r>
      </w:hyperlink>
    </w:p>
    <w:p>
      <w:pPr>
        <w:pStyle w:val="BodyText"/>
      </w:pPr>
      <w:r>
        <w:t xml:space="preserve">Water activity (aw) is also increasingly used as a stability/quality proxy. A peer-reviewed study notes that, according to SCA guidance, the upper limit of water activity for coffee considered “specialty grade” is ~0.70.</w:t>
      </w:r>
      <w:r>
        <w:t xml:space="preserve"> </w:t>
      </w:r>
      <w:hyperlink r:id="rId48">
        <w:r>
          <w:rPr>
            <w:rStyle w:val="Hyperlink"/>
          </w:rPr>
          <w:t xml:space="preserve">[31]</w:t>
        </w:r>
      </w:hyperlink>
      <w:r>
        <w:br/>
      </w:r>
      <w:r>
        <w:t xml:space="preserve">For product design, this means you can expose a “stability panel” that combines moisture and aw with plain-language risk interpretation—and tie it to recommended storage/shipping actions.</w:t>
      </w:r>
    </w:p>
    <w:p>
      <w:pPr>
        <w:pStyle w:val="BodyText"/>
      </w:pPr>
      <w:r>
        <w:t xml:space="preserve">Selective sharing and permissions as first-class product features</w:t>
      </w:r>
      <w:r>
        <w:br/>
      </w:r>
      <w:r>
        <w:t xml:space="preserve">Not every roaster needs (or should see) every detail: you may have confidential farmer data, proprietary process IP, or sensitive compliance documentation. B2B tooling precedents explicitly highlight selective sharing capabilities (share via labels/reports/direct sharing and choose which info to share).</w:t>
      </w:r>
      <w:r>
        <w:t xml:space="preserve"> </w:t>
      </w:r>
      <w:hyperlink r:id="rId28">
        <w:r>
          <w:rPr>
            <w:rStyle w:val="Hyperlink"/>
          </w:rPr>
          <w:t xml:space="preserve">[32]</w:t>
        </w:r>
      </w:hyperlink>
      <w:r>
        <w:br/>
      </w:r>
      <w:r>
        <w:t xml:space="preserve">This supports a</w:t>
      </w:r>
      <w:r>
        <w:t xml:space="preserve"> </w:t>
      </w:r>
      <w:r>
        <w:rPr>
          <w:b/>
          <w:bCs/>
        </w:rPr>
        <w:t xml:space="preserve">policy-driven data layer</w:t>
      </w:r>
      <w:r>
        <w:t xml:space="preserve">: every field has a sharing classification, and each roaster relationship has a “sharing contract” (default templates + overrides).</w:t>
      </w:r>
    </w:p>
    <w:p>
      <w:pPr>
        <w:pStyle w:val="BodyText"/>
      </w:pPr>
      <w:r>
        <w:t xml:space="preserve">Privacy and personal data considerations for Colombia and international roasters</w:t>
      </w:r>
      <w:r>
        <w:br/>
      </w:r>
      <w:r>
        <w:t xml:space="preserve">If the platform stores identifiable buyer contacts, internal staff details, or messaging history, it falls into personal data processing. Colombia’s Ley 1581 de 2012 is explicitly a personal data protection law establishing general provisions for protection of personal data.</w:t>
      </w:r>
      <w:r>
        <w:t xml:space="preserve"> </w:t>
      </w:r>
      <w:hyperlink r:id="rId49">
        <w:r>
          <w:rPr>
            <w:rStyle w:val="Hyperlink"/>
          </w:rPr>
          <w:t xml:space="preserve">[33]</w:t>
        </w:r>
      </w:hyperlink>
      <w:r>
        <w:br/>
      </w:r>
      <w:r>
        <w:t xml:space="preserve">For UK/EU customers, the UK GDPR principles (lawfulness/fairness/transparency, purpose limitation, data minimisation, etc.) are clearly laid out by the UK regulator.</w:t>
      </w:r>
      <w:r>
        <w:t xml:space="preserve"> </w:t>
      </w:r>
      <w:hyperlink r:id="rId50">
        <w:r>
          <w:rPr>
            <w:rStyle w:val="Hyperlink"/>
          </w:rPr>
          <w:t xml:space="preserve">[34]</w:t>
        </w:r>
      </w:hyperlink>
      <w:r>
        <w:br/>
      </w:r>
      <w:r>
        <w:t xml:space="preserve">Product implication: design privacy into workflows (purpose-limited profiles, retention policies, export/delete flows) rather than bolting it on later.</w:t>
      </w:r>
    </w:p>
    <w:bookmarkEnd w:id="51"/>
    <w:bookmarkStart w:id="64" w:name="X4dc119675166fe065c4cdd099007fde5571501f"/>
    <w:p>
      <w:pPr>
        <w:pStyle w:val="Heading2"/>
      </w:pPr>
      <w:r>
        <w:t xml:space="preserve">Cloud and backend architecture patterns that support trust, speed, and auditability</w:t>
      </w:r>
    </w:p>
    <w:p>
      <w:pPr>
        <w:pStyle w:val="FirstParagraph"/>
      </w:pPr>
      <w:r>
        <w:t xml:space="preserve">A collaboration platform for live processes has a different architecture profile than a static catalogue: it needs reliable event capture, scalable notifications, audit trails, and low-latency “what changed?” experiences.</w:t>
      </w:r>
    </w:p>
    <w:p>
      <w:pPr>
        <w:pStyle w:val="BodyText"/>
      </w:pPr>
      <w:r>
        <w:t xml:space="preserve">Architectural quality attributes to optimise</w:t>
      </w:r>
      <w:r>
        <w:br/>
      </w:r>
      <w:r>
        <w:t xml:space="preserve">Using the AWS Well-Architected Framework as a reference, the six pillars (operational excellence, security, reliability, performance efficiency, cost optimisation, sustainability) provide a useful checklist for a cloud team building a long-lived platform with real users and contractual expectations.</w:t>
      </w:r>
      <w:r>
        <w:t xml:space="preserve"> </w:t>
      </w:r>
      <w:hyperlink r:id="rId52">
        <w:r>
          <w:rPr>
            <w:rStyle w:val="Hyperlink"/>
          </w:rPr>
          <w:t xml:space="preserve">[35]</w:t>
        </w:r>
      </w:hyperlink>
      <w:r>
        <w:br/>
      </w:r>
      <w:r>
        <w:t xml:space="preserve">Even if you are not on</w:t>
      </w:r>
      <w:r>
        <w:t xml:space="preserve"> </w:t>
      </w:r>
      <w:r>
        <w:rPr>
          <w:b/>
          <w:bCs/>
        </w:rPr>
        <w:t xml:space="preserve">Amazon Web Services</w:t>
      </w:r>
      <w:hyperlink r:id="rId53">
        <w:r>
          <w:rPr>
            <w:rStyle w:val="Hyperlink"/>
            <w:b/>
            <w:bCs/>
          </w:rPr>
          <w:t xml:space="preserve">[36]</w:t>
        </w:r>
      </w:hyperlink>
      <w:r>
        <w:t xml:space="preserve">, the pillars are portable as design goals.</w:t>
      </w:r>
      <w:r>
        <w:t xml:space="preserve"> </w:t>
      </w:r>
      <w:hyperlink r:id="rId54">
        <w:r>
          <w:rPr>
            <w:rStyle w:val="Hyperlink"/>
          </w:rPr>
          <w:t xml:space="preserve">[37]</w:t>
        </w:r>
      </w:hyperlink>
    </w:p>
    <w:p>
      <w:pPr>
        <w:pStyle w:val="BodyText"/>
      </w:pPr>
      <w:r>
        <w:t xml:space="preserve">Event-driven “process updates” instead of polling</w:t>
      </w:r>
      <w:r>
        <w:br/>
      </w:r>
      <w:r>
        <w:t xml:space="preserve">Event-driven architecture is explicitly defined as being built from small, decoupled services that publish/consume/route events representing changes in state; it is positioned as enabling loose coupling and agility.</w:t>
      </w:r>
      <w:r>
        <w:t xml:space="preserve"> </w:t>
      </w:r>
      <w:hyperlink r:id="rId55">
        <w:r>
          <w:rPr>
            <w:rStyle w:val="Hyperlink"/>
          </w:rPr>
          <w:t xml:space="preserve">[38]</w:t>
        </w:r>
      </w:hyperlink>
      <w:r>
        <w:br/>
      </w:r>
      <w:r>
        <w:t xml:space="preserve">For fermentation/drying, “events” map naturally: reading captured, stage changed, risk flag raised, intervention logged, sample shipped, QC result published. A publish–subscribe approach is also emphasised as decoupling producers and consumers and supporting responsiveness and fault tolerance.</w:t>
      </w:r>
      <w:r>
        <w:t xml:space="preserve"> </w:t>
      </w:r>
      <w:hyperlink r:id="rId56">
        <w:r>
          <w:rPr>
            <w:rStyle w:val="Hyperlink"/>
          </w:rPr>
          <w:t xml:space="preserve">[39]</w:t>
        </w:r>
      </w:hyperlink>
    </w:p>
    <w:p>
      <w:pPr>
        <w:pStyle w:val="BodyText"/>
      </w:pPr>
      <w:r>
        <w:t xml:space="preserve">To reduce brittle integrations, define a stable event envelope. CloudEvents is a specification for describing event data in a common way, intended to simplify declaration and delivery across services and platforms.</w:t>
      </w:r>
      <w:r>
        <w:t xml:space="preserve"> </w:t>
      </w:r>
      <w:hyperlink r:id="rId57">
        <w:r>
          <w:rPr>
            <w:rStyle w:val="Hyperlink"/>
          </w:rPr>
          <w:t xml:space="preserve">[40]</w:t>
        </w:r>
      </w:hyperlink>
    </w:p>
    <w:p>
      <w:pPr>
        <w:pStyle w:val="BodyText"/>
      </w:pPr>
      <w:r>
        <w:t xml:space="preserve">Auditability without overcomplicating the core system</w:t>
      </w:r>
      <w:r>
        <w:br/>
      </w:r>
      <w:r>
        <w:t xml:space="preserve">If you anticipate disputes (“when did we decide X?”, “what changed?”, “who approved?”), event logs can become part of your proof. Event Sourcing is a pattern where changes to application state are captured as a sequence of events, enabling reconstruction of past states and strong audit capabilities.</w:t>
      </w:r>
      <w:r>
        <w:t xml:space="preserve"> </w:t>
      </w:r>
      <w:hyperlink r:id="rId58">
        <w:r>
          <w:rPr>
            <w:rStyle w:val="Hyperlink"/>
          </w:rPr>
          <w:t xml:space="preserve">[41]</w:t>
        </w:r>
      </w:hyperlink>
      <w:r>
        <w:br/>
      </w:r>
      <w:r>
        <w:t xml:space="preserve">You do not need full event sourcing everywhere; you can apply it selectively to critical domains (lot transformations, approvals, compliance artefacts) while keeping other parts conventional.</w:t>
      </w:r>
    </w:p>
    <w:p>
      <w:pPr>
        <w:pStyle w:val="BodyText"/>
      </w:pPr>
      <w:r>
        <w:t xml:space="preserve">Security is not a feature; it is an engagement precondition</w:t>
      </w:r>
      <w:r>
        <w:br/>
      </w:r>
      <w:r>
        <w:t xml:space="preserve">For B2B roasters, a breach can destroy trust quickly. The OWASP Top 10 is positioned as a reference standard awareness document representing consensus on critical web application security risks and is often recommended as a starting point for building more secure development culture.</w:t>
      </w:r>
      <w:r>
        <w:t xml:space="preserve"> </w:t>
      </w:r>
      <w:hyperlink r:id="rId59">
        <w:r>
          <w:rPr>
            <w:rStyle w:val="Hyperlink"/>
          </w:rPr>
          <w:t xml:space="preserve">[42]</w:t>
        </w:r>
      </w:hyperlink>
      <w:r>
        <w:br/>
      </w:r>
      <w:r>
        <w:t xml:space="preserve">Given your expected roles and permissions, access control is especially load-bearing: OWASP notes broken access control as a major risk category.</w:t>
      </w:r>
      <w:r>
        <w:t xml:space="preserve"> </w:t>
      </w:r>
      <w:hyperlink r:id="rId60">
        <w:r>
          <w:rPr>
            <w:rStyle w:val="Hyperlink"/>
          </w:rPr>
          <w:t xml:space="preserve">[43]</w:t>
        </w:r>
      </w:hyperlink>
    </w:p>
    <w:p>
      <w:pPr>
        <w:pStyle w:val="BodyText"/>
      </w:pPr>
      <w:r>
        <w:t xml:space="preserve">For authentication/authorisation, standards-based approaches reduce bespoke risk. OAuth 2.0 is an authorisation framework enabling limited access to HTTP services, and OpenID Connect is defined as an identity layer on top of OAuth 2.0 enabling identity verification and interoperable profile claims.</w:t>
      </w:r>
      <w:r>
        <w:t xml:space="preserve"> </w:t>
      </w:r>
      <w:hyperlink r:id="rId61">
        <w:r>
          <w:rPr>
            <w:rStyle w:val="Hyperlink"/>
          </w:rPr>
          <w:t xml:space="preserve">[44]</w:t>
        </w:r>
      </w:hyperlink>
    </w:p>
    <w:p>
      <w:pPr>
        <w:pStyle w:val="BodyText"/>
      </w:pPr>
      <w:r>
        <w:t xml:space="preserve">Observability as a product capability</w:t>
      </w:r>
      <w:r>
        <w:br/>
      </w:r>
      <w:r>
        <w:t xml:space="preserve">When a roaster says “the batch page isn’t updating” or “I never got the alert,” you need traceability in your own platform. OpenTelemetry is described as an open-source observability framework providing APIs/libraries/collectors for capturing traces and metrics and is positioned as an open standard for cloud-native telemetry.</w:t>
      </w:r>
      <w:r>
        <w:t xml:space="preserve"> </w:t>
      </w:r>
      <w:hyperlink r:id="rId30">
        <w:r>
          <w:rPr>
            <w:rStyle w:val="Hyperlink"/>
          </w:rPr>
          <w:t xml:space="preserve">[45]</w:t>
        </w:r>
      </w:hyperlink>
      <w:r>
        <w:br/>
      </w:r>
      <w:r>
        <w:t xml:space="preserve">This is directly relevant to training the cloud team: it’s hard to improve UX performance and reliability without end-to-end instrumentation.</w:t>
      </w:r>
    </w:p>
    <w:p>
      <w:pPr>
        <w:pStyle w:val="BodyText"/>
      </w:pPr>
      <w:r>
        <w:t xml:space="preserve">Cloud-native delivery hygiene</w:t>
      </w:r>
      <w:r>
        <w:br/>
      </w:r>
      <w:r>
        <w:t xml:space="preserve">The Twelve-Factor methodology is a widely referenced set of principles applicable across languages and backing services, designed for apps that run in modern cloud environments.</w:t>
      </w:r>
      <w:r>
        <w:t xml:space="preserve"> </w:t>
      </w:r>
      <w:hyperlink r:id="rId62">
        <w:r>
          <w:rPr>
            <w:rStyle w:val="Hyperlink"/>
          </w:rPr>
          <w:t xml:space="preserve">[46]</w:t>
        </w:r>
      </w:hyperlink>
      <w:r>
        <w:br/>
      </w:r>
      <w:r>
        <w:t xml:space="preserve">Using it as a baseline helps your team avoid common drift: configuration in code, snowflake environments, and brittle deployments that slow down UX iteration.</w:t>
      </w:r>
    </w:p>
    <w:p>
      <w:pPr>
        <w:pStyle w:val="BodyText"/>
      </w:pPr>
      <w:r>
        <w:t xml:space="preserve">Complexity management: microservices and CQRS with caution</w:t>
      </w:r>
      <w:r>
        <w:br/>
      </w:r>
      <w:r>
        <w:t xml:space="preserve">If you consider microservices, remember the trade-off: patterns like CQRS can be valuable in specific situations, but they also add complexity and are often cautioned against as risky overkill for many systems.</w:t>
      </w:r>
      <w:r>
        <w:t xml:space="preserve"> </w:t>
      </w:r>
      <w:hyperlink r:id="rId63">
        <w:r>
          <w:rPr>
            <w:rStyle w:val="Hyperlink"/>
          </w:rPr>
          <w:t xml:space="preserve">[47]</w:t>
        </w:r>
      </w:hyperlink>
      <w:r>
        <w:br/>
      </w:r>
      <w:r>
        <w:t xml:space="preserve">This matters for your “Cloud of Code” training because it argues for an explicit decision framework: start with clear bounded domains and operational needs, then evolve architecture only where pain is proven.</w:t>
      </w:r>
    </w:p>
    <w:bookmarkEnd w:id="64"/>
    <w:bookmarkStart w:id="68" w:name="X2143b22c55f3960c53fda01e83636d34be8829e"/>
    <w:p>
      <w:pPr>
        <w:pStyle w:val="Heading2"/>
      </w:pPr>
      <w:r>
        <w:t xml:space="preserve">Training and operating model for a cloud engineering team that improves UX end-to-end</w:t>
      </w:r>
    </w:p>
    <w:p>
      <w:pPr>
        <w:pStyle w:val="FirstParagraph"/>
      </w:pPr>
      <w:r>
        <w:t xml:space="preserve">“Training a cloud team to improve UX” works best when you treat UX as a</w:t>
      </w:r>
      <w:r>
        <w:t xml:space="preserve"> </w:t>
      </w:r>
      <w:r>
        <w:rPr>
          <w:b/>
          <w:bCs/>
        </w:rPr>
        <w:t xml:space="preserve">full-stack outcome</w:t>
      </w:r>
      <w:r>
        <w:t xml:space="preserve">: performance, reliability, data correctness, interaction design, and supportability are inseparable in the user’s experience. The goal is to create a team that can ship improvements safely, measure impact, and learn continuously.</w:t>
      </w:r>
    </w:p>
    <w:p>
      <w:pPr>
        <w:pStyle w:val="BodyText"/>
      </w:pPr>
      <w:r>
        <w:t xml:space="preserve">A structured training curriculum that fits your domain</w:t>
      </w:r>
      <w:r>
        <w:br/>
      </w:r>
      <w:r>
        <w:t xml:space="preserve">A high-leverage programme for a team like Cloud of Code typically has four intertwined tracks:</w:t>
      </w:r>
    </w:p>
    <w:p>
      <w:pPr>
        <w:pStyle w:val="BodyText"/>
      </w:pPr>
      <w:r>
        <w:rPr>
          <w:b/>
          <w:bCs/>
        </w:rPr>
        <w:t xml:space="preserve">Domain immersion (coffee processing as product domain):</w:t>
      </w:r>
      <w:r>
        <w:br/>
      </w:r>
      <w:r>
        <w:t xml:space="preserve">Train engineers to understand the fermentation and drying variables users care about (e.g., pH/°Brix/temperature time series; moisture targets; stability indicators). When engineers understand the domain, they design better data models and avoid “dashboard theatre.”</w:t>
      </w:r>
      <w:r>
        <w:t xml:space="preserve"> </w:t>
      </w:r>
      <w:hyperlink r:id="rId45">
        <w:r>
          <w:rPr>
            <w:rStyle w:val="Hyperlink"/>
          </w:rPr>
          <w:t xml:space="preserve">[48]</w:t>
        </w:r>
      </w:hyperlink>
    </w:p>
    <w:p>
      <w:pPr>
        <w:pStyle w:val="BodyText"/>
      </w:pPr>
      <w:r>
        <w:rPr>
          <w:b/>
          <w:bCs/>
        </w:rPr>
        <w:t xml:space="preserve">Experience design literacy (how to simplify complexity):</w:t>
      </w:r>
      <w:r>
        <w:br/>
      </w:r>
      <w:r>
        <w:t xml:space="preserve">Teach progressive disclosure and microinteraction fundamentals so engineers can implement UX intent with nuance (not just “build what’s in the ticket”). Progressive disclosure reduces error and improves learnability; microinteractions communicate system status and support error prevention.</w:t>
      </w:r>
      <w:r>
        <w:t xml:space="preserve"> </w:t>
      </w:r>
      <w:hyperlink r:id="rId32">
        <w:r>
          <w:rPr>
            <w:rStyle w:val="Hyperlink"/>
          </w:rPr>
          <w:t xml:space="preserve">[49]</w:t>
        </w:r>
      </w:hyperlink>
    </w:p>
    <w:p>
      <w:pPr>
        <w:pStyle w:val="BodyText"/>
      </w:pPr>
      <w:r>
        <w:rPr>
          <w:b/>
          <w:bCs/>
        </w:rPr>
        <w:t xml:space="preserve">Engineering excellence (secure, observable, performant delivery):</w:t>
      </w:r>
      <w:r>
        <w:br/>
      </w:r>
      <w:r>
        <w:t xml:space="preserve">Make OWASP Top 10 awareness non-negotiable, and enforce an authentication/authorisation baseline using well-established standards (OAuth2/OIDC). Over time, introduce event-driven patterns for process updates and CloudEvents-style event contracts where they reduce coupling.</w:t>
      </w:r>
      <w:r>
        <w:t xml:space="preserve"> </w:t>
      </w:r>
      <w:hyperlink r:id="rId59">
        <w:r>
          <w:rPr>
            <w:rStyle w:val="Hyperlink"/>
          </w:rPr>
          <w:t xml:space="preserve">[50]</w:t>
        </w:r>
      </w:hyperlink>
    </w:p>
    <w:p>
      <w:pPr>
        <w:pStyle w:val="BodyText"/>
      </w:pPr>
      <w:r>
        <w:rPr>
          <w:b/>
          <w:bCs/>
        </w:rPr>
        <w:t xml:space="preserve">Measurement and continuous improvement (prove you improved UX):</w:t>
      </w:r>
      <w:r>
        <w:br/>
      </w:r>
      <w:r>
        <w:t xml:space="preserve">Adopt DORA metrics as the delivery performance lens. DORA defines stability/instability measures such as change fail rate and recovery measures, and other industry guides summarise the four key metrics (deployment frequency, lead time, change failure rate, time to restore).</w:t>
      </w:r>
      <w:r>
        <w:t xml:space="preserve"> </w:t>
      </w:r>
      <w:hyperlink r:id="rId53">
        <w:r>
          <w:rPr>
            <w:rStyle w:val="Hyperlink"/>
          </w:rPr>
          <w:t xml:space="preserve">[51]</w:t>
        </w:r>
      </w:hyperlink>
      <w:r>
        <w:br/>
      </w:r>
      <w:r>
        <w:t xml:space="preserve">For UX itself, use a lightweight usability benchmark like SUS (robust and reliable) to track whether the product is improving from the user’s perspective.</w:t>
      </w:r>
      <w:r>
        <w:t xml:space="preserve"> </w:t>
      </w:r>
      <w:hyperlink r:id="rId42">
        <w:r>
          <w:rPr>
            <w:rStyle w:val="Hyperlink"/>
          </w:rPr>
          <w:t xml:space="preserve">[25]</w:t>
        </w:r>
      </w:hyperlink>
    </w:p>
    <w:p>
      <w:pPr>
        <w:pStyle w:val="BodyText"/>
      </w:pPr>
      <w:r>
        <w:t xml:space="preserve">Operating routines that create compounding improvements</w:t>
      </w:r>
      <w:r>
        <w:br/>
      </w:r>
      <w:r>
        <w:t xml:space="preserve">A cloud team improves UX when its rituals force learning loops:</w:t>
      </w:r>
    </w:p>
    <w:p>
      <w:pPr>
        <w:pStyle w:val="Compact"/>
        <w:numPr>
          <w:ilvl w:val="0"/>
          <w:numId w:val="1003"/>
        </w:numPr>
      </w:pPr>
      <w:r>
        <w:rPr>
          <w:b/>
          <w:bCs/>
        </w:rPr>
        <w:t xml:space="preserve">Service blueprinting workshops</w:t>
      </w:r>
      <w:r>
        <w:t xml:space="preserve"> </w:t>
      </w:r>
      <w:r>
        <w:t xml:space="preserve">to align frontstage (roaster experience) and backstage (your processing ops, QC workflows, approvals). A service blueprint is defined as visualising relationships between service components tied to touchpoints in a customer journey—ideal for your “origin operations → digital experience” challenge.</w:t>
      </w:r>
      <w:r>
        <w:t xml:space="preserve"> </w:t>
      </w:r>
      <w:hyperlink r:id="rId65">
        <w:r>
          <w:rPr>
            <w:rStyle w:val="Hyperlink"/>
          </w:rPr>
          <w:t xml:space="preserve">[52]</w:t>
        </w:r>
      </w:hyperlink>
    </w:p>
    <w:p>
      <w:pPr>
        <w:pStyle w:val="Compact"/>
        <w:numPr>
          <w:ilvl w:val="0"/>
          <w:numId w:val="1003"/>
        </w:numPr>
      </w:pPr>
      <w:r>
        <w:rPr>
          <w:b/>
          <w:bCs/>
        </w:rPr>
        <w:t xml:space="preserve">Performance budgets</w:t>
      </w:r>
      <w:r>
        <w:t xml:space="preserve"> </w:t>
      </w:r>
      <w:r>
        <w:t xml:space="preserve">anchored on Core Web Vitals (LCP/INP/CLS) so UX speed stays a product requirement, not a last-minute optimisation.</w:t>
      </w:r>
      <w:r>
        <w:t xml:space="preserve"> </w:t>
      </w:r>
      <w:hyperlink r:id="rId66">
        <w:r>
          <w:rPr>
            <w:rStyle w:val="Hyperlink"/>
          </w:rPr>
          <w:t xml:space="preserve">[53]</w:t>
        </w:r>
      </w:hyperlink>
    </w:p>
    <w:p>
      <w:pPr>
        <w:pStyle w:val="Compact"/>
        <w:numPr>
          <w:ilvl w:val="0"/>
          <w:numId w:val="1003"/>
        </w:numPr>
      </w:pPr>
      <w:r>
        <w:rPr>
          <w:b/>
          <w:bCs/>
        </w:rPr>
        <w:t xml:space="preserve">Incident reviews tied to user experience</w:t>
      </w:r>
      <w:r>
        <w:t xml:space="preserve">, supported by observability standards, so reliability issues turn into backlog improvements rather than repeated pain.</w:t>
      </w:r>
      <w:r>
        <w:t xml:space="preserve"> </w:t>
      </w:r>
      <w:hyperlink r:id="rId67">
        <w:r>
          <w:rPr>
            <w:rStyle w:val="Hyperlink"/>
          </w:rPr>
          <w:t xml:space="preserve">[54]</w:t>
        </w:r>
      </w:hyperlink>
    </w:p>
    <w:p>
      <w:pPr>
        <w:pStyle w:val="FirstParagraph"/>
      </w:pPr>
      <w:r>
        <w:t xml:space="preserve">A practical definition of “done” for this kind of platform</w:t>
      </w:r>
      <w:r>
        <w:br/>
      </w:r>
      <w:r>
        <w:t xml:space="preserve">To keep UX improvements consistent across front and backend, a “done” definition should require evidence in four areas:</w:t>
      </w:r>
    </w:p>
    <w:p>
      <w:pPr>
        <w:pStyle w:val="Compact"/>
        <w:numPr>
          <w:ilvl w:val="0"/>
          <w:numId w:val="1004"/>
        </w:numPr>
      </w:pPr>
      <w:r>
        <w:rPr>
          <w:b/>
          <w:bCs/>
        </w:rPr>
        <w:t xml:space="preserve">User value:</w:t>
      </w:r>
      <w:r>
        <w:t xml:space="preserve"> </w:t>
      </w:r>
      <w:r>
        <w:t xml:space="preserve">measurable improvement in a roaster task or decision (validated through tests and SUS deltas).</w:t>
      </w:r>
      <w:r>
        <w:t xml:space="preserve"> </w:t>
      </w:r>
      <w:hyperlink r:id="rId42">
        <w:r>
          <w:rPr>
            <w:rStyle w:val="Hyperlink"/>
          </w:rPr>
          <w:t xml:space="preserve">[25]</w:t>
        </w:r>
      </w:hyperlink>
    </w:p>
    <w:p>
      <w:pPr>
        <w:pStyle w:val="Compact"/>
        <w:numPr>
          <w:ilvl w:val="0"/>
          <w:numId w:val="1004"/>
        </w:numPr>
      </w:pPr>
      <w:r>
        <w:rPr>
          <w:b/>
          <w:bCs/>
        </w:rPr>
        <w:t xml:space="preserve">Performance:</w:t>
      </w:r>
      <w:r>
        <w:t xml:space="preserve"> </w:t>
      </w:r>
      <w:r>
        <w:t xml:space="preserve">no regression versus Core Web Vitals targets; fast “now view” for live lots.</w:t>
      </w:r>
      <w:r>
        <w:t xml:space="preserve"> </w:t>
      </w:r>
      <w:hyperlink r:id="rId66">
        <w:r>
          <w:rPr>
            <w:rStyle w:val="Hyperlink"/>
          </w:rPr>
          <w:t xml:space="preserve">[53]</w:t>
        </w:r>
      </w:hyperlink>
    </w:p>
    <w:p>
      <w:pPr>
        <w:pStyle w:val="Compact"/>
        <w:numPr>
          <w:ilvl w:val="0"/>
          <w:numId w:val="1004"/>
        </w:numPr>
      </w:pPr>
      <w:r>
        <w:rPr>
          <w:b/>
          <w:bCs/>
        </w:rPr>
        <w:t xml:space="preserve">Security:</w:t>
      </w:r>
      <w:r>
        <w:t xml:space="preserve"> </w:t>
      </w:r>
      <w:r>
        <w:t xml:space="preserve">explicit access control checks aligned with common web risk guidance; no obvious OWASP-category regressions.</w:t>
      </w:r>
      <w:r>
        <w:t xml:space="preserve"> </w:t>
      </w:r>
      <w:hyperlink r:id="rId59">
        <w:r>
          <w:rPr>
            <w:rStyle w:val="Hyperlink"/>
          </w:rPr>
          <w:t xml:space="preserve">[55]</w:t>
        </w:r>
      </w:hyperlink>
    </w:p>
    <w:p>
      <w:pPr>
        <w:pStyle w:val="Compact"/>
        <w:numPr>
          <w:ilvl w:val="0"/>
          <w:numId w:val="1004"/>
        </w:numPr>
      </w:pPr>
      <w:r>
        <w:rPr>
          <w:b/>
          <w:bCs/>
        </w:rPr>
        <w:t xml:space="preserve">Traceability:</w:t>
      </w:r>
      <w:r>
        <w:t xml:space="preserve"> </w:t>
      </w:r>
      <w:r>
        <w:t xml:space="preserve">changes preserve lot history and transformation records consistent with traceability system design principles.</w:t>
      </w:r>
      <w:r>
        <w:t xml:space="preserve"> </w:t>
      </w:r>
      <w:hyperlink r:id="rId26">
        <w:r>
          <w:rPr>
            <w:rStyle w:val="Hyperlink"/>
          </w:rPr>
          <w:t xml:space="preserve">[56]</w:t>
        </w:r>
      </w:hyperlink>
    </w:p>
    <w:bookmarkEnd w:id="68"/>
    <w:bookmarkEnd w:id="69"/>
    <w:bookmarkEnd w:id="70"/>
    <w:p>
      <w:r>
        <w:pict>
          <v:rect style="width:0;height:1.5pt" o:hralign="center" o:hrstd="t" o:hr="t"/>
        </w:pict>
      </w:r>
    </w:p>
    <w:bookmarkStart w:id="71" w:name="citations"/>
    <w:p>
      <w:pPr>
        <w:pStyle w:val="FirstParagraph"/>
      </w:pPr>
      <w:hyperlink r:id="rId21">
        <w:r>
          <w:rPr>
            <w:rStyle w:val="Hyperlink"/>
          </w:rPr>
          <w:t xml:space="preserve">[1]</w:t>
        </w:r>
      </w:hyperlink>
      <w:r>
        <w:t xml:space="preserve"> </w:t>
      </w:r>
      <w:r>
        <w:t xml:space="preserve">The Fermentation Effect - 25 Magazine, Issue 10</w:t>
      </w:r>
    </w:p>
    <w:p>
      <w:pPr>
        <w:pStyle w:val="BodyText"/>
      </w:pPr>
      <w:hyperlink r:id="rId21">
        <w:r>
          <w:rPr>
            <w:rStyle w:val="Hyperlink"/>
          </w:rPr>
          <w:t xml:space="preserve">https://sca.coffee/sca-news/25-magazine/issue-10/english/the-fermentation-effect-25-magazine-issue-10?utm_source=chatgpt.com</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r>
        <w:t xml:space="preserve">Self-Determination Theory and the Facilitation of Intrinsic ...</w:t>
      </w:r>
    </w:p>
    <w:p>
      <w:pPr>
        <w:pStyle w:val="BodyText"/>
      </w:pPr>
      <w:hyperlink r:id="rId22">
        <w:r>
          <w:rPr>
            <w:rStyle w:val="Hyperlink"/>
          </w:rPr>
          <w:t xml:space="preserve">https://selfdeterminationtheory.org/SDT/documents/2000_RyanDeci_SDT.pdf?utm_source=chatgpt.com</w:t>
        </w:r>
      </w:hyperlink>
    </w:p>
    <w:p>
      <w:pPr>
        <w:pStyle w:val="BodyText"/>
      </w:pPr>
      <w:hyperlink r:id="rId23">
        <w:r>
          <w:rPr>
            <w:rStyle w:val="Hyperlink"/>
          </w:rPr>
          <w:t xml:space="preserve">[3]</w:t>
        </w:r>
      </w:hyperlink>
      <w:r>
        <w:t xml:space="preserve"> </w:t>
      </w:r>
      <w:hyperlink r:id="rId23">
        <w:r>
          <w:rPr>
            <w:rStyle w:val="Hyperlink"/>
          </w:rPr>
          <w:t xml:space="preserve">[8]</w:t>
        </w:r>
      </w:hyperlink>
      <w:r>
        <w:t xml:space="preserve"> </w:t>
      </w:r>
      <w:hyperlink r:id="rId23">
        <w:r>
          <w:rPr>
            <w:rStyle w:val="Hyperlink"/>
          </w:rPr>
          <w:t xml:space="preserve">[10]</w:t>
        </w:r>
      </w:hyperlink>
      <w:r>
        <w:t xml:space="preserve"> </w:t>
      </w:r>
      <w:hyperlink r:id="rId23">
        <w:r>
          <w:rPr>
            <w:rStyle w:val="Hyperlink"/>
          </w:rPr>
          <w:t xml:space="preserve">[20]</w:t>
        </w:r>
      </w:hyperlink>
      <w:r>
        <w:t xml:space="preserve"> </w:t>
      </w:r>
      <w:r>
        <w:t xml:space="preserve">Autonomy, Relatedness, and Competence in UX Design</w:t>
      </w:r>
    </w:p>
    <w:p>
      <w:pPr>
        <w:pStyle w:val="BodyText"/>
      </w:pPr>
      <w:hyperlink r:id="rId23">
        <w:r>
          <w:rPr>
            <w:rStyle w:val="Hyperlink"/>
          </w:rPr>
          <w:t xml:space="preserve">https://www.nngroup.com/articles/autonomy-relatedness-competence/?utm_source=chatgpt.com</w:t>
        </w:r>
      </w:hyperlink>
    </w:p>
    <w:p>
      <w:pPr>
        <w:pStyle w:val="BodyText"/>
      </w:pPr>
      <w:hyperlink r:id="rId24">
        <w:r>
          <w:rPr>
            <w:rStyle w:val="Hyperlink"/>
          </w:rPr>
          <w:t xml:space="preserve">[5]</w:t>
        </w:r>
      </w:hyperlink>
      <w:r>
        <w:t xml:space="preserve"> </w:t>
      </w:r>
      <w:r>
        <w:t xml:space="preserve">Meet Algrano: A Tech-Based Platform Connecting ...</w:t>
      </w:r>
    </w:p>
    <w:p>
      <w:pPr>
        <w:pStyle w:val="BodyText"/>
      </w:pPr>
      <w:hyperlink r:id="rId24">
        <w:r>
          <w:rPr>
            <w:rStyle w:val="Hyperlink"/>
          </w:rPr>
          <w:t xml:space="preserve">https://dailycoffeenews.com/2015/06/15/meet-algrano-a-tech-based-platform-connecting-roasters-and-producers/?utm_source=chatgpt.com</w:t>
        </w:r>
      </w:hyperlink>
    </w:p>
    <w:p>
      <w:pPr>
        <w:pStyle w:val="BodyText"/>
      </w:pPr>
      <w:hyperlink r:id="rId26">
        <w:r>
          <w:rPr>
            <w:rStyle w:val="Hyperlink"/>
          </w:rPr>
          <w:t xml:space="preserve">[6]</w:t>
        </w:r>
      </w:hyperlink>
      <w:r>
        <w:t xml:space="preserve"> </w:t>
      </w:r>
      <w:hyperlink r:id="rId26">
        <w:r>
          <w:rPr>
            <w:rStyle w:val="Hyperlink"/>
          </w:rPr>
          <w:t xml:space="preserve">[26]</w:t>
        </w:r>
      </w:hyperlink>
      <w:r>
        <w:t xml:space="preserve"> </w:t>
      </w:r>
      <w:hyperlink r:id="rId26">
        <w:r>
          <w:rPr>
            <w:rStyle w:val="Hyperlink"/>
          </w:rPr>
          <w:t xml:space="preserve">[56]</w:t>
        </w:r>
      </w:hyperlink>
      <w:r>
        <w:t xml:space="preserve"> </w:t>
      </w:r>
      <w:r>
        <w:t xml:space="preserve">ISO 22005:2007 - Traceability in the feed and food chain</w:t>
      </w:r>
    </w:p>
    <w:p>
      <w:pPr>
        <w:pStyle w:val="BodyText"/>
      </w:pPr>
      <w:hyperlink r:id="rId26">
        <w:r>
          <w:rPr>
            <w:rStyle w:val="Hyperlink"/>
          </w:rPr>
          <w:t xml:space="preserve">https://www.iso.org/standard/36297.html?utm_source=chatgpt.com</w:t>
        </w:r>
      </w:hyperlink>
    </w:p>
    <w:p>
      <w:pPr>
        <w:pStyle w:val="BodyText"/>
      </w:pPr>
      <w:hyperlink r:id="rId27">
        <w:r>
          <w:rPr>
            <w:rStyle w:val="Hyperlink"/>
          </w:rPr>
          <w:t xml:space="preserve">[7]</w:t>
        </w:r>
      </w:hyperlink>
      <w:r>
        <w:t xml:space="preserve"> </w:t>
      </w:r>
      <w:r>
        <w:t xml:space="preserve">1850® Coffee Brand and Farmer Connect to Bring ...</w:t>
      </w:r>
    </w:p>
    <w:p>
      <w:pPr>
        <w:pStyle w:val="BodyText"/>
      </w:pPr>
      <w:hyperlink r:id="rId27">
        <w:r>
          <w:rPr>
            <w:rStyle w:val="Hyperlink"/>
          </w:rPr>
          <w:t xml:space="preserve">https://newsroom.ibm.com/2020-07-15-1850-R-Coffee-Brand-and-Farmer-Connect-to-Bring-Coffee-Lovers-and-Producers-Closer-Together-Using-IBM-Blockchain-Technology?utm_source=chatgpt.com</w:t>
        </w:r>
      </w:hyperlink>
    </w:p>
    <w:p>
      <w:pPr>
        <w:pStyle w:val="BodyText"/>
      </w:pPr>
      <w:hyperlink r:id="rId28">
        <w:r>
          <w:rPr>
            <w:rStyle w:val="Hyperlink"/>
          </w:rPr>
          <w:t xml:space="preserve">[9]</w:t>
        </w:r>
      </w:hyperlink>
      <w:r>
        <w:t xml:space="preserve"> </w:t>
      </w:r>
      <w:hyperlink r:id="rId28">
        <w:r>
          <w:rPr>
            <w:rStyle w:val="Hyperlink"/>
          </w:rPr>
          <w:t xml:space="preserve">[32]</w:t>
        </w:r>
      </w:hyperlink>
      <w:r>
        <w:t xml:space="preserve"> </w:t>
      </w:r>
      <w:r>
        <w:t xml:space="preserve">Cropster Origin Features | Manage and Sell Your Coffee</w:t>
      </w:r>
    </w:p>
    <w:p>
      <w:pPr>
        <w:pStyle w:val="BodyText"/>
      </w:pPr>
      <w:hyperlink r:id="rId28">
        <w:r>
          <w:rPr>
            <w:rStyle w:val="Hyperlink"/>
          </w:rPr>
          <w:t xml:space="preserve">https://www.cropster.com/products/origin/features/?utm_source=chatgpt.com</w:t>
        </w:r>
      </w:hyperlink>
    </w:p>
    <w:p>
      <w:pPr>
        <w:pStyle w:val="BodyText"/>
      </w:pPr>
      <w:hyperlink r:id="rId29">
        <w:r>
          <w:rPr>
            <w:rStyle w:val="Hyperlink"/>
          </w:rPr>
          <w:t xml:space="preserve">[11]</w:t>
        </w:r>
      </w:hyperlink>
      <w:r>
        <w:t xml:space="preserve"> </w:t>
      </w:r>
      <w:r>
        <w:t xml:space="preserve">Algrano: Home</w:t>
      </w:r>
    </w:p>
    <w:p>
      <w:pPr>
        <w:pStyle w:val="BodyText"/>
      </w:pPr>
      <w:hyperlink r:id="rId29">
        <w:r>
          <w:rPr>
            <w:rStyle w:val="Hyperlink"/>
          </w:rPr>
          <w:t xml:space="preserve">https://algrano.com/?utm_source=chatgpt.com</w:t>
        </w:r>
      </w:hyperlink>
    </w:p>
    <w:p>
      <w:pPr>
        <w:pStyle w:val="BodyText"/>
      </w:pPr>
      <w:hyperlink r:id="rId30">
        <w:r>
          <w:rPr>
            <w:rStyle w:val="Hyperlink"/>
          </w:rPr>
          <w:t xml:space="preserve">[12]</w:t>
        </w:r>
      </w:hyperlink>
      <w:r>
        <w:t xml:space="preserve"> </w:t>
      </w:r>
      <w:hyperlink r:id="rId30">
        <w:r>
          <w:rPr>
            <w:rStyle w:val="Hyperlink"/>
          </w:rPr>
          <w:t xml:space="preserve">[45]</w:t>
        </w:r>
      </w:hyperlink>
      <w:r>
        <w:t xml:space="preserve"> </w:t>
      </w:r>
      <w:r>
        <w:t xml:space="preserve">OpenTelemetry</w:t>
      </w:r>
    </w:p>
    <w:p>
      <w:pPr>
        <w:pStyle w:val="BodyText"/>
      </w:pPr>
      <w:hyperlink r:id="rId30">
        <w:r>
          <w:rPr>
            <w:rStyle w:val="Hyperlink"/>
          </w:rPr>
          <w:t xml:space="preserve">https://opentelemetry.io/?utm_source=chatgpt.com</w:t>
        </w:r>
      </w:hyperlink>
    </w:p>
    <w:p>
      <w:pPr>
        <w:pStyle w:val="BodyText"/>
      </w:pPr>
      <w:hyperlink r:id="rId31">
        <w:r>
          <w:rPr>
            <w:rStyle w:val="Hyperlink"/>
          </w:rPr>
          <w:t xml:space="preserve">[13]</w:t>
        </w:r>
      </w:hyperlink>
      <w:r>
        <w:t xml:space="preserve"> </w:t>
      </w:r>
      <w:r>
        <w:t xml:space="preserve">Enveritas</w:t>
      </w:r>
    </w:p>
    <w:p>
      <w:pPr>
        <w:pStyle w:val="BodyText"/>
      </w:pPr>
      <w:hyperlink r:id="rId31">
        <w:r>
          <w:rPr>
            <w:rStyle w:val="Hyperlink"/>
          </w:rPr>
          <w:t xml:space="preserve">https://www.enveritas.org/?utm_source=chatgpt.com</w:t>
        </w:r>
      </w:hyperlink>
    </w:p>
    <w:p>
      <w:pPr>
        <w:pStyle w:val="BodyText"/>
      </w:pPr>
      <w:hyperlink r:id="rId32">
        <w:r>
          <w:rPr>
            <w:rStyle w:val="Hyperlink"/>
          </w:rPr>
          <w:t xml:space="preserve">[14]</w:t>
        </w:r>
      </w:hyperlink>
      <w:r>
        <w:t xml:space="preserve"> </w:t>
      </w:r>
      <w:hyperlink r:id="rId32">
        <w:r>
          <w:rPr>
            <w:rStyle w:val="Hyperlink"/>
          </w:rPr>
          <w:t xml:space="preserve">[17]</w:t>
        </w:r>
      </w:hyperlink>
      <w:r>
        <w:t xml:space="preserve"> </w:t>
      </w:r>
      <w:hyperlink r:id="rId32">
        <w:r>
          <w:rPr>
            <w:rStyle w:val="Hyperlink"/>
          </w:rPr>
          <w:t xml:space="preserve">[49]</w:t>
        </w:r>
      </w:hyperlink>
      <w:r>
        <w:t xml:space="preserve"> </w:t>
      </w:r>
      <w:r>
        <w:t xml:space="preserve">Progressive Disclosure</w:t>
      </w:r>
    </w:p>
    <w:p>
      <w:pPr>
        <w:pStyle w:val="BodyText"/>
      </w:pPr>
      <w:hyperlink r:id="rId32">
        <w:r>
          <w:rPr>
            <w:rStyle w:val="Hyperlink"/>
          </w:rPr>
          <w:t xml:space="preserve">https://www.nngroup.com/articles/progressive-disclosure/?utm_source=chatgpt.com</w:t>
        </w:r>
      </w:hyperlink>
    </w:p>
    <w:p>
      <w:pPr>
        <w:pStyle w:val="BodyText"/>
      </w:pPr>
      <w:hyperlink r:id="rId33">
        <w:r>
          <w:rPr>
            <w:rStyle w:val="Hyperlink"/>
          </w:rPr>
          <w:t xml:space="preserve">[15]</w:t>
        </w:r>
      </w:hyperlink>
      <w:r>
        <w:t xml:space="preserve"> </w:t>
      </w:r>
      <w:r>
        <w:t xml:space="preserve">Bext360</w:t>
      </w:r>
    </w:p>
    <w:p>
      <w:pPr>
        <w:pStyle w:val="BodyText"/>
      </w:pPr>
      <w:hyperlink r:id="rId33">
        <w:r>
          <w:rPr>
            <w:rStyle w:val="Hyperlink"/>
          </w:rPr>
          <w:t xml:space="preserve">https://www.bext360.com/?utm_source=chatgpt.com</w:t>
        </w:r>
      </w:hyperlink>
    </w:p>
    <w:p>
      <w:pPr>
        <w:pStyle w:val="BodyText"/>
      </w:pPr>
      <w:hyperlink r:id="rId34">
        <w:r>
          <w:rPr>
            <w:rStyle w:val="Hyperlink"/>
          </w:rPr>
          <w:t xml:space="preserve">[16]</w:t>
        </w:r>
      </w:hyperlink>
      <w:r>
        <w:t xml:space="preserve"> </w:t>
      </w:r>
      <w:r>
        <w:t xml:space="preserve">A Guide to Sourcing and Selling Green Coffee Directly</w:t>
      </w:r>
    </w:p>
    <w:p>
      <w:pPr>
        <w:pStyle w:val="BodyText"/>
      </w:pPr>
      <w:hyperlink r:id="rId34">
        <w:r>
          <w:rPr>
            <w:rStyle w:val="Hyperlink"/>
          </w:rPr>
          <w:t xml:space="preserve">https://green.sca.coffee/resources/a-guide-to-sourcing-and-selling-green-coffee-directly?utm_source=chatgpt.com</w:t>
        </w:r>
      </w:hyperlink>
    </w:p>
    <w:p>
      <w:pPr>
        <w:pStyle w:val="BodyText"/>
      </w:pPr>
      <w:hyperlink r:id="rId36">
        <w:r>
          <w:rPr>
            <w:rStyle w:val="Hyperlink"/>
          </w:rPr>
          <w:t xml:space="preserve">[18]</w:t>
        </w:r>
      </w:hyperlink>
      <w:r>
        <w:t xml:space="preserve"> </w:t>
      </w:r>
      <w:r>
        <w:t xml:space="preserve">Microinteractions in User Experience</w:t>
      </w:r>
    </w:p>
    <w:p>
      <w:pPr>
        <w:pStyle w:val="BodyText"/>
      </w:pPr>
      <w:hyperlink r:id="rId36">
        <w:r>
          <w:rPr>
            <w:rStyle w:val="Hyperlink"/>
          </w:rPr>
          <w:t xml:space="preserve">https://www.nngroup.com/articles/microinteractions/?utm_source=chatgpt.com</w:t>
        </w:r>
      </w:hyperlink>
    </w:p>
    <w:p>
      <w:pPr>
        <w:pStyle w:val="BodyText"/>
      </w:pPr>
      <w:hyperlink r:id="rId37">
        <w:r>
          <w:rPr>
            <w:rStyle w:val="Hyperlink"/>
          </w:rPr>
          <w:t xml:space="preserve">[19]</w:t>
        </w:r>
      </w:hyperlink>
      <w:r>
        <w:t xml:space="preserve"> </w:t>
      </w:r>
      <w:r>
        <w:t xml:space="preserve">Gamification in the User Experience (Video) - NN/G</w:t>
      </w:r>
    </w:p>
    <w:p>
      <w:pPr>
        <w:pStyle w:val="BodyText"/>
      </w:pPr>
      <w:hyperlink r:id="rId37">
        <w:r>
          <w:rPr>
            <w:rStyle w:val="Hyperlink"/>
          </w:rPr>
          <w:t xml:space="preserve">https://www.nngroup.com/videos/gamification-user-experience/?utm_source=chatgpt.com</w:t>
        </w:r>
      </w:hyperlink>
    </w:p>
    <w:p>
      <w:pPr>
        <w:pStyle w:val="BodyText"/>
      </w:pPr>
      <w:hyperlink r:id="rId38">
        <w:r>
          <w:rPr>
            <w:rStyle w:val="Hyperlink"/>
          </w:rPr>
          <w:t xml:space="preserve">[21]</w:t>
        </w:r>
      </w:hyperlink>
      <w:r>
        <w:t xml:space="preserve"> </w:t>
      </w:r>
      <w:r>
        <w:t xml:space="preserve">How the Core Web Vitals metrics thresholds were defined</w:t>
      </w:r>
    </w:p>
    <w:p>
      <w:pPr>
        <w:pStyle w:val="BodyText"/>
      </w:pPr>
      <w:hyperlink r:id="rId38">
        <w:r>
          <w:rPr>
            <w:rStyle w:val="Hyperlink"/>
          </w:rPr>
          <w:t xml:space="preserve">https://web.dev/articles/defining-core-web-vitals-thresholds?utm_source=chatgpt.com</w:t>
        </w:r>
      </w:hyperlink>
    </w:p>
    <w:p>
      <w:pPr>
        <w:pStyle w:val="BodyText"/>
      </w:pPr>
      <w:hyperlink r:id="rId39">
        <w:r>
          <w:rPr>
            <w:rStyle w:val="Hyperlink"/>
          </w:rPr>
          <w:t xml:space="preserve">[22]</w:t>
        </w:r>
      </w:hyperlink>
      <w:r>
        <w:t xml:space="preserve"> </w:t>
      </w:r>
      <w:r>
        <w:t xml:space="preserve">What makes a good Progressive Web App?</w:t>
      </w:r>
    </w:p>
    <w:p>
      <w:pPr>
        <w:pStyle w:val="BodyText"/>
      </w:pPr>
      <w:hyperlink r:id="rId39">
        <w:r>
          <w:rPr>
            <w:rStyle w:val="Hyperlink"/>
          </w:rPr>
          <w:t xml:space="preserve">https://web.dev/articles/pwa-checklist?utm_source=chatgpt.com</w:t>
        </w:r>
      </w:hyperlink>
    </w:p>
    <w:p>
      <w:pPr>
        <w:pStyle w:val="BodyText"/>
      </w:pPr>
      <w:hyperlink r:id="rId40">
        <w:r>
          <w:rPr>
            <w:rStyle w:val="Hyperlink"/>
          </w:rPr>
          <w:t xml:space="preserve">[23]</w:t>
        </w:r>
      </w:hyperlink>
      <w:r>
        <w:t xml:space="preserve"> </w:t>
      </w:r>
      <w:r>
        <w:t xml:space="preserve">Progressive Web Apps</w:t>
      </w:r>
    </w:p>
    <w:p>
      <w:pPr>
        <w:pStyle w:val="BodyText"/>
      </w:pPr>
      <w:hyperlink r:id="rId40">
        <w:r>
          <w:rPr>
            <w:rStyle w:val="Hyperlink"/>
          </w:rPr>
          <w:t xml:space="preserve">https://web.dev/explore/progressive-web-apps?utm_source=chatgpt.com</w:t>
        </w:r>
      </w:hyperlink>
    </w:p>
    <w:p>
      <w:pPr>
        <w:pStyle w:val="BodyText"/>
      </w:pPr>
      <w:hyperlink r:id="rId41">
        <w:r>
          <w:rPr>
            <w:rStyle w:val="Hyperlink"/>
          </w:rPr>
          <w:t xml:space="preserve">[24]</w:t>
        </w:r>
      </w:hyperlink>
      <w:r>
        <w:t xml:space="preserve"> </w:t>
      </w:r>
      <w:r>
        <w:t xml:space="preserve">Web Content Accessibility Guidelines (WCAG) 2.2</w:t>
      </w:r>
    </w:p>
    <w:p>
      <w:pPr>
        <w:pStyle w:val="BodyText"/>
      </w:pPr>
      <w:hyperlink r:id="rId41">
        <w:r>
          <w:rPr>
            <w:rStyle w:val="Hyperlink"/>
          </w:rPr>
          <w:t xml:space="preserve">https://www.w3.org/TR/WCAG22/?utm_source=chatgpt.com</w:t>
        </w:r>
      </w:hyperlink>
    </w:p>
    <w:p>
      <w:pPr>
        <w:pStyle w:val="BodyText"/>
      </w:pPr>
      <w:hyperlink r:id="rId42">
        <w:r>
          <w:rPr>
            <w:rStyle w:val="Hyperlink"/>
          </w:rPr>
          <w:t xml:space="preserve">[25]</w:t>
        </w:r>
      </w:hyperlink>
      <w:r>
        <w:t xml:space="preserve"> </w:t>
      </w:r>
      <w:r>
        <w:t xml:space="preserve">SUS - A quick and dirty usability scale</w:t>
      </w:r>
    </w:p>
    <w:p>
      <w:pPr>
        <w:pStyle w:val="BodyText"/>
      </w:pPr>
      <w:hyperlink r:id="rId42">
        <w:r>
          <w:rPr>
            <w:rStyle w:val="Hyperlink"/>
          </w:rPr>
          <w:t xml:space="preserve">https://digital.ahrq.gov/sites/default/files/docs/survey/systemusabilityscale%2528sus%2529_comp%255B1%255D.pdf?utm_source=chatgpt.com</w:t>
        </w:r>
      </w:hyperlink>
    </w:p>
    <w:p>
      <w:pPr>
        <w:pStyle w:val="BodyText"/>
      </w:pPr>
      <w:hyperlink r:id="rId44">
        <w:r>
          <w:rPr>
            <w:rStyle w:val="Hyperlink"/>
          </w:rPr>
          <w:t xml:space="preserve">[27]</w:t>
        </w:r>
      </w:hyperlink>
      <w:r>
        <w:t xml:space="preserve"> </w:t>
      </w:r>
      <w:r>
        <w:t xml:space="preserve">Deforestation: Council signs off targeted revision to simplify ...</w:t>
      </w:r>
    </w:p>
    <w:p>
      <w:pPr>
        <w:pStyle w:val="BodyText"/>
      </w:pPr>
      <w:hyperlink r:id="rId44">
        <w:r>
          <w:rPr>
            <w:rStyle w:val="Hyperlink"/>
          </w:rPr>
          <w:t xml:space="preserve">https://www.consilium.europa.eu/en/press/press-releases/2025/12/18/deforestation-council-signs-off-targeted-revision-to-simplify-and-postpone-the-regulation/?utm_source=chatgpt.com</w:t>
        </w:r>
      </w:hyperlink>
    </w:p>
    <w:p>
      <w:pPr>
        <w:pStyle w:val="BodyText"/>
      </w:pPr>
      <w:hyperlink r:id="rId45">
        <w:r>
          <w:rPr>
            <w:rStyle w:val="Hyperlink"/>
          </w:rPr>
          <w:t xml:space="preserve">[28]</w:t>
        </w:r>
      </w:hyperlink>
      <w:r>
        <w:t xml:space="preserve"> </w:t>
      </w:r>
      <w:hyperlink r:id="rId45">
        <w:r>
          <w:rPr>
            <w:rStyle w:val="Hyperlink"/>
          </w:rPr>
          <w:t xml:space="preserve">[48]</w:t>
        </w:r>
      </w:hyperlink>
      <w:r>
        <w:t xml:space="preserve"> </w:t>
      </w:r>
      <w:r>
        <w:t xml:space="preserve">Coffee fermentation using polyethylene bags as a bioreactor</w:t>
      </w:r>
    </w:p>
    <w:p>
      <w:pPr>
        <w:pStyle w:val="BodyText"/>
      </w:pPr>
      <w:hyperlink r:id="rId45">
        <w:r>
          <w:rPr>
            <w:rStyle w:val="Hyperlink"/>
          </w:rPr>
          <w:t xml:space="preserve">https://www.sciencedirect.com/science/article/abs/pii/S1878818125003822?utm_source=chatgpt.com</w:t>
        </w:r>
      </w:hyperlink>
    </w:p>
    <w:p>
      <w:pPr>
        <w:pStyle w:val="BodyText"/>
      </w:pPr>
      <w:hyperlink r:id="rId46">
        <w:r>
          <w:rPr>
            <w:rStyle w:val="Hyperlink"/>
          </w:rPr>
          <w:t xml:space="preserve">[29]</w:t>
        </w:r>
      </w:hyperlink>
      <w:r>
        <w:t xml:space="preserve"> </w:t>
      </w:r>
      <w:r>
        <w:t xml:space="preserve">DETERMINACIÓN DEL CONTENIDO DE HUMEDAD DEL ...</w:t>
      </w:r>
    </w:p>
    <w:p>
      <w:pPr>
        <w:pStyle w:val="BodyText"/>
      </w:pPr>
      <w:hyperlink r:id="rId46">
        <w:r>
          <w:rPr>
            <w:rStyle w:val="Hyperlink"/>
          </w:rPr>
          <w:t xml:space="preserve">https://biblioteca.cenicafe.org/bitstream/10778/488/1/arc061%2802%29108-118.pdf?utm_source=chatgpt.com</w:t>
        </w:r>
      </w:hyperlink>
    </w:p>
    <w:p>
      <w:pPr>
        <w:pStyle w:val="BodyText"/>
      </w:pPr>
      <w:hyperlink r:id="rId47">
        <w:r>
          <w:rPr>
            <w:rStyle w:val="Hyperlink"/>
          </w:rPr>
          <w:t xml:space="preserve">[30]</w:t>
        </w:r>
      </w:hyperlink>
      <w:r>
        <w:t xml:space="preserve"> </w:t>
      </w:r>
      <w:r>
        <w:t xml:space="preserve">Maintenance of the Quality of Coffee (Coffea arabica L ... - PMC</w:t>
      </w:r>
    </w:p>
    <w:p>
      <w:pPr>
        <w:pStyle w:val="BodyText"/>
      </w:pPr>
      <w:hyperlink r:id="rId47">
        <w:r>
          <w:rPr>
            <w:rStyle w:val="Hyperlink"/>
          </w:rPr>
          <w:t xml:space="preserve">https://pmc.ncbi.nlm.nih.gov/articles/PMC12658285/?utm_source=chatgpt.com</w:t>
        </w:r>
      </w:hyperlink>
    </w:p>
    <w:p>
      <w:pPr>
        <w:pStyle w:val="BodyText"/>
      </w:pPr>
      <w:hyperlink r:id="rId48">
        <w:r>
          <w:rPr>
            <w:rStyle w:val="Hyperlink"/>
          </w:rPr>
          <w:t xml:space="preserve">[31]</w:t>
        </w:r>
      </w:hyperlink>
      <w:r>
        <w:t xml:space="preserve"> </w:t>
      </w:r>
      <w:r>
        <w:t xml:space="preserve">Effect of green and roasted coffee storage conditions on ...</w:t>
      </w:r>
    </w:p>
    <w:p>
      <w:pPr>
        <w:pStyle w:val="BodyText"/>
      </w:pPr>
      <w:hyperlink r:id="rId48">
        <w:r>
          <w:rPr>
            <w:rStyle w:val="Hyperlink"/>
          </w:rPr>
          <w:t xml:space="preserve">https://www.nature.com/articles/s41598-023-33609-x?utm_source=chatgpt.com</w:t>
        </w:r>
      </w:hyperlink>
    </w:p>
    <w:p>
      <w:pPr>
        <w:pStyle w:val="BodyText"/>
      </w:pPr>
      <w:hyperlink r:id="rId49">
        <w:r>
          <w:rPr>
            <w:rStyle w:val="Hyperlink"/>
          </w:rPr>
          <w:t xml:space="preserve">[33]</w:t>
        </w:r>
      </w:hyperlink>
      <w:r>
        <w:t xml:space="preserve"> </w:t>
      </w:r>
      <w:r>
        <w:t xml:space="preserve">Ley 1581 de 2012 - Gestor Normativo</w:t>
      </w:r>
    </w:p>
    <w:p>
      <w:pPr>
        <w:pStyle w:val="BodyText"/>
      </w:pPr>
      <w:hyperlink r:id="rId49">
        <w:r>
          <w:rPr>
            <w:rStyle w:val="Hyperlink"/>
          </w:rPr>
          <w:t xml:space="preserve">https://www.funcionpublica.gov.co/eva/gestornormativo/norma.php?i=49981&amp;utm_source=chatgpt.com</w:t>
        </w:r>
      </w:hyperlink>
    </w:p>
    <w:p>
      <w:pPr>
        <w:pStyle w:val="BodyText"/>
      </w:pPr>
      <w:hyperlink r:id="rId50">
        <w:r>
          <w:rPr>
            <w:rStyle w:val="Hyperlink"/>
          </w:rPr>
          <w:t xml:space="preserve">[34]</w:t>
        </w:r>
      </w:hyperlink>
      <w:r>
        <w:t xml:space="preserve"> </w:t>
      </w:r>
      <w:r>
        <w:t xml:space="preserve">A guide to the data protection principles</w:t>
      </w:r>
    </w:p>
    <w:p>
      <w:pPr>
        <w:pStyle w:val="BodyText"/>
      </w:pPr>
      <w:hyperlink r:id="rId50">
        <w:r>
          <w:rPr>
            <w:rStyle w:val="Hyperlink"/>
          </w:rPr>
          <w:t xml:space="preserve">https://ico.org.uk/for-organisations/uk-gdpr-guidance-and-resources/data-protection-principles/a-guide-to-the-data-protection-principles/?utm_source=chatgpt.com</w:t>
        </w:r>
      </w:hyperlink>
    </w:p>
    <w:p>
      <w:pPr>
        <w:pStyle w:val="BodyText"/>
      </w:pPr>
      <w:hyperlink r:id="rId52">
        <w:r>
          <w:rPr>
            <w:rStyle w:val="Hyperlink"/>
          </w:rPr>
          <w:t xml:space="preserve">[35]</w:t>
        </w:r>
      </w:hyperlink>
      <w:r>
        <w:t xml:space="preserve"> </w:t>
      </w:r>
      <w:r>
        <w:t xml:space="preserve">The pillars of the framework - AWS Well-Architected ...</w:t>
      </w:r>
    </w:p>
    <w:p>
      <w:pPr>
        <w:pStyle w:val="BodyText"/>
      </w:pPr>
      <w:hyperlink r:id="rId52">
        <w:r>
          <w:rPr>
            <w:rStyle w:val="Hyperlink"/>
          </w:rPr>
          <w:t xml:space="preserve">https://docs.aws.amazon.com/wellarchitected/latest/framework/the-pillars-of-the-framework.html?utm_source=chatgpt.com</w:t>
        </w:r>
      </w:hyperlink>
    </w:p>
    <w:p>
      <w:pPr>
        <w:pStyle w:val="BodyText"/>
      </w:pPr>
      <w:hyperlink r:id="rId53">
        <w:r>
          <w:rPr>
            <w:rStyle w:val="Hyperlink"/>
          </w:rPr>
          <w:t xml:space="preserve">[36]</w:t>
        </w:r>
      </w:hyperlink>
      <w:r>
        <w:t xml:space="preserve"> </w:t>
      </w:r>
      <w:hyperlink r:id="rId53">
        <w:r>
          <w:rPr>
            <w:rStyle w:val="Hyperlink"/>
          </w:rPr>
          <w:t xml:space="preserve">[51]</w:t>
        </w:r>
      </w:hyperlink>
      <w:r>
        <w:t xml:space="preserve"> </w:t>
      </w:r>
      <w:r>
        <w:t xml:space="preserve">DORA's software delivery performance metrics</w:t>
      </w:r>
    </w:p>
    <w:p>
      <w:pPr>
        <w:pStyle w:val="BodyText"/>
      </w:pPr>
      <w:hyperlink r:id="rId53">
        <w:r>
          <w:rPr>
            <w:rStyle w:val="Hyperlink"/>
          </w:rPr>
          <w:t xml:space="preserve">https://dora.dev/guides/dora-metrics/?utm_source=chatgpt.com</w:t>
        </w:r>
      </w:hyperlink>
    </w:p>
    <w:p>
      <w:pPr>
        <w:pStyle w:val="BodyText"/>
      </w:pPr>
      <w:hyperlink r:id="rId54">
        <w:r>
          <w:rPr>
            <w:rStyle w:val="Hyperlink"/>
          </w:rPr>
          <w:t xml:space="preserve">[37]</w:t>
        </w:r>
      </w:hyperlink>
      <w:r>
        <w:t xml:space="preserve"> </w:t>
      </w:r>
      <w:r>
        <w:t xml:space="preserve">AWS Well-Architected Framework</w:t>
      </w:r>
    </w:p>
    <w:p>
      <w:pPr>
        <w:pStyle w:val="BodyText"/>
      </w:pPr>
      <w:hyperlink r:id="rId54">
        <w:r>
          <w:rPr>
            <w:rStyle w:val="Hyperlink"/>
          </w:rPr>
          <w:t xml:space="preserve">https://docs.aws.amazon.com/wellarchitected/latest/framework/welcome.html?utm_source=chatgpt.com</w:t>
        </w:r>
      </w:hyperlink>
    </w:p>
    <w:p>
      <w:pPr>
        <w:pStyle w:val="BodyText"/>
      </w:pPr>
      <w:hyperlink r:id="rId55">
        <w:r>
          <w:rPr>
            <w:rStyle w:val="Hyperlink"/>
          </w:rPr>
          <w:t xml:space="preserve">[38]</w:t>
        </w:r>
      </w:hyperlink>
      <w:r>
        <w:t xml:space="preserve"> </w:t>
      </w:r>
      <w:r>
        <w:t xml:space="preserve">What is EDA? - Event-Driven Architecture Explained</w:t>
      </w:r>
    </w:p>
    <w:p>
      <w:pPr>
        <w:pStyle w:val="BodyText"/>
      </w:pPr>
      <w:hyperlink r:id="rId55">
        <w:r>
          <w:rPr>
            <w:rStyle w:val="Hyperlink"/>
          </w:rPr>
          <w:t xml:space="preserve">https://aws.amazon.com/what-is/eda/?utm_source=chatgpt.com</w:t>
        </w:r>
      </w:hyperlink>
    </w:p>
    <w:p>
      <w:pPr>
        <w:pStyle w:val="BodyText"/>
      </w:pPr>
      <w:hyperlink r:id="rId56">
        <w:r>
          <w:rPr>
            <w:rStyle w:val="Hyperlink"/>
          </w:rPr>
          <w:t xml:space="preserve">[39]</w:t>
        </w:r>
      </w:hyperlink>
      <w:r>
        <w:t xml:space="preserve"> </w:t>
      </w:r>
      <w:r>
        <w:t xml:space="preserve">Event-Driven Architecture Style - Azure Architecture Center</w:t>
      </w:r>
    </w:p>
    <w:p>
      <w:pPr>
        <w:pStyle w:val="BodyText"/>
      </w:pPr>
      <w:hyperlink r:id="rId56">
        <w:r>
          <w:rPr>
            <w:rStyle w:val="Hyperlink"/>
          </w:rPr>
          <w:t xml:space="preserve">https://learn.microsoft.com/en-us/azure/architecture/guide/architecture-styles/event-driven?utm_source=chatgpt.com</w:t>
        </w:r>
      </w:hyperlink>
    </w:p>
    <w:p>
      <w:pPr>
        <w:pStyle w:val="BodyText"/>
      </w:pPr>
      <w:hyperlink r:id="rId57">
        <w:r>
          <w:rPr>
            <w:rStyle w:val="Hyperlink"/>
          </w:rPr>
          <w:t xml:space="preserve">[40]</w:t>
        </w:r>
      </w:hyperlink>
      <w:r>
        <w:t xml:space="preserve"> </w:t>
      </w:r>
      <w:r>
        <w:t xml:space="preserve">CloudEvents specification</w:t>
      </w:r>
    </w:p>
    <w:p>
      <w:pPr>
        <w:pStyle w:val="BodyText"/>
      </w:pPr>
      <w:hyperlink r:id="rId57">
        <w:r>
          <w:rPr>
            <w:rStyle w:val="Hyperlink"/>
          </w:rPr>
          <w:t xml:space="preserve">https://cloudevents.io/?utm_source=chatgpt.com</w:t>
        </w:r>
      </w:hyperlink>
    </w:p>
    <w:p>
      <w:pPr>
        <w:pStyle w:val="BodyText"/>
      </w:pPr>
      <w:hyperlink r:id="rId58">
        <w:r>
          <w:rPr>
            <w:rStyle w:val="Hyperlink"/>
          </w:rPr>
          <w:t xml:space="preserve">[41]</w:t>
        </w:r>
      </w:hyperlink>
      <w:r>
        <w:t xml:space="preserve"> </w:t>
      </w:r>
      <w:r>
        <w:t xml:space="preserve">Event Sourcing</w:t>
      </w:r>
    </w:p>
    <w:p>
      <w:pPr>
        <w:pStyle w:val="BodyText"/>
      </w:pPr>
      <w:hyperlink r:id="rId58">
        <w:r>
          <w:rPr>
            <w:rStyle w:val="Hyperlink"/>
          </w:rPr>
          <w:t xml:space="preserve">https://martinfowler.com/eaaDev/EventSourcing.html?utm_source=chatgpt.com</w:t>
        </w:r>
      </w:hyperlink>
    </w:p>
    <w:p>
      <w:pPr>
        <w:pStyle w:val="BodyText"/>
      </w:pPr>
      <w:hyperlink r:id="rId59">
        <w:r>
          <w:rPr>
            <w:rStyle w:val="Hyperlink"/>
          </w:rPr>
          <w:t xml:space="preserve">[42]</w:t>
        </w:r>
      </w:hyperlink>
      <w:r>
        <w:t xml:space="preserve"> </w:t>
      </w:r>
      <w:hyperlink r:id="rId59">
        <w:r>
          <w:rPr>
            <w:rStyle w:val="Hyperlink"/>
          </w:rPr>
          <w:t xml:space="preserve">[50]</w:t>
        </w:r>
      </w:hyperlink>
      <w:r>
        <w:t xml:space="preserve"> </w:t>
      </w:r>
      <w:hyperlink r:id="rId59">
        <w:r>
          <w:rPr>
            <w:rStyle w:val="Hyperlink"/>
          </w:rPr>
          <w:t xml:space="preserve">[55]</w:t>
        </w:r>
      </w:hyperlink>
      <w:r>
        <w:t xml:space="preserve"> </w:t>
      </w:r>
      <w:r>
        <w:t xml:space="preserve">OWASP Top Ten Web Application Security Risks</w:t>
      </w:r>
    </w:p>
    <w:p>
      <w:pPr>
        <w:pStyle w:val="BodyText"/>
      </w:pPr>
      <w:hyperlink r:id="rId59">
        <w:r>
          <w:rPr>
            <w:rStyle w:val="Hyperlink"/>
          </w:rPr>
          <w:t xml:space="preserve">https://owasp.org/www-project-top-ten/?utm_source=chatgpt.com</w:t>
        </w:r>
      </w:hyperlink>
    </w:p>
    <w:p>
      <w:pPr>
        <w:pStyle w:val="BodyText"/>
      </w:pPr>
      <w:hyperlink r:id="rId60">
        <w:r>
          <w:rPr>
            <w:rStyle w:val="Hyperlink"/>
          </w:rPr>
          <w:t xml:space="preserve">[43]</w:t>
        </w:r>
      </w:hyperlink>
      <w:r>
        <w:t xml:space="preserve"> </w:t>
      </w:r>
      <w:r>
        <w:t xml:space="preserve">A01 Broken Access Control - OWASP Top 10:2021</w:t>
      </w:r>
    </w:p>
    <w:p>
      <w:pPr>
        <w:pStyle w:val="BodyText"/>
      </w:pPr>
      <w:hyperlink r:id="rId60">
        <w:r>
          <w:rPr>
            <w:rStyle w:val="Hyperlink"/>
          </w:rPr>
          <w:t xml:space="preserve">https://owasp.org/Top10/2021/A01_2021-Broken_Access_Control/?utm_source=chatgpt.com</w:t>
        </w:r>
      </w:hyperlink>
    </w:p>
    <w:p>
      <w:pPr>
        <w:pStyle w:val="BodyText"/>
      </w:pPr>
      <w:hyperlink r:id="rId61">
        <w:r>
          <w:rPr>
            <w:rStyle w:val="Hyperlink"/>
          </w:rPr>
          <w:t xml:space="preserve">[44]</w:t>
        </w:r>
      </w:hyperlink>
      <w:r>
        <w:t xml:space="preserve"> </w:t>
      </w:r>
      <w:r>
        <w:t xml:space="preserve">RFC 6749: The OAuth 2.0 Authorization Framework</w:t>
      </w:r>
    </w:p>
    <w:p>
      <w:pPr>
        <w:pStyle w:val="BodyText"/>
      </w:pPr>
      <w:hyperlink r:id="rId61">
        <w:r>
          <w:rPr>
            <w:rStyle w:val="Hyperlink"/>
          </w:rPr>
          <w:t xml:space="preserve">https://www.rfc-editor.org/rfc/rfc6749.html?utm_source=chatgpt.com</w:t>
        </w:r>
      </w:hyperlink>
    </w:p>
    <w:p>
      <w:pPr>
        <w:pStyle w:val="BodyText"/>
      </w:pPr>
      <w:hyperlink r:id="rId62">
        <w:r>
          <w:rPr>
            <w:rStyle w:val="Hyperlink"/>
          </w:rPr>
          <w:t xml:space="preserve">[46]</w:t>
        </w:r>
      </w:hyperlink>
      <w:r>
        <w:t xml:space="preserve"> </w:t>
      </w:r>
      <w:r>
        <w:t xml:space="preserve">The Twelve-Factor App</w:t>
      </w:r>
    </w:p>
    <w:p>
      <w:pPr>
        <w:pStyle w:val="BodyText"/>
      </w:pPr>
      <w:hyperlink r:id="rId62">
        <w:r>
          <w:rPr>
            <w:rStyle w:val="Hyperlink"/>
          </w:rPr>
          <w:t xml:space="preserve">https://www.12factor.net/?utm_source=chatgpt.com</w:t>
        </w:r>
      </w:hyperlink>
    </w:p>
    <w:p>
      <w:pPr>
        <w:pStyle w:val="BodyText"/>
      </w:pPr>
      <w:hyperlink r:id="rId63">
        <w:r>
          <w:rPr>
            <w:rStyle w:val="Hyperlink"/>
          </w:rPr>
          <w:t xml:space="preserve">[47]</w:t>
        </w:r>
      </w:hyperlink>
      <w:r>
        <w:t xml:space="preserve"> </w:t>
      </w:r>
      <w:r>
        <w:t xml:space="preserve">CQRS</w:t>
      </w:r>
    </w:p>
    <w:p>
      <w:pPr>
        <w:pStyle w:val="BodyText"/>
      </w:pPr>
      <w:hyperlink r:id="rId63">
        <w:r>
          <w:rPr>
            <w:rStyle w:val="Hyperlink"/>
          </w:rPr>
          <w:t xml:space="preserve">https://martinfowler.com/bliki/CQRS.html?utm_source=chatgpt.com</w:t>
        </w:r>
      </w:hyperlink>
    </w:p>
    <w:p>
      <w:pPr>
        <w:pStyle w:val="BodyText"/>
      </w:pPr>
      <w:hyperlink r:id="rId65">
        <w:r>
          <w:rPr>
            <w:rStyle w:val="Hyperlink"/>
          </w:rPr>
          <w:t xml:space="preserve">[52]</w:t>
        </w:r>
      </w:hyperlink>
      <w:r>
        <w:t xml:space="preserve"> </w:t>
      </w:r>
      <w:r>
        <w:t xml:space="preserve">Service Blueprints: Definition</w:t>
      </w:r>
    </w:p>
    <w:p>
      <w:pPr>
        <w:pStyle w:val="BodyText"/>
      </w:pPr>
      <w:hyperlink r:id="rId65">
        <w:r>
          <w:rPr>
            <w:rStyle w:val="Hyperlink"/>
          </w:rPr>
          <w:t xml:space="preserve">https://www.nngroup.com/articles/service-blueprints-definition/?utm_source=chatgpt.com</w:t>
        </w:r>
      </w:hyperlink>
    </w:p>
    <w:p>
      <w:pPr>
        <w:pStyle w:val="BodyText"/>
      </w:pPr>
      <w:hyperlink r:id="rId66">
        <w:r>
          <w:rPr>
            <w:rStyle w:val="Hyperlink"/>
          </w:rPr>
          <w:t xml:space="preserve">[53]</w:t>
        </w:r>
      </w:hyperlink>
      <w:r>
        <w:t xml:space="preserve"> </w:t>
      </w:r>
      <w:r>
        <w:t xml:space="preserve">Web Vitals | Articles</w:t>
      </w:r>
    </w:p>
    <w:p>
      <w:pPr>
        <w:pStyle w:val="BodyText"/>
      </w:pPr>
      <w:hyperlink r:id="rId66">
        <w:r>
          <w:rPr>
            <w:rStyle w:val="Hyperlink"/>
          </w:rPr>
          <w:t xml:space="preserve">https://web.dev/articles/vitals?utm_source=chatgpt.com</w:t>
        </w:r>
      </w:hyperlink>
    </w:p>
    <w:p>
      <w:pPr>
        <w:pStyle w:val="BodyText"/>
      </w:pPr>
      <w:hyperlink r:id="rId67">
        <w:r>
          <w:rPr>
            <w:rStyle w:val="Hyperlink"/>
          </w:rPr>
          <w:t xml:space="preserve">[54]</w:t>
        </w:r>
      </w:hyperlink>
      <w:r>
        <w:t xml:space="preserve"> </w:t>
      </w:r>
      <w:r>
        <w:t xml:space="preserve">What is OpenTelemetry?</w:t>
      </w:r>
    </w:p>
    <w:p>
      <w:pPr>
        <w:pStyle w:val="BodyText"/>
      </w:pPr>
      <w:hyperlink r:id="rId67">
        <w:r>
          <w:rPr>
            <w:rStyle w:val="Hyperlink"/>
          </w:rPr>
          <w:t xml:space="preserve">https://opentelemetry.io/docs/what-is-opentelemetry/?utm_source=chatgpt.com</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algrano.com/?utm_source=chatgpt.com" TargetMode="External" /><Relationship Type="http://schemas.openxmlformats.org/officeDocument/2006/relationships/hyperlink" Id="rId55" Target="https://aws.amazon.com/what-is/eda/?utm_source=chatgpt.com" TargetMode="External" /><Relationship Type="http://schemas.openxmlformats.org/officeDocument/2006/relationships/hyperlink" Id="rId46" Target="https://biblioteca.cenicafe.org/bitstream/10778/488/1/arc061%2802%29108-118.pdf?utm_source=chatgpt.com" TargetMode="External" /><Relationship Type="http://schemas.openxmlformats.org/officeDocument/2006/relationships/hyperlink" Id="rId57" Target="https://cloudevents.io/?utm_source=chatgpt.com" TargetMode="External" /><Relationship Type="http://schemas.openxmlformats.org/officeDocument/2006/relationships/hyperlink" Id="rId24" Target="https://dailycoffeenews.com/2015/06/15/meet-algrano-a-tech-based-platform-connecting-roasters-and-producers/?utm_source=chatgpt.com" TargetMode="External" /><Relationship Type="http://schemas.openxmlformats.org/officeDocument/2006/relationships/hyperlink" Id="rId42" Target="https://digital.ahrq.gov/sites/default/files/docs/survey/systemusabilityscale%2528sus%2529_comp%255B1%255D.pdf?utm_source=chatgpt.com" TargetMode="External" /><Relationship Type="http://schemas.openxmlformats.org/officeDocument/2006/relationships/hyperlink" Id="rId52" Target="https://docs.aws.amazon.com/wellarchitected/latest/framework/the-pillars-of-the-framework.html?utm_source=chatgpt.com" TargetMode="External" /><Relationship Type="http://schemas.openxmlformats.org/officeDocument/2006/relationships/hyperlink" Id="rId54" Target="https://docs.aws.amazon.com/wellarchitected/latest/framework/welcome.html?utm_source=chatgpt.com" TargetMode="External" /><Relationship Type="http://schemas.openxmlformats.org/officeDocument/2006/relationships/hyperlink" Id="rId53" Target="https://dora.dev/guides/dora-metrics/?utm_source=chatgpt.com" TargetMode="External" /><Relationship Type="http://schemas.openxmlformats.org/officeDocument/2006/relationships/hyperlink" Id="rId34" Target="https://green.sca.coffee/resources/a-guide-to-sourcing-and-selling-green-coffee-directly?utm_source=chatgpt.com" TargetMode="External" /><Relationship Type="http://schemas.openxmlformats.org/officeDocument/2006/relationships/hyperlink" Id="rId50" Target="https://ico.org.uk/for-organisations/uk-gdpr-guidance-and-resources/data-protection-principles/a-guide-to-the-data-protection-principles/?utm_source=chatgpt.com" TargetMode="External" /><Relationship Type="http://schemas.openxmlformats.org/officeDocument/2006/relationships/hyperlink" Id="rId56" Target="https://learn.microsoft.com/en-us/azure/architecture/guide/architecture-styles/event-driven?utm_source=chatgpt.com" TargetMode="External" /><Relationship Type="http://schemas.openxmlformats.org/officeDocument/2006/relationships/hyperlink" Id="rId63" Target="https://martinfowler.com/bliki/CQRS.html?utm_source=chatgpt.com" TargetMode="External" /><Relationship Type="http://schemas.openxmlformats.org/officeDocument/2006/relationships/hyperlink" Id="rId58" Target="https://martinfowler.com/eaaDev/EventSourcing.html?utm_source=chatgpt.com" TargetMode="External" /><Relationship Type="http://schemas.openxmlformats.org/officeDocument/2006/relationships/hyperlink" Id="rId27" Target="https://newsroom.ibm.com/2020-07-15-1850-R-Coffee-Brand-and-Farmer-Connect-to-Bring-Coffee-Lovers-and-Producers-Closer-Together-Using-IBM-Blockchain-Technology?utm_source=chatgpt.com" TargetMode="External" /><Relationship Type="http://schemas.openxmlformats.org/officeDocument/2006/relationships/hyperlink" Id="rId30" Target="https://opentelemetry.io/?utm_source=chatgpt.com" TargetMode="External" /><Relationship Type="http://schemas.openxmlformats.org/officeDocument/2006/relationships/hyperlink" Id="rId67" Target="https://opentelemetry.io/docs/what-is-opentelemetry/?utm_source=chatgpt.com" TargetMode="External" /><Relationship Type="http://schemas.openxmlformats.org/officeDocument/2006/relationships/hyperlink" Id="rId60" Target="https://owasp.org/Top10/2021/A01_2021-Broken_Access_Control/?utm_source=chatgpt.com" TargetMode="External" /><Relationship Type="http://schemas.openxmlformats.org/officeDocument/2006/relationships/hyperlink" Id="rId59" Target="https://owasp.org/www-project-top-ten/?utm_source=chatgpt.com" TargetMode="External" /><Relationship Type="http://schemas.openxmlformats.org/officeDocument/2006/relationships/hyperlink" Id="rId47" Target="https://pmc.ncbi.nlm.nih.gov/articles/PMC12658285/?utm_source=chatgpt.com" TargetMode="External" /><Relationship Type="http://schemas.openxmlformats.org/officeDocument/2006/relationships/hyperlink" Id="rId21" Target="https://sca.coffee/sca-news/25-magazine/issue-10/english/the-fermentation-effect-25-magazine-issue-10?utm_source=chatgpt.com" TargetMode="External" /><Relationship Type="http://schemas.openxmlformats.org/officeDocument/2006/relationships/hyperlink" Id="rId22" Target="https://selfdeterminationtheory.org/SDT/documents/2000_RyanDeci_SDT.pdf?utm_source=chatgpt.com" TargetMode="External" /><Relationship Type="http://schemas.openxmlformats.org/officeDocument/2006/relationships/hyperlink" Id="rId38" Target="https://web.dev/articles/defining-core-web-vitals-thresholds?utm_source=chatgpt.com" TargetMode="External" /><Relationship Type="http://schemas.openxmlformats.org/officeDocument/2006/relationships/hyperlink" Id="rId39" Target="https://web.dev/articles/pwa-checklist?utm_source=chatgpt.com" TargetMode="External" /><Relationship Type="http://schemas.openxmlformats.org/officeDocument/2006/relationships/hyperlink" Id="rId66" Target="https://web.dev/articles/vitals?utm_source=chatgpt.com" TargetMode="External" /><Relationship Type="http://schemas.openxmlformats.org/officeDocument/2006/relationships/hyperlink" Id="rId40" Target="https://web.dev/explore/progressive-web-apps?utm_source=chatgpt.com" TargetMode="External" /><Relationship Type="http://schemas.openxmlformats.org/officeDocument/2006/relationships/hyperlink" Id="rId62" Target="https://www.12factor.net/?utm_source=chatgpt.com" TargetMode="External" /><Relationship Type="http://schemas.openxmlformats.org/officeDocument/2006/relationships/hyperlink" Id="rId33" Target="https://www.bext360.com/?utm_source=chatgpt.com" TargetMode="External" /><Relationship Type="http://schemas.openxmlformats.org/officeDocument/2006/relationships/hyperlink" Id="rId44" Target="https://www.consilium.europa.eu/en/press/press-releases/2025/12/18/deforestation-council-signs-off-targeted-revision-to-simplify-and-postpone-the-regulation/?utm_source=chatgpt.com" TargetMode="External" /><Relationship Type="http://schemas.openxmlformats.org/officeDocument/2006/relationships/hyperlink" Id="rId28" Target="https://www.cropster.com/products/origin/features/?utm_source=chatgpt.com" TargetMode="External" /><Relationship Type="http://schemas.openxmlformats.org/officeDocument/2006/relationships/hyperlink" Id="rId31" Target="https://www.enveritas.org/?utm_source=chatgpt.com" TargetMode="External" /><Relationship Type="http://schemas.openxmlformats.org/officeDocument/2006/relationships/hyperlink" Id="rId49" Target="https://www.funcionpublica.gov.co/eva/gestornormativo/norma.php?i=49981&amp;utm_source=chatgpt.com" TargetMode="External" /><Relationship Type="http://schemas.openxmlformats.org/officeDocument/2006/relationships/hyperlink" Id="rId26" Target="https://www.iso.org/standard/36297.html?utm_source=chatgpt.com" TargetMode="External" /><Relationship Type="http://schemas.openxmlformats.org/officeDocument/2006/relationships/hyperlink" Id="rId48" Target="https://www.nature.com/articles/s41598-023-33609-x?utm_source=chatgpt.com" TargetMode="External" /><Relationship Type="http://schemas.openxmlformats.org/officeDocument/2006/relationships/hyperlink" Id="rId23" Target="https://www.nngroup.com/articles/autonomy-relatedness-competence/?utm_source=chatgpt.com" TargetMode="External" /><Relationship Type="http://schemas.openxmlformats.org/officeDocument/2006/relationships/hyperlink" Id="rId36" Target="https://www.nngroup.com/articles/microinteractions/?utm_source=chatgpt.com" TargetMode="External" /><Relationship Type="http://schemas.openxmlformats.org/officeDocument/2006/relationships/hyperlink" Id="rId32" Target="https://www.nngroup.com/articles/progressive-disclosure/?utm_source=chatgpt.com" TargetMode="External" /><Relationship Type="http://schemas.openxmlformats.org/officeDocument/2006/relationships/hyperlink" Id="rId65" Target="https://www.nngroup.com/articles/service-blueprints-definition/?utm_source=chatgpt.com" TargetMode="External" /><Relationship Type="http://schemas.openxmlformats.org/officeDocument/2006/relationships/hyperlink" Id="rId37" Target="https://www.nngroup.com/videos/gamification-user-experience/?utm_source=chatgpt.com" TargetMode="External" /><Relationship Type="http://schemas.openxmlformats.org/officeDocument/2006/relationships/hyperlink" Id="rId61" Target="https://www.rfc-editor.org/rfc/rfc6749.html?utm_source=chatgpt.com" TargetMode="External" /><Relationship Type="http://schemas.openxmlformats.org/officeDocument/2006/relationships/hyperlink" Id="rId45" Target="https://www.sciencedirect.com/science/article/abs/pii/S1878818125003822?utm_source=chatgpt.com" TargetMode="External" /><Relationship Type="http://schemas.openxmlformats.org/officeDocument/2006/relationships/hyperlink" Id="rId41" Target="https://www.w3.org/TR/WCAG22/?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9" Target="https://algrano.com/?utm_source=chatgpt.com" TargetMode="External" /><Relationship Type="http://schemas.openxmlformats.org/officeDocument/2006/relationships/hyperlink" Id="rId55" Target="https://aws.amazon.com/what-is/eda/?utm_source=chatgpt.com" TargetMode="External" /><Relationship Type="http://schemas.openxmlformats.org/officeDocument/2006/relationships/hyperlink" Id="rId46" Target="https://biblioteca.cenicafe.org/bitstream/10778/488/1/arc061%2802%29108-118.pdf?utm_source=chatgpt.com" TargetMode="External" /><Relationship Type="http://schemas.openxmlformats.org/officeDocument/2006/relationships/hyperlink" Id="rId57" Target="https://cloudevents.io/?utm_source=chatgpt.com" TargetMode="External" /><Relationship Type="http://schemas.openxmlformats.org/officeDocument/2006/relationships/hyperlink" Id="rId24" Target="https://dailycoffeenews.com/2015/06/15/meet-algrano-a-tech-based-platform-connecting-roasters-and-producers/?utm_source=chatgpt.com" TargetMode="External" /><Relationship Type="http://schemas.openxmlformats.org/officeDocument/2006/relationships/hyperlink" Id="rId42" Target="https://digital.ahrq.gov/sites/default/files/docs/survey/systemusabilityscale%2528sus%2529_comp%255B1%255D.pdf?utm_source=chatgpt.com" TargetMode="External" /><Relationship Type="http://schemas.openxmlformats.org/officeDocument/2006/relationships/hyperlink" Id="rId52" Target="https://docs.aws.amazon.com/wellarchitected/latest/framework/the-pillars-of-the-framework.html?utm_source=chatgpt.com" TargetMode="External" /><Relationship Type="http://schemas.openxmlformats.org/officeDocument/2006/relationships/hyperlink" Id="rId54" Target="https://docs.aws.amazon.com/wellarchitected/latest/framework/welcome.html?utm_source=chatgpt.com" TargetMode="External" /><Relationship Type="http://schemas.openxmlformats.org/officeDocument/2006/relationships/hyperlink" Id="rId53" Target="https://dora.dev/guides/dora-metrics/?utm_source=chatgpt.com" TargetMode="External" /><Relationship Type="http://schemas.openxmlformats.org/officeDocument/2006/relationships/hyperlink" Id="rId34" Target="https://green.sca.coffee/resources/a-guide-to-sourcing-and-selling-green-coffee-directly?utm_source=chatgpt.com" TargetMode="External" /><Relationship Type="http://schemas.openxmlformats.org/officeDocument/2006/relationships/hyperlink" Id="rId50" Target="https://ico.org.uk/for-organisations/uk-gdpr-guidance-and-resources/data-protection-principles/a-guide-to-the-data-protection-principles/?utm_source=chatgpt.com" TargetMode="External" /><Relationship Type="http://schemas.openxmlformats.org/officeDocument/2006/relationships/hyperlink" Id="rId56" Target="https://learn.microsoft.com/en-us/azure/architecture/guide/architecture-styles/event-driven?utm_source=chatgpt.com" TargetMode="External" /><Relationship Type="http://schemas.openxmlformats.org/officeDocument/2006/relationships/hyperlink" Id="rId63" Target="https://martinfowler.com/bliki/CQRS.html?utm_source=chatgpt.com" TargetMode="External" /><Relationship Type="http://schemas.openxmlformats.org/officeDocument/2006/relationships/hyperlink" Id="rId58" Target="https://martinfowler.com/eaaDev/EventSourcing.html?utm_source=chatgpt.com" TargetMode="External" /><Relationship Type="http://schemas.openxmlformats.org/officeDocument/2006/relationships/hyperlink" Id="rId27" Target="https://newsroom.ibm.com/2020-07-15-1850-R-Coffee-Brand-and-Farmer-Connect-to-Bring-Coffee-Lovers-and-Producers-Closer-Together-Using-IBM-Blockchain-Technology?utm_source=chatgpt.com" TargetMode="External" /><Relationship Type="http://schemas.openxmlformats.org/officeDocument/2006/relationships/hyperlink" Id="rId30" Target="https://opentelemetry.io/?utm_source=chatgpt.com" TargetMode="External" /><Relationship Type="http://schemas.openxmlformats.org/officeDocument/2006/relationships/hyperlink" Id="rId67" Target="https://opentelemetry.io/docs/what-is-opentelemetry/?utm_source=chatgpt.com" TargetMode="External" /><Relationship Type="http://schemas.openxmlformats.org/officeDocument/2006/relationships/hyperlink" Id="rId60" Target="https://owasp.org/Top10/2021/A01_2021-Broken_Access_Control/?utm_source=chatgpt.com" TargetMode="External" /><Relationship Type="http://schemas.openxmlformats.org/officeDocument/2006/relationships/hyperlink" Id="rId59" Target="https://owasp.org/www-project-top-ten/?utm_source=chatgpt.com" TargetMode="External" /><Relationship Type="http://schemas.openxmlformats.org/officeDocument/2006/relationships/hyperlink" Id="rId47" Target="https://pmc.ncbi.nlm.nih.gov/articles/PMC12658285/?utm_source=chatgpt.com" TargetMode="External" /><Relationship Type="http://schemas.openxmlformats.org/officeDocument/2006/relationships/hyperlink" Id="rId21" Target="https://sca.coffee/sca-news/25-magazine/issue-10/english/the-fermentation-effect-25-magazine-issue-10?utm_source=chatgpt.com" TargetMode="External" /><Relationship Type="http://schemas.openxmlformats.org/officeDocument/2006/relationships/hyperlink" Id="rId22" Target="https://selfdeterminationtheory.org/SDT/documents/2000_RyanDeci_SDT.pdf?utm_source=chatgpt.com" TargetMode="External" /><Relationship Type="http://schemas.openxmlformats.org/officeDocument/2006/relationships/hyperlink" Id="rId38" Target="https://web.dev/articles/defining-core-web-vitals-thresholds?utm_source=chatgpt.com" TargetMode="External" /><Relationship Type="http://schemas.openxmlformats.org/officeDocument/2006/relationships/hyperlink" Id="rId39" Target="https://web.dev/articles/pwa-checklist?utm_source=chatgpt.com" TargetMode="External" /><Relationship Type="http://schemas.openxmlformats.org/officeDocument/2006/relationships/hyperlink" Id="rId66" Target="https://web.dev/articles/vitals?utm_source=chatgpt.com" TargetMode="External" /><Relationship Type="http://schemas.openxmlformats.org/officeDocument/2006/relationships/hyperlink" Id="rId40" Target="https://web.dev/explore/progressive-web-apps?utm_source=chatgpt.com" TargetMode="External" /><Relationship Type="http://schemas.openxmlformats.org/officeDocument/2006/relationships/hyperlink" Id="rId62" Target="https://www.12factor.net/?utm_source=chatgpt.com" TargetMode="External" /><Relationship Type="http://schemas.openxmlformats.org/officeDocument/2006/relationships/hyperlink" Id="rId33" Target="https://www.bext360.com/?utm_source=chatgpt.com" TargetMode="External" /><Relationship Type="http://schemas.openxmlformats.org/officeDocument/2006/relationships/hyperlink" Id="rId44" Target="https://www.consilium.europa.eu/en/press/press-releases/2025/12/18/deforestation-council-signs-off-targeted-revision-to-simplify-and-postpone-the-regulation/?utm_source=chatgpt.com" TargetMode="External" /><Relationship Type="http://schemas.openxmlformats.org/officeDocument/2006/relationships/hyperlink" Id="rId28" Target="https://www.cropster.com/products/origin/features/?utm_source=chatgpt.com" TargetMode="External" /><Relationship Type="http://schemas.openxmlformats.org/officeDocument/2006/relationships/hyperlink" Id="rId31" Target="https://www.enveritas.org/?utm_source=chatgpt.com" TargetMode="External" /><Relationship Type="http://schemas.openxmlformats.org/officeDocument/2006/relationships/hyperlink" Id="rId49" Target="https://www.funcionpublica.gov.co/eva/gestornormativo/norma.php?i=49981&amp;utm_source=chatgpt.com" TargetMode="External" /><Relationship Type="http://schemas.openxmlformats.org/officeDocument/2006/relationships/hyperlink" Id="rId26" Target="https://www.iso.org/standard/36297.html?utm_source=chatgpt.com" TargetMode="External" /><Relationship Type="http://schemas.openxmlformats.org/officeDocument/2006/relationships/hyperlink" Id="rId48" Target="https://www.nature.com/articles/s41598-023-33609-x?utm_source=chatgpt.com" TargetMode="External" /><Relationship Type="http://schemas.openxmlformats.org/officeDocument/2006/relationships/hyperlink" Id="rId23" Target="https://www.nngroup.com/articles/autonomy-relatedness-competence/?utm_source=chatgpt.com" TargetMode="External" /><Relationship Type="http://schemas.openxmlformats.org/officeDocument/2006/relationships/hyperlink" Id="rId36" Target="https://www.nngroup.com/articles/microinteractions/?utm_source=chatgpt.com" TargetMode="External" /><Relationship Type="http://schemas.openxmlformats.org/officeDocument/2006/relationships/hyperlink" Id="rId32" Target="https://www.nngroup.com/articles/progressive-disclosure/?utm_source=chatgpt.com" TargetMode="External" /><Relationship Type="http://schemas.openxmlformats.org/officeDocument/2006/relationships/hyperlink" Id="rId65" Target="https://www.nngroup.com/articles/service-blueprints-definition/?utm_source=chatgpt.com" TargetMode="External" /><Relationship Type="http://schemas.openxmlformats.org/officeDocument/2006/relationships/hyperlink" Id="rId37" Target="https://www.nngroup.com/videos/gamification-user-experience/?utm_source=chatgpt.com" TargetMode="External" /><Relationship Type="http://schemas.openxmlformats.org/officeDocument/2006/relationships/hyperlink" Id="rId61" Target="https://www.rfc-editor.org/rfc/rfc6749.html?utm_source=chatgpt.com" TargetMode="External" /><Relationship Type="http://schemas.openxmlformats.org/officeDocument/2006/relationships/hyperlink" Id="rId45" Target="https://www.sciencedirect.com/science/article/abs/pii/S1878818125003822?utm_source=chatgpt.com" TargetMode="External" /><Relationship Type="http://schemas.openxmlformats.org/officeDocument/2006/relationships/hyperlink" Id="rId41" Target="https://www.w3.org/TR/WCAG22/?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2026-03-08T22:44:22Z</dcterms:created>
  <dcterms:modified xsi:type="dcterms:W3CDTF">2026-03-08T22:44:22Z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