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 xml:space="preserve">kérdéseit és válaszait egy dokumentumban rögzítettem, amely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98088F" w:rsidRDefault="0081394F" w:rsidP="007D1389">
      <w:pPr>
        <w:pStyle w:val="Cmsor2"/>
        <w:spacing w:before="0" w:line="360" w:lineRule="auto"/>
        <w:ind w:left="374"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 w:rsidR="00594BB6">
        <w:rPr>
          <w:rFonts w:ascii="Times New Roman" w:hAnsi="Times New Roman" w:cs="Times New Roman"/>
          <w:b/>
          <w:color w:val="auto"/>
        </w:rPr>
        <w:t>TELEPÍTÉSI ÚTMUTATÓ</w:t>
      </w:r>
    </w:p>
    <w:p w:rsidR="003957C5" w:rsidRPr="003957C5" w:rsidRDefault="003957C5" w:rsidP="003957C5">
      <w:pPr>
        <w:spacing w:after="0" w:line="360" w:lineRule="auto"/>
        <w:rPr>
          <w:sz w:val="24"/>
          <w:szCs w:val="24"/>
        </w:rPr>
      </w:pPr>
    </w:p>
    <w:p w:rsidR="0098088F" w:rsidRDefault="005C6EBC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BD5230">
        <w:rPr>
          <w:rFonts w:ascii="Times New Roman" w:hAnsi="Times New Roman" w:cs="Times New Roman"/>
          <w:sz w:val="24"/>
          <w:szCs w:val="24"/>
        </w:rPr>
        <w:t>hhjhzjzj</w:t>
      </w:r>
      <w:r w:rsidR="0098088F">
        <w:rPr>
          <w:rFonts w:ascii="Times New Roman" w:hAnsi="Times New Roman" w:cs="Times New Roman"/>
          <w:sz w:val="24"/>
          <w:szCs w:val="24"/>
        </w:rPr>
        <w:t>bnfbkfnbkfnbkfb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proofErr w:type="gram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2F0A" w:rsidRDefault="00EB2F0A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525ED" w:rsidRDefault="00EB2F0A" w:rsidP="005C6D8D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45002C" w:rsidRPr="005C6D8D" w:rsidRDefault="0045002C" w:rsidP="005C6D8D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  <w:bookmarkStart w:id="0" w:name="_GoBack"/>
      <w:bookmarkEnd w:id="0"/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445" w:rsidRDefault="00570445" w:rsidP="00061104">
      <w:pPr>
        <w:spacing w:after="0" w:line="240" w:lineRule="auto"/>
      </w:pPr>
      <w:r>
        <w:separator/>
      </w:r>
    </w:p>
  </w:endnote>
  <w:endnote w:type="continuationSeparator" w:id="0">
    <w:p w:rsidR="00570445" w:rsidRDefault="00570445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445" w:rsidRDefault="00570445" w:rsidP="00061104">
      <w:pPr>
        <w:spacing w:after="0" w:line="240" w:lineRule="auto"/>
      </w:pPr>
      <w:r>
        <w:separator/>
      </w:r>
    </w:p>
  </w:footnote>
  <w:footnote w:type="continuationSeparator" w:id="0">
    <w:p w:rsidR="00570445" w:rsidRDefault="00570445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>
      <w:pPr>
        <w:pStyle w:val="Lbjegyzetszveg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104"/>
    <w:rsid w:val="000619B7"/>
    <w:rsid w:val="00062270"/>
    <w:rsid w:val="00062369"/>
    <w:rsid w:val="00063731"/>
    <w:rsid w:val="00063ABB"/>
    <w:rsid w:val="000640D0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4BC"/>
    <w:rsid w:val="000F439D"/>
    <w:rsid w:val="000F49FF"/>
    <w:rsid w:val="000F529C"/>
    <w:rsid w:val="000F64DD"/>
    <w:rsid w:val="000F6915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62D"/>
    <w:rsid w:val="00114850"/>
    <w:rsid w:val="0011493F"/>
    <w:rsid w:val="001151B7"/>
    <w:rsid w:val="001153CC"/>
    <w:rsid w:val="00115645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418E"/>
    <w:rsid w:val="001E41D7"/>
    <w:rsid w:val="001E75AA"/>
    <w:rsid w:val="001E76CA"/>
    <w:rsid w:val="001E79DB"/>
    <w:rsid w:val="001F052C"/>
    <w:rsid w:val="001F12FC"/>
    <w:rsid w:val="001F1469"/>
    <w:rsid w:val="001F1520"/>
    <w:rsid w:val="001F19E2"/>
    <w:rsid w:val="001F21A9"/>
    <w:rsid w:val="001F29E7"/>
    <w:rsid w:val="001F3D51"/>
    <w:rsid w:val="001F4782"/>
    <w:rsid w:val="001F5079"/>
    <w:rsid w:val="001F6C23"/>
    <w:rsid w:val="001F6D94"/>
    <w:rsid w:val="001F6EDF"/>
    <w:rsid w:val="001F6EE9"/>
    <w:rsid w:val="001F7206"/>
    <w:rsid w:val="001F7517"/>
    <w:rsid w:val="001F7B88"/>
    <w:rsid w:val="002006F5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B10"/>
    <w:rsid w:val="00295FE7"/>
    <w:rsid w:val="00296050"/>
    <w:rsid w:val="002969EC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F17"/>
    <w:rsid w:val="002B124B"/>
    <w:rsid w:val="002B1354"/>
    <w:rsid w:val="002B186E"/>
    <w:rsid w:val="002B2113"/>
    <w:rsid w:val="002B2A24"/>
    <w:rsid w:val="002B2A3C"/>
    <w:rsid w:val="002B322C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BF4"/>
    <w:rsid w:val="002D1C9E"/>
    <w:rsid w:val="002D2AF9"/>
    <w:rsid w:val="002D41A8"/>
    <w:rsid w:val="002D49C5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DB9"/>
    <w:rsid w:val="00336E79"/>
    <w:rsid w:val="00337F4E"/>
    <w:rsid w:val="003407D9"/>
    <w:rsid w:val="00340E89"/>
    <w:rsid w:val="00341818"/>
    <w:rsid w:val="00341FD9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A067A"/>
    <w:rsid w:val="003A070A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5EE"/>
    <w:rsid w:val="00531E7A"/>
    <w:rsid w:val="00532E53"/>
    <w:rsid w:val="0053362E"/>
    <w:rsid w:val="0053452D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445"/>
    <w:rsid w:val="00570CCA"/>
    <w:rsid w:val="00570DA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4CB7"/>
    <w:rsid w:val="00655920"/>
    <w:rsid w:val="00655D42"/>
    <w:rsid w:val="00656F25"/>
    <w:rsid w:val="00657148"/>
    <w:rsid w:val="00660499"/>
    <w:rsid w:val="00662019"/>
    <w:rsid w:val="0066201A"/>
    <w:rsid w:val="0066237D"/>
    <w:rsid w:val="00662D59"/>
    <w:rsid w:val="00662FF5"/>
    <w:rsid w:val="006639C7"/>
    <w:rsid w:val="00665A66"/>
    <w:rsid w:val="00665C2C"/>
    <w:rsid w:val="0066786C"/>
    <w:rsid w:val="00667DCB"/>
    <w:rsid w:val="006702C6"/>
    <w:rsid w:val="00670910"/>
    <w:rsid w:val="00670B12"/>
    <w:rsid w:val="0067236D"/>
    <w:rsid w:val="006725CD"/>
    <w:rsid w:val="00672C9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6136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5743"/>
    <w:rsid w:val="006F5C02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7ED"/>
    <w:rsid w:val="009B37B4"/>
    <w:rsid w:val="009B4192"/>
    <w:rsid w:val="009B4576"/>
    <w:rsid w:val="009B45B0"/>
    <w:rsid w:val="009B506F"/>
    <w:rsid w:val="009B5439"/>
    <w:rsid w:val="009B551C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F9A"/>
    <w:rsid w:val="00A761AA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E"/>
    <w:rsid w:val="00A8613A"/>
    <w:rsid w:val="00A871D9"/>
    <w:rsid w:val="00A8728F"/>
    <w:rsid w:val="00A9007A"/>
    <w:rsid w:val="00A90812"/>
    <w:rsid w:val="00A91F91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61AC"/>
    <w:rsid w:val="00AD078B"/>
    <w:rsid w:val="00AD122F"/>
    <w:rsid w:val="00AD1483"/>
    <w:rsid w:val="00AD2965"/>
    <w:rsid w:val="00AD4D4B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BA9"/>
    <w:rsid w:val="00B111A4"/>
    <w:rsid w:val="00B11D38"/>
    <w:rsid w:val="00B1242E"/>
    <w:rsid w:val="00B124F6"/>
    <w:rsid w:val="00B12A80"/>
    <w:rsid w:val="00B13C69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9AA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8090C"/>
    <w:rsid w:val="00E81208"/>
    <w:rsid w:val="00E81320"/>
    <w:rsid w:val="00E82CBE"/>
    <w:rsid w:val="00E82EB6"/>
    <w:rsid w:val="00E82F43"/>
    <w:rsid w:val="00E85691"/>
    <w:rsid w:val="00E856D8"/>
    <w:rsid w:val="00E862BD"/>
    <w:rsid w:val="00E86382"/>
    <w:rsid w:val="00E863B6"/>
    <w:rsid w:val="00E86934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FB4"/>
    <w:rsid w:val="00E96368"/>
    <w:rsid w:val="00E96C73"/>
    <w:rsid w:val="00E97680"/>
    <w:rsid w:val="00EA0E9D"/>
    <w:rsid w:val="00EA0ED9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55B9"/>
    <w:rsid w:val="00F75D75"/>
    <w:rsid w:val="00F767F4"/>
    <w:rsid w:val="00F77A4E"/>
    <w:rsid w:val="00F817CB"/>
    <w:rsid w:val="00F82743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D4B"/>
    <w:rsid w:val="00FB43F1"/>
    <w:rsid w:val="00FB4B6F"/>
    <w:rsid w:val="00FB4EAD"/>
    <w:rsid w:val="00FB6932"/>
    <w:rsid w:val="00FB6FE5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804"/>
    <w:rsid w:val="00FF5A88"/>
    <w:rsid w:val="00FF5A8C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584C-FA1E-4131-A520-B9E8544E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4914</Words>
  <Characters>33908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3861</cp:revision>
  <dcterms:created xsi:type="dcterms:W3CDTF">2018-12-28T16:45:00Z</dcterms:created>
  <dcterms:modified xsi:type="dcterms:W3CDTF">2019-04-01T06:22:00Z</dcterms:modified>
</cp:coreProperties>
</file>