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8B6914"/>
          <w:sz w:val="52"/>
          <w:szCs w:val="52"/>
        </w:rPr>
        <w:t xml:space="preserve">BARN TO BANK</w:t>
      </w:r>
    </w:p>
    <w:p>
      <w:pPr>
        <w:spacing w:after="200"/>
      </w:pPr>
      <w:r>
        <w:rPr>
          <w:color w:val="2E5E34"/>
          <w:sz w:val="28"/>
          <w:szCs w:val="28"/>
        </w:rPr>
        <w:t xml:space="preserve">Texas Land Origination Platform</w:t>
      </w:r>
    </w:p>
    <w:p>
      <w:pPr>
        <w:spacing w:after="240"/>
      </w:pPr>
      <w:r>
        <w:t xml:space="preserve">Live app: </w:t>
      </w:r>
      <w:hyperlink w:history="1" r:id="rIdulwudaitq6bgompqo4u3v">
        <w:r>
          <w:rPr>
            <w:rStyle w:val="Hyperlink"/>
            <w:color w:val="0563C1"/>
            <w:u w:val="single"/>
          </w:rPr>
          <w:t xml:space="preserve">https://barntobank.com/app</w:t>
        </w:r>
      </w:hyperlink>
    </w:p>
    <w:p>
      <w:pPr>
        <w:pStyle w:val="Heading1"/>
      </w:pPr>
      <w:r>
        <w:t xml:space="preserve">The Pitch</w:t>
      </w:r>
    </w:p>
    <w:p>
      <w:pPr>
        <w:spacing w:after="120"/>
      </w:pPr>
      <w:r>
        <w:t xml:space="preserve">Maps show parcels. Barn to Bank runs origination — the full path from a raw land lead to a defensible develop, flip, or retail decision. It is built for Texas land teams who need speed, compliance, and a compounding data moat — not another spreadsheet.</w:t>
      </w:r>
    </w:p>
    <w:p>
      <w:pPr>
        <w:pStyle w:val="Heading2"/>
      </w:pPr>
      <w:r>
        <w:t xml:space="preserve">The Problem</w:t>
      </w:r>
    </w:p>
    <w:p>
      <w:pPr>
        <w:pStyle w:val="ListParagraph"/>
        <w:numPr>
          <w:ilvl w:val="0"/>
          <w:numId w:val="2"/>
        </w:numPr>
        <w:spacing w:after="80"/>
      </w:pPr>
      <w:r>
        <w:t xml:space="preserve">Land origination is fragmented across county GIS, FEMA, utility CCNs, id.land, Forewarn, and broker notes.</w:t>
      </w:r>
    </w:p>
    <w:p>
      <w:pPr>
        <w:pStyle w:val="ListParagraph"/>
        <w:numPr>
          <w:ilvl w:val="0"/>
          <w:numId w:val="2"/>
        </w:numPr>
        <w:spacing w:after="80"/>
      </w:pPr>
      <w:r>
        <w:t xml:space="preserve">Texas non-disclosure means comps live in heads and inboxes — not in Zillow.</w:t>
      </w:r>
    </w:p>
    <w:p>
      <w:pPr>
        <w:pStyle w:val="ListParagraph"/>
        <w:numPr>
          <w:ilvl w:val="0"/>
          <w:numId w:val="2"/>
        </w:numPr>
        <w:spacing w:after="80"/>
      </w:pPr>
      <w:r>
        <w:t xml:space="preserve">Sewer and entitlement bottlenecks kill deals late, after time is wasted on outreach.</w:t>
      </w:r>
    </w:p>
    <w:p>
      <w:pPr>
        <w:pStyle w:val="ListParagraph"/>
        <w:numPr>
          <w:ilvl w:val="0"/>
          <w:numId w:val="2"/>
        </w:numPr>
        <w:spacing w:after="80"/>
      </w:pPr>
      <w:r>
        <w:t xml:space="preserve">TCPA and DNC rules make owner contact risky without a scrub trail.</w:t>
      </w:r>
    </w:p>
    <w:p>
      <w:pPr>
        <w:pStyle w:val="ListParagraph"/>
        <w:numPr>
          <w:ilvl w:val="0"/>
          <w:numId w:val="2"/>
        </w:numPr>
        <w:spacing w:after="80"/>
      </w:pPr>
      <w:r>
        <w:t xml:space="preserve">Partners cannot share pipeline without emailing stale JSON or rebuilding spreadsheets.</w:t>
      </w:r>
    </w:p>
    <w:p>
      <w:pPr>
        <w:pStyle w:val="Heading2"/>
      </w:pPr>
      <w:r>
        <w:t xml:space="preserve">The Solution</w:t>
      </w:r>
    </w:p>
    <w:p>
      <w:pPr>
        <w:spacing w:after="120"/>
      </w:pPr>
      <w:r>
        <w:t xml:space="preserve">Barn to Bank is a single-file web app — no install, no IT ticket. One address or parcel ID triggers Automation 1 enrichment, routes the deal into three silos, gates outreach through DNC scrub, and syncs team intel to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b/>
                <w:bCs/>
              </w:rPr>
              <w:t xml:space="preserve">Capability</w:t>
            </w:r>
          </w:p>
        </w:tc>
        <w:tc>
          <w:tcPr>
            <w:tcW w:type="dxa" w:w="656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b/>
                <w:bCs/>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Automation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Enriches jurisdiction, flood, utilities, comps, SF communities, owner contact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Entitlement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Weighted 0–100 score with Develop / Sell / Retail recommendation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Three-Silo Routing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Keeps develop, flip, and retail lanes separate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Outreach CRM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DNC scrub, text/mail queues, TCPA audit trail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Moat Intelligence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Comp lake, plat alerts, deal memos, cloud 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Team 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Supabase-backed Cloud Sync — shared pipeline across browsers</w:t>
            </w:r>
          </w:p>
        </w:tc>
      </w:tr>
    </w:tbl>
    <w:p>
      <w:pPr>
        <w:pStyle w:val="Heading2"/>
      </w:pPr>
      <w:r>
        <w:t xml:space="preserve">Why Texas, Why Now</w:t>
      </w:r>
    </w:p>
    <w:p>
      <w:pPr>
        <w:pStyle w:val="ListParagraph"/>
        <w:numPr>
          <w:ilvl w:val="0"/>
          <w:numId w:val="2"/>
        </w:numPr>
        <w:spacing w:after="80"/>
      </w:pPr>
      <w:r>
        <w:t xml:space="preserve">Non-disclosure comps: every logged sale compounds pricing power.</w:t>
      </w:r>
    </w:p>
    <w:p>
      <w:pPr>
        <w:pStyle w:val="ListParagraph"/>
        <w:numPr>
          <w:ilvl w:val="0"/>
          <w:numId w:val="2"/>
        </w:numPr>
        <w:spacing w:after="80"/>
      </w:pPr>
      <w:r>
        <w:t xml:space="preserve">CCN / sewer gaps: entitlement score surfaces bottlenecks before LOI.</w:t>
      </w:r>
    </w:p>
    <w:p>
      <w:pPr>
        <w:pStyle w:val="ListParagraph"/>
        <w:numPr>
          <w:ilvl w:val="0"/>
          <w:numId w:val="2"/>
        </w:numPr>
        <w:spacing w:after="80"/>
      </w:pPr>
      <w:r>
        <w:t xml:space="preserve">Builder adjacency: plat alerts and SF community radius show where demand is moving.</w:t>
      </w:r>
    </w:p>
    <w:p>
      <w:pPr>
        <w:pStyle w:val="ListParagraph"/>
        <w:numPr>
          <w:ilvl w:val="0"/>
          <w:numId w:val="2"/>
        </w:numPr>
        <w:spacing w:after="80"/>
      </w:pPr>
      <w:r>
        <w:t xml:space="preserve">Ag exemptions and ETJ complexity: enrichment pulls jurisdiction and flood in one pass.</w:t>
      </w:r>
    </w:p>
    <w:p>
      <w:pPr>
        <w:pStyle w:val="Heading2"/>
      </w:pPr>
      <w:r>
        <w:t xml:space="preserve">Who It Is For</w:t>
      </w:r>
    </w:p>
    <w:p>
      <w:pPr>
        <w:pStyle w:val="ListParagraph"/>
        <w:numPr>
          <w:ilvl w:val="0"/>
          <w:numId w:val="2"/>
        </w:numPr>
        <w:spacing w:after="80"/>
      </w:pPr>
      <w:r>
        <w:t xml:space="preserve">Land originators and acquisition teams underwriting Texas tracts</w:t>
      </w:r>
    </w:p>
    <w:p>
      <w:pPr>
        <w:pStyle w:val="ListParagraph"/>
        <w:numPr>
          <w:ilvl w:val="0"/>
          <w:numId w:val="2"/>
        </w:numPr>
        <w:spacing w:after="80"/>
      </w:pPr>
      <w:r>
        <w:t xml:space="preserve">Partners and analysts (e.g. Jack) who need shared pipeline without software installs</w:t>
      </w:r>
    </w:p>
    <w:p>
      <w:pPr>
        <w:pStyle w:val="ListParagraph"/>
        <w:numPr>
          <w:ilvl w:val="0"/>
          <w:numId w:val="2"/>
        </w:numPr>
        <w:spacing w:after="80"/>
      </w:pPr>
      <w:r>
        <w:t xml:space="preserve">Brokers evaluating develop vs. flip vs. retail on each parcel</w:t>
      </w:r>
    </w:p>
    <w:p>
      <w:pPr>
        <w:pStyle w:val="ListParagraph"/>
        <w:numPr>
          <w:ilvl w:val="0"/>
          <w:numId w:val="2"/>
        </w:numPr>
        <w:spacing w:after="80"/>
      </w:pPr>
      <w:r>
        <w:t xml:space="preserve">Small teams that need compliance discipline without enterprise CRM cost</w:t>
      </w:r>
    </w:p>
    <w:p>
      <w:pPr>
        <w:pStyle w:val="Heading2"/>
      </w:pPr>
      <w:r>
        <w:t xml:space="preserve">The Moat</w:t>
      </w:r>
    </w:p>
    <w:p>
      <w:pPr>
        <w:spacing w:after="120"/>
      </w:pPr>
      <w:r>
        <w:t xml:space="preserve">The tool gets more valuable every time you use it. Each comp logged, deal enriched, and outreach touch recorded makes the next underwriting faster. Cloud Sync means the moat is shared — not trapped in one browser.</w:t>
      </w:r>
    </w:p>
    <w:p>
      <w:pPr>
        <w:pStyle w:val="Heading2"/>
      </w:pPr>
      <w:r>
        <w:t xml:space="preserve">What It Is Not (Yet)</w:t>
      </w:r>
    </w:p>
    <w:p>
      <w:pPr>
        <w:pStyle w:val="ListParagraph"/>
        <w:numPr>
          <w:ilvl w:val="0"/>
          <w:numId w:val="2"/>
        </w:numPr>
        <w:spacing w:after="80"/>
      </w:pPr>
      <w:r>
        <w:t xml:space="preserve">Not a full CRM or closing / title platform</w:t>
      </w:r>
    </w:p>
    <w:p>
      <w:pPr>
        <w:pStyle w:val="ListParagraph"/>
        <w:numPr>
          <w:ilvl w:val="0"/>
          <w:numId w:val="2"/>
        </w:numPr>
        <w:spacing w:after="80"/>
      </w:pPr>
      <w:r>
        <w:t xml:space="preserve">Not a replacement for county clerk research or legal entitlement opinion</w:t>
      </w:r>
    </w:p>
    <w:p>
      <w:pPr>
        <w:pStyle w:val="ListParagraph"/>
        <w:numPr>
          <w:ilvl w:val="0"/>
          <w:numId w:val="2"/>
        </w:numPr>
        <w:spacing w:after="80"/>
      </w:pPr>
      <w:r>
        <w:t xml:space="preserve">Forewarn and DNC APIs require production keys from your secret store</w:t>
      </w:r>
    </w:p>
    <w:p>
      <w:pPr>
        <w:pStyle w:val="ListParagraph"/>
        <w:numPr>
          <w:ilvl w:val="0"/>
          <w:numId w:val="2"/>
        </w:numPr>
        <w:spacing w:after="80"/>
      </w:pPr>
      <w:r>
        <w:t xml:space="preserve">Plat filings are seeded — swap for live county clerk / HBA feed when ready</w:t>
      </w:r>
    </w:p>
    <w:p>
      <w:pPr>
        <w:pStyle w:val="Heading2"/>
      </w:pPr>
      <w:r>
        <w:t xml:space="preserve">Call to Action</w:t>
      </w:r>
    </w:p>
    <w:p>
      <w:pPr>
        <w:pStyle w:val="ListParagraph"/>
        <w:numPr>
          <w:ilvl w:val="0"/>
          <w:numId w:val="3"/>
        </w:numPr>
        <w:spacing w:after="80"/>
      </w:pPr>
      <w:r>
        <w:t xml:space="preserve">Open https://barntobank.com/app and sign in</w:t>
      </w:r>
    </w:p>
    <w:p>
      <w:pPr>
        <w:pStyle w:val="ListParagraph"/>
        <w:numPr>
          <w:ilvl w:val="0"/>
          <w:numId w:val="3"/>
        </w:numPr>
        <w:spacing w:after="80"/>
      </w:pPr>
      <w:r>
        <w:t xml:space="preserve">Run Automation 1 on a Bastrop, Bexar, Comal, or Caldwell tract</w:t>
      </w:r>
    </w:p>
    <w:p>
      <w:pPr>
        <w:pStyle w:val="ListParagraph"/>
        <w:numPr>
          <w:ilvl w:val="0"/>
          <w:numId w:val="3"/>
        </w:numPr>
        <w:spacing w:after="80"/>
      </w:pPr>
      <w:r>
        <w:t xml:space="preserve">Review entitlement score and assign a silo route</w:t>
      </w:r>
    </w:p>
    <w:p>
      <w:pPr>
        <w:pStyle w:val="ListParagraph"/>
        <w:numPr>
          <w:ilvl w:val="0"/>
          <w:numId w:val="3"/>
        </w:numPr>
        <w:spacing w:after="80"/>
      </w:pPr>
      <w:r>
        <w:t xml:space="preserve">Go to Intel → Cloud Sync to share with your team</w:t>
      </w:r>
    </w:p>
    <w:p>
      <w:pPr>
        <w:pStyle w:val="ListParagraph"/>
        <w:numPr>
          <w:ilvl w:val="0"/>
          <w:numId w:val="3"/>
        </w:numPr>
        <w:spacing w:after="80"/>
      </w:pPr>
      <w:r>
        <w:t xml:space="preserve">Submit ideas via Feature Request in the header</w:t>
      </w:r>
    </w:p>
    <w:p>
      <w:pPr>
        <w:pStyle w:val="Heading2"/>
      </w:pPr>
      <w:r>
        <w:t xml:space="preserve">Contact &amp; Sharing</w:t>
      </w:r>
    </w:p>
    <w:p>
      <w:pPr>
        <w:spacing w:after="120"/>
      </w:pPr>
      <w:r>
        <w:t xml:space="preserve">Share the app link with anyone on your team. Each user keeps their own id.land login in-browser. Team data syncs via Cloud Sync (Supabase).</w:t>
      </w:r>
    </w:p>
    <w:p>
      <w:pPr>
        <w:spacing w:after="120"/>
      </w:pPr>
      <w:r>
        <w:t xml:space="preserve">App URL: </w:t>
      </w:r>
      <w:hyperlink w:history="1" r:id="rIdpkequezufvwwapcsgg9ku">
        <w:r>
          <w:rPr>
            <w:rStyle w:val="Hyperlink"/>
            <w:color w:val="0563C1"/>
            <w:u w:val="single"/>
          </w:rPr>
          <w:t xml:space="preserve">https://barntobank.com/app</w:t>
        </w:r>
      </w:hyperlink>
    </w:p>
    <w:p>
      <w:pPr>
        <w:spacing w:after="120"/>
      </w:pPr>
      <w:r>
        <w:t xml:space="preserve">Feature requests route to jeremy@cto.com via mailto on submit.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t xml:space="preserve">Barn to Bank — Texas Land Origination</w:t>
    </w:r>
    <w:r>
      <w:t xml:space="preserve">	</w:t>
    </w: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b/>
        <w:bCs/>
        <w:color w:val="8B6914"/>
      </w:rPr>
      <w:t xml:space="preserve">Barn to Bank</w:t>
    </w:r>
    <w:r>
      <w:t xml:space="preserve">   |   </w:t>
    </w:r>
    <w:r>
      <w:rPr>
        <w:i/>
        <w:iCs/>
        <w:color w:val="666666"/>
      </w:rPr>
      <w:t xml:space="preserve">Pitch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8B6914"/>
      <w:sz w:val="36"/>
      <w:szCs w:val="36"/>
    </w:rPr>
  </w:style>
  <w:style w:type="paragraph" w:styleId="Heading2">
    <w:name w:val="Heading 2"/>
    <w:basedOn w:val="Normal"/>
    <w:next w:val="Normal"/>
    <w:qFormat/>
    <w:pPr>
      <w:spacing w:after="140" w:before="220"/>
      <w:outlineLvl w:val="1"/>
    </w:pPr>
    <w:rPr>
      <w:rFonts w:ascii="Arial" w:cs="Arial" w:eastAsia="Arial" w:hAnsi="Arial"/>
      <w:b/>
      <w:bCs/>
      <w:color w:val="2E5E34"/>
      <w:sz w:val="28"/>
      <w:szCs w:val="28"/>
    </w:rPr>
  </w:style>
  <w:style w:type="paragraph" w:styleId="Heading3">
    <w:name w:val="Heading 3"/>
    <w:basedOn w:val="Normal"/>
    <w:next w:val="Normal"/>
    <w:qFormat/>
    <w:pPr>
      <w:spacing w:after="10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lwudaitq6bgompqo4u3v" Type="http://schemas.openxmlformats.org/officeDocument/2006/relationships/hyperlink" Target="https://barntobank.com/app" TargetMode="External"/><Relationship Id="rIdpkequezufvwwapcsgg9ku" Type="http://schemas.openxmlformats.org/officeDocument/2006/relationships/hyperlink" Target="https://barntobank.com/ap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2026-08-04T18:57:09.666Z</dcterms:created>
  <dcterms:modified xsi:type="dcterms:W3CDTF">2026-08-04T18:57:09.667Z</dcterms:modified>
</cp:coreProperties>
</file>

<file path=docProps/custom.xml><?xml version="1.0" encoding="utf-8"?>
<Properties xmlns="http://schemas.openxmlformats.org/officeDocument/2006/custom-properties" xmlns:vt="http://schemas.openxmlformats.org/officeDocument/2006/docPropsVTypes"/>
</file>