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drawing>
          <wp:inline distT="0" distB="0" distL="0" distR="0">
            <wp:extent cx="857250" cy="857250"/>
            <wp:effectExtent t="0" r="0" b="0" l="0"/>
            <wp:docPr id="1" name="logo" descr="Logo" title="Procurador SC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p>
    <w:p>
      <w:pPr>
        <w:spacing w:after="60"/>
        <w:jc w:val="center"/>
      </w:pPr>
      <w:r>
        <w:rPr>
          <w:b/>
          <w:bCs/>
          <w:color w:val="1A1A1A"/>
          <w:sz w:val="40"/>
          <w:szCs w:val="40"/>
        </w:rPr>
        <w:t xml:space="preserve">Procurador </w:t>
      </w:r>
      <w:r>
        <w:rPr>
          <w:b/>
          <w:bCs/>
          <w:color w:val="D97706"/>
          <w:sz w:val="40"/>
          <w:szCs w:val="40"/>
        </w:rPr>
        <w:t xml:space="preserve">TOOL</w:t>
      </w:r>
    </w:p>
    <w:p>
      <w:pPr>
        <w:spacing w:after="360"/>
        <w:jc w:val="center"/>
      </w:pPr>
      <w:r>
        <w:rPr>
          <w:caps/>
          <w:color w:val="4A4A4A"/>
          <w:spacing w:val="40"/>
          <w:sz w:val="22"/>
          <w:szCs w:val="22"/>
        </w:rPr>
        <w:t xml:space="preserve">Procurador SCW</w:t>
      </w:r>
    </w:p>
    <w:p>
      <w:pPr>
        <w:spacing w:after="80"/>
        <w:jc w:val="center"/>
      </w:pPr>
      <w:r>
        <w:rPr>
          <w:b/>
          <w:bCs/>
          <w:color w:val="1E3A5F"/>
          <w:sz w:val="34"/>
          <w:szCs w:val="34"/>
        </w:rPr>
        <w:t xml:space="preserve">Informe de Evaluación del Proyecto</w:t>
      </w:r>
    </w:p>
    <w:p>
      <w:pPr>
        <w:spacing w:after="400"/>
        <w:jc w:val="center"/>
      </w:pPr>
      <w:r>
        <w:rPr>
          <w:i/>
          <w:iCs/>
          <w:color w:val="4A4A4A"/>
          <w:sz w:val="24"/>
          <w:szCs w:val="24"/>
        </w:rPr>
        <w:t xml:space="preserve">Preparación para lanzamiento de prueba (Beta) con usuarios reales</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tblGrid>
      <w:tr>
        <w:tc>
          <w:tcPr>
            <w:tcW w:type="dxa" w:w="2000"/>
            <w:tcBorders>
              <w:top w:val="single" w:color="D9D9D9" w:sz="1"/>
              <w:left w:val="single" w:color="D9D9D9" w:sz="1"/>
              <w:bottom w:val="single" w:color="D9D9D9" w:sz="1"/>
              <w:right w:val="single" w:color="D9D9D9" w:sz="1"/>
            </w:tcBorders>
            <w:shd w:fill="D97706" w:val="clear"/>
            <w:tcMar>
              <w:top w:type="dxa" w:w="70"/>
              <w:left w:type="dxa" w:w="110"/>
              <w:bottom w:type="dxa" w:w="70"/>
              <w:right w:type="dxa" w:w="110"/>
            </w:tcMar>
            <w:vAlign w:val="center"/>
          </w:tcPr>
          <w:p>
            <w:pPr>
              <w:jc w:val="left"/>
            </w:pPr>
            <w:r>
              <w:rPr>
                <w:b/>
                <w:bCs/>
                <w:color w:val="FFFFFF"/>
                <w:sz w:val="21"/>
                <w:szCs w:val="21"/>
              </w:rPr>
              <w:t xml:space="preserve">Fecha</w:t>
            </w:r>
          </w:p>
        </w:tc>
        <w:tc>
          <w:tcPr>
            <w:tcW w:type="dxa" w:w="4400"/>
            <w:tcBorders>
              <w:top w:val="single" w:color="D9D9D9" w:sz="1"/>
              <w:left w:val="single" w:color="D9D9D9" w:sz="1"/>
              <w:bottom w:val="single" w:color="D9D9D9" w:sz="1"/>
              <w:right w:val="single" w:color="D9D9D9" w:sz="1"/>
            </w:tcBorders>
            <w:shd w:fill="F7F7F5" w:val="clear"/>
            <w:tcMar>
              <w:top w:type="dxa" w:w="70"/>
              <w:left w:type="dxa" w:w="110"/>
              <w:bottom w:type="dxa" w:w="70"/>
              <w:right w:type="dxa" w:w="110"/>
            </w:tcMar>
            <w:vAlign w:val="center"/>
          </w:tcPr>
          <w:p>
            <w:pPr>
              <w:jc w:val="left"/>
            </w:pPr>
            <w:r>
              <w:rPr>
                <w:color w:val="1A1A1A"/>
                <w:sz w:val="21"/>
                <w:szCs w:val="21"/>
              </w:rPr>
              <w:t xml:space="preserve">30 de mayo de 2026 · actualizado 02 de junio de 2026</w:t>
            </w:r>
          </w:p>
        </w:tc>
      </w:tr>
      <w:tr>
        <w:tc>
          <w:tcPr>
            <w:tcW w:type="dxa" w:w="2000"/>
            <w:tcBorders>
              <w:top w:val="single" w:color="D9D9D9" w:sz="1"/>
              <w:left w:val="single" w:color="D9D9D9" w:sz="1"/>
              <w:bottom w:val="single" w:color="D9D9D9" w:sz="1"/>
              <w:right w:val="single" w:color="D9D9D9" w:sz="1"/>
            </w:tcBorders>
            <w:shd w:fill="D97706" w:val="clear"/>
            <w:tcMar>
              <w:top w:type="dxa" w:w="70"/>
              <w:left w:type="dxa" w:w="110"/>
              <w:bottom w:type="dxa" w:w="70"/>
              <w:right w:type="dxa" w:w="110"/>
            </w:tcMar>
            <w:vAlign w:val="center"/>
          </w:tcPr>
          <w:p>
            <w:pPr>
              <w:jc w:val="left"/>
            </w:pPr>
            <w:r>
              <w:rPr>
                <w:b/>
                <w:bCs/>
                <w:color w:val="FFFFFF"/>
                <w:sz w:val="21"/>
                <w:szCs w:val="21"/>
              </w:rPr>
              <w:t xml:space="preserve">Destinatarios</w:t>
            </w:r>
          </w:p>
        </w:tc>
        <w:tc>
          <w:tcPr>
            <w:tcW w:type="dxa" w:w="4400"/>
            <w:tcBorders>
              <w:top w:val="single" w:color="D9D9D9" w:sz="1"/>
              <w:left w:val="single" w:color="D9D9D9" w:sz="1"/>
              <w:bottom w:val="single" w:color="D9D9D9" w:sz="1"/>
              <w:right w:val="single" w:color="D9D9D9" w:sz="1"/>
            </w:tcBorders>
            <w:shd w:fill="F7F7F5" w:val="clear"/>
            <w:tcMar>
              <w:top w:type="dxa" w:w="70"/>
              <w:left w:type="dxa" w:w="110"/>
              <w:bottom w:type="dxa" w:w="70"/>
              <w:right w:type="dxa" w:w="110"/>
            </w:tcMar>
            <w:vAlign w:val="center"/>
          </w:tcPr>
          <w:p>
            <w:pPr>
              <w:jc w:val="left"/>
            </w:pPr>
            <w:r>
              <w:rPr>
                <w:color w:val="1A1A1A"/>
                <w:sz w:val="21"/>
                <w:szCs w:val="21"/>
              </w:rPr>
              <w:t xml:space="preserve">Socios y dirección</w:t>
            </w:r>
          </w:p>
        </w:tc>
      </w:tr>
      <w:tr>
        <w:tc>
          <w:tcPr>
            <w:tcW w:type="dxa" w:w="2000"/>
            <w:tcBorders>
              <w:top w:val="single" w:color="D9D9D9" w:sz="1"/>
              <w:left w:val="single" w:color="D9D9D9" w:sz="1"/>
              <w:bottom w:val="single" w:color="D9D9D9" w:sz="1"/>
              <w:right w:val="single" w:color="D9D9D9" w:sz="1"/>
            </w:tcBorders>
            <w:shd w:fill="D97706" w:val="clear"/>
            <w:tcMar>
              <w:top w:type="dxa" w:w="70"/>
              <w:left w:type="dxa" w:w="110"/>
              <w:bottom w:type="dxa" w:w="70"/>
              <w:right w:type="dxa" w:w="110"/>
            </w:tcMar>
            <w:vAlign w:val="center"/>
          </w:tcPr>
          <w:p>
            <w:pPr>
              <w:jc w:val="left"/>
            </w:pPr>
            <w:r>
              <w:rPr>
                <w:b/>
                <w:bCs/>
                <w:color w:val="FFFFFF"/>
                <w:sz w:val="21"/>
                <w:szCs w:val="21"/>
              </w:rPr>
              <w:t xml:space="preserve">Propósito</w:t>
            </w:r>
          </w:p>
        </w:tc>
        <w:tc>
          <w:tcPr>
            <w:tcW w:type="dxa" w:w="4400"/>
            <w:tcBorders>
              <w:top w:val="single" w:color="D9D9D9" w:sz="1"/>
              <w:left w:val="single" w:color="D9D9D9" w:sz="1"/>
              <w:bottom w:val="single" w:color="D9D9D9" w:sz="1"/>
              <w:right w:val="single" w:color="D9D9D9" w:sz="1"/>
            </w:tcBorders>
            <w:shd w:fill="F7F7F5" w:val="clear"/>
            <w:tcMar>
              <w:top w:type="dxa" w:w="70"/>
              <w:left w:type="dxa" w:w="110"/>
              <w:bottom w:type="dxa" w:w="70"/>
              <w:right w:type="dxa" w:w="110"/>
            </w:tcMar>
            <w:vAlign w:val="center"/>
          </w:tcPr>
          <w:p>
            <w:pPr>
              <w:jc w:val="left"/>
            </w:pPr>
            <w:r>
              <w:rPr>
                <w:color w:val="1A1A1A"/>
                <w:sz w:val="21"/>
                <w:szCs w:val="21"/>
              </w:rPr>
              <w:t xml:space="preserve">Evaluar el estado del proyecto y la viabilidad de iniciar una Beta</w:t>
            </w:r>
          </w:p>
        </w:tc>
      </w:tr>
    </w:tbl>
    <w:p>
      <w:pPr>
        <w:spacing w:after="160"/>
      </w:pPr>
    </w:p>
    <w:p>
      <w:pPr>
        <w:pBdr>
          <w:left w:val="single" w:color="059669" w:sz="18" w:space="8"/>
        </w:pBdr>
        <w:shd w:fill="D1FAE5" w:val="clear"/>
        <w:spacing w:after="120" w:before="80" w:line="276"/>
        <w:ind w:left="160" w:right="160"/>
      </w:pPr>
      <w:r>
        <w:rPr>
          <w:b/>
          <w:bCs/>
          <w:color w:val="064E3B"/>
          <w:sz w:val="22"/>
          <w:szCs w:val="22"/>
        </w:rPr>
        <w:t xml:space="preserve">Actualización (02/06/2026) — avances desde la versión original: </w:t>
      </w:r>
      <w:r>
        <w:rPr>
          <w:color w:val="064E3B"/>
          <w:sz w:val="22"/>
          <w:szCs w:val="22"/>
        </w:rPr>
        <w:t xml:space="preserve">dos puntos que figuraban como preparación post-Beta ya fueron completados anticipadamente, lo que refuerza la posición del proyecto:</w:t>
      </w:r>
    </w:p>
    <w:p>
      <w:pPr>
        <w:pStyle w:val="ListParagraph"/>
        <w:numPr>
          <w:ilvl w:val="0"/>
          <w:numId w:val="2"/>
        </w:numPr>
        <w:spacing w:after="80"/>
        <w:ind w:left="540" w:hanging="260"/>
      </w:pPr>
      <w:r>
        <w:rPr>
          <w:b/>
          <w:bCs/>
          <w:color w:val="1A1A1A"/>
          <w:sz w:val="22"/>
          <w:szCs w:val="22"/>
        </w:rPr>
        <w:t xml:space="preserve">Endurecimiento de seguridad completo</w:t>
      </w:r>
      <w:r>
        <w:rPr>
          <w:color w:val="4A4A4A"/>
          <w:sz w:val="22"/>
          <w:szCs w:val="22"/>
        </w:rPr>
        <w:t xml:space="preserve"> — se revisó y corrigió la totalidad de los puntos de seguridad detectados. Solo resta una auditoría externa opcional antes de la escala masiva.</w:t>
      </w:r>
    </w:p>
    <w:p>
      <w:pPr>
        <w:pStyle w:val="ListParagraph"/>
        <w:numPr>
          <w:ilvl w:val="0"/>
          <w:numId w:val="2"/>
        </w:numPr>
        <w:spacing w:after="80"/>
        <w:ind w:left="540" w:hanging="260"/>
      </w:pPr>
      <w:r>
        <w:rPr>
          <w:b/>
          <w:bCs/>
          <w:color w:val="1A1A1A"/>
          <w:sz w:val="22"/>
          <w:szCs w:val="22"/>
        </w:rPr>
        <w:t xml:space="preserve">Ambiente de pruebas (staging) + recuperación ante fallas</w:t>
      </w:r>
      <w:r>
        <w:rPr>
          <w:color w:val="4A4A4A"/>
          <w:sz w:val="22"/>
          <w:szCs w:val="22"/>
        </w:rPr>
        <w:t xml:space="preserve"> — entorno gemelo aislado para probar cambios sin riesgo, con respaldos automáticos y un procedimiento de “vuelta atrás” probado. Reduce significativamente el riesgo operativo de la Beta.</w:t>
      </w:r>
    </w:p>
    <w:p>
      <w:pPr>
        <w:spacing w:after="80" w:before="40" w:line="276"/>
        <w:ind w:left="160"/>
      </w:pPr>
      <w:r>
        <w:rPr>
          <w:i/>
          <w:iCs/>
          <w:color w:val="4A4A4A"/>
          <w:sz w:val="22"/>
          <w:szCs w:val="22"/>
        </w:rPr>
        <w:t xml:space="preserve">Con esto, los únicos pendientes para abrir la Beta son trámites externos (activar cobros reales y firmar digitalmente el instalador).</w:t>
      </w:r>
    </w:p>
    <w:p>
      <w:r>
        <w:br w:type="page"/>
      </w:r>
    </w:p>
    <w:p>
      <w:pPr>
        <w:pStyle w:val="Heading1"/>
      </w:pPr>
      <w:r>
        <w:t xml:space="preserve">1. Resumen ejecutivo</w:t>
      </w:r>
    </w:p>
    <w:p>
      <w:pPr>
        <w:spacing w:after="120" w:line="276"/>
      </w:pPr>
      <w:r>
        <w:rPr>
          <w:color w:val="4A4A4A"/>
          <w:sz w:val="22"/>
          <w:szCs w:val="22"/>
        </w:rPr>
        <w:t xml:space="preserve">Procurador SCW es una plataforma de software que automatiza tareas judiciales repetitivas para abogados y procuradores en Argentina. Su desarrollo está muy avanzado: el producto funciona, se vende solo a profesionales con credenciales válidas del Poder Judicial, y ya tiene resueltos los tres pilares de un negocio digital: el producto, el cobro automático y la facturación.</w:t>
      </w:r>
    </w:p>
    <w:p>
      <w:pPr>
        <w:pBdr>
          <w:left w:val="single" w:color="059669" w:sz="18" w:space="8"/>
        </w:pBdr>
        <w:shd w:fill="D1FAE5" w:val="clear"/>
        <w:spacing w:after="200" w:before="120" w:line="276"/>
        <w:ind w:left="160"/>
      </w:pPr>
      <w:r>
        <w:rPr>
          <w:b/>
          <w:bCs/>
          <w:color w:val="064E3B"/>
          <w:sz w:val="22"/>
          <w:szCs w:val="22"/>
        </w:rPr>
        <w:t xml:space="preserve">Conclusión principal: </w:t>
      </w:r>
      <w:r>
        <w:rPr>
          <w:color w:val="064E3B"/>
          <w:sz w:val="22"/>
          <w:szCs w:val="22"/>
        </w:rPr>
        <w:t xml:space="preserve">el proyecto está listo para iniciar una Beta con un grupo reducido de usuarios reales, con la salvedad de completar tres tareas de bajo esfuerzo antes de abrir las puertas (ver sección 6).</w:t>
      </w:r>
    </w:p>
    <w:p>
      <w:pPr>
        <w:pStyle w:val="Heading1"/>
      </w:pPr>
      <w:r>
        <w:t xml:space="preserve">2. ¿Qué hace el producto?</w:t>
      </w:r>
    </w:p>
    <w:p>
      <w:pPr>
        <w:spacing w:after="120" w:line="276"/>
      </w:pPr>
      <w:r>
        <w:rPr>
          <w:color w:val="4A4A4A"/>
          <w:sz w:val="22"/>
          <w:szCs w:val="22"/>
        </w:rPr>
        <w:t xml:space="preserve">El profesional del derecho pierde muchas horas en tareas mecánicas dentro del sistema del Poder Judicial. Procurador SCW automatiza esas tareas con dos herramientas: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D9D9D9" w:sz="1"/>
              <w:left w:val="single" w:color="D9D9D9" w:sz="1"/>
              <w:bottom w:val="single" w:color="D9D9D9" w:sz="1"/>
              <w:right w:val="single" w:color="D9D9D9" w:sz="1"/>
            </w:tcBorders>
            <w:shd w:fill="1E3A5F" w:val="clear"/>
            <w:tcMar>
              <w:top w:type="dxa" w:w="70"/>
              <w:left w:type="dxa" w:w="110"/>
              <w:bottom w:type="dxa" w:w="70"/>
              <w:right w:type="dxa" w:w="110"/>
            </w:tcMar>
            <w:vAlign w:val="center"/>
          </w:tcPr>
          <w:p>
            <w:pPr>
              <w:jc w:val="left"/>
            </w:pPr>
            <w:r>
              <w:rPr>
                <w:b/>
                <w:bCs/>
                <w:color w:val="FFFFFF"/>
                <w:sz w:val="21"/>
                <w:szCs w:val="21"/>
              </w:rPr>
              <w:t xml:space="preserve">Herramienta</w:t>
            </w:r>
          </w:p>
        </w:tc>
        <w:tc>
          <w:tcPr>
            <w:tcW w:type="dxa" w:w="4760"/>
            <w:tcBorders>
              <w:top w:val="single" w:color="D9D9D9" w:sz="1"/>
              <w:left w:val="single" w:color="D9D9D9" w:sz="1"/>
              <w:bottom w:val="single" w:color="D9D9D9" w:sz="1"/>
              <w:right w:val="single" w:color="D9D9D9" w:sz="1"/>
            </w:tcBorders>
            <w:shd w:fill="1E3A5F" w:val="clear"/>
            <w:tcMar>
              <w:top w:type="dxa" w:w="70"/>
              <w:left w:type="dxa" w:w="110"/>
              <w:bottom w:type="dxa" w:w="70"/>
              <w:right w:type="dxa" w:w="110"/>
            </w:tcMar>
            <w:vAlign w:val="center"/>
          </w:tcPr>
          <w:p>
            <w:pPr>
              <w:jc w:val="left"/>
            </w:pPr>
            <w:r>
              <w:rPr>
                <w:b/>
                <w:bCs/>
                <w:color w:val="FFFFFF"/>
                <w:sz w:val="21"/>
                <w:szCs w:val="21"/>
              </w:rPr>
              <w:t xml:space="preserve">Qué hace</w:t>
            </w:r>
          </w:p>
        </w:tc>
        <w:tc>
          <w:tcPr>
            <w:tcW w:type="dxa" w:w="2200"/>
            <w:tcBorders>
              <w:top w:val="single" w:color="D9D9D9" w:sz="1"/>
              <w:left w:val="single" w:color="D9D9D9" w:sz="1"/>
              <w:bottom w:val="single" w:color="D9D9D9" w:sz="1"/>
              <w:right w:val="single" w:color="D9D9D9" w:sz="1"/>
            </w:tcBorders>
            <w:shd w:fill="1E3A5F" w:val="clear"/>
            <w:tcMar>
              <w:top w:type="dxa" w:w="70"/>
              <w:left w:type="dxa" w:w="110"/>
              <w:bottom w:type="dxa" w:w="70"/>
              <w:right w:type="dxa" w:w="110"/>
            </w:tcMar>
            <w:vAlign w:val="center"/>
          </w:tcPr>
          <w:p>
            <w:pPr>
              <w:jc w:val="left"/>
            </w:pPr>
            <w:r>
              <w:rPr>
                <w:b/>
                <w:bCs/>
                <w:color w:val="FFFFFF"/>
                <w:sz w:val="21"/>
                <w:szCs w:val="21"/>
              </w:rPr>
              <w:t xml:space="preserve">Dónde corre</w:t>
            </w:r>
          </w:p>
        </w:tc>
      </w:tr>
      <w:tr>
        <w:tc>
          <w:tcPr>
            <w:tcW w:type="dxa" w:w="240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left"/>
            </w:pPr>
            <w:r>
              <w:rPr>
                <w:color w:val="1A1A1A"/>
                <w:sz w:val="21"/>
                <w:szCs w:val="21"/>
              </w:rPr>
              <w:t xml:space="preserve">Aplicación de escritorio</w:t>
            </w:r>
          </w:p>
        </w:tc>
        <w:tc>
          <w:tcPr>
            <w:tcW w:type="dxa" w:w="476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left"/>
            </w:pPr>
            <w:r>
              <w:rPr>
                <w:color w:val="1A1A1A"/>
                <w:sz w:val="21"/>
                <w:szCs w:val="21"/>
              </w:rPr>
              <w:t xml:space="preserve">Procura expedientes, genera informes de estado y monitorea si aparecen causas nuevas — todo automático</w:t>
            </w:r>
          </w:p>
        </w:tc>
        <w:tc>
          <w:tcPr>
            <w:tcW w:type="dxa" w:w="220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left"/>
            </w:pPr>
            <w:r>
              <w:rPr>
                <w:color w:val="1A1A1A"/>
                <w:sz w:val="21"/>
                <w:szCs w:val="21"/>
              </w:rPr>
              <w:t xml:space="preserve">PC del usuario (Windows)</w:t>
            </w:r>
          </w:p>
        </w:tc>
      </w:tr>
      <w:tr>
        <w:tc>
          <w:tcPr>
            <w:tcW w:type="dxa" w:w="2400"/>
            <w:tcBorders>
              <w:top w:val="single" w:color="D9D9D9" w:sz="1"/>
              <w:left w:val="single" w:color="D9D9D9" w:sz="1"/>
              <w:bottom w:val="single" w:color="D9D9D9" w:sz="1"/>
              <w:right w:val="single" w:color="D9D9D9" w:sz="1"/>
            </w:tcBorders>
            <w:shd w:fill="F7F7F5" w:val="clear"/>
            <w:tcMar>
              <w:top w:type="dxa" w:w="70"/>
              <w:left w:type="dxa" w:w="110"/>
              <w:bottom w:type="dxa" w:w="70"/>
              <w:right w:type="dxa" w:w="110"/>
            </w:tcMar>
            <w:vAlign w:val="center"/>
          </w:tcPr>
          <w:p>
            <w:pPr>
              <w:jc w:val="left"/>
            </w:pPr>
            <w:r>
              <w:rPr>
                <w:color w:val="1A1A1A"/>
                <w:sz w:val="21"/>
                <w:szCs w:val="21"/>
              </w:rPr>
              <w:t xml:space="preserve">Extensión de Chrome</w:t>
            </w:r>
          </w:p>
        </w:tc>
        <w:tc>
          <w:tcPr>
            <w:tcW w:type="dxa" w:w="4760"/>
            <w:tcBorders>
              <w:top w:val="single" w:color="D9D9D9" w:sz="1"/>
              <w:left w:val="single" w:color="D9D9D9" w:sz="1"/>
              <w:bottom w:val="single" w:color="D9D9D9" w:sz="1"/>
              <w:right w:val="single" w:color="D9D9D9" w:sz="1"/>
            </w:tcBorders>
            <w:shd w:fill="F7F7F5" w:val="clear"/>
            <w:tcMar>
              <w:top w:type="dxa" w:w="70"/>
              <w:left w:type="dxa" w:w="110"/>
              <w:bottom w:type="dxa" w:w="70"/>
              <w:right w:type="dxa" w:w="110"/>
            </w:tcMar>
            <w:vAlign w:val="center"/>
          </w:tcPr>
          <w:p>
            <w:pPr>
              <w:jc w:val="left"/>
            </w:pPr>
            <w:r>
              <w:rPr>
                <w:color w:val="1A1A1A"/>
                <w:sz w:val="21"/>
                <w:szCs w:val="21"/>
              </w:rPr>
              <w:t xml:space="preserve">Acelera la carga de números de expediente en 5 sistemas del Poder Judicial</w:t>
            </w:r>
          </w:p>
        </w:tc>
        <w:tc>
          <w:tcPr>
            <w:tcW w:type="dxa" w:w="2200"/>
            <w:tcBorders>
              <w:top w:val="single" w:color="D9D9D9" w:sz="1"/>
              <w:left w:val="single" w:color="D9D9D9" w:sz="1"/>
              <w:bottom w:val="single" w:color="D9D9D9" w:sz="1"/>
              <w:right w:val="single" w:color="D9D9D9" w:sz="1"/>
            </w:tcBorders>
            <w:shd w:fill="F7F7F5" w:val="clear"/>
            <w:tcMar>
              <w:top w:type="dxa" w:w="70"/>
              <w:left w:type="dxa" w:w="110"/>
              <w:bottom w:type="dxa" w:w="70"/>
              <w:right w:type="dxa" w:w="110"/>
            </w:tcMar>
            <w:vAlign w:val="center"/>
          </w:tcPr>
          <w:p>
            <w:pPr>
              <w:jc w:val="left"/>
            </w:pPr>
            <w:r>
              <w:rPr>
                <w:color w:val="1A1A1A"/>
                <w:sz w:val="21"/>
                <w:szCs w:val="21"/>
              </w:rPr>
              <w:t xml:space="preserve">Navegador del usuario</w:t>
            </w:r>
          </w:p>
        </w:tc>
      </w:tr>
    </w:tbl>
    <w:p>
      <w:pPr>
        <w:spacing w:after="120"/>
      </w:pPr>
    </w:p>
    <w:p>
      <w:pPr>
        <w:pBdr>
          <w:left w:val="single" w:color="D97706" w:sz="18" w:space="8"/>
        </w:pBdr>
        <w:shd w:fill="FEF3C7" w:val="clear"/>
        <w:spacing w:after="200" w:before="60" w:line="276"/>
        <w:ind w:left="160"/>
      </w:pPr>
      <w:r>
        <w:rPr>
          <w:b/>
          <w:bCs/>
          <w:color w:val="78350F"/>
          <w:sz w:val="22"/>
          <w:szCs w:val="22"/>
        </w:rPr>
        <w:t xml:space="preserve">Dato clave de confianza: </w:t>
      </w:r>
      <w:r>
        <w:rPr>
          <w:color w:val="78350F"/>
          <w:sz w:val="22"/>
          <w:szCs w:val="22"/>
        </w:rPr>
        <w:t xml:space="preserve">las contraseñas del Poder Judicial del usuario nunca pasan por nuestros servidores. Se manejan localmente en su propia computadora. Es un diferenciador fuerte en seguridad y privacidad.</w:t>
      </w:r>
    </w:p>
    <w:p>
      <w:pPr>
        <w:pStyle w:val="Heading1"/>
      </w:pPr>
      <w:r>
        <w:t xml:space="preserve">3. Estado del proyecto por etapas</w:t>
      </w:r>
    </w:p>
    <w:p>
      <w:pPr>
        <w:spacing w:after="120" w:line="276"/>
      </w:pPr>
      <w:r>
        <w:rPr>
          <w:color w:val="4A4A4A"/>
          <w:sz w:val="22"/>
          <w:szCs w:val="22"/>
        </w:rPr>
        <w:t xml:space="preserve">El proyecto se organizó en 5 fases. Este es el estado real de cada una: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D9D9D9" w:sz="1"/>
              <w:left w:val="single" w:color="D9D9D9" w:sz="1"/>
              <w:bottom w:val="single" w:color="D9D9D9" w:sz="1"/>
              <w:right w:val="single" w:color="D9D9D9" w:sz="1"/>
            </w:tcBorders>
            <w:shd w:fill="1E3A5F" w:val="clear"/>
            <w:tcMar>
              <w:top w:type="dxa" w:w="70"/>
              <w:left w:type="dxa" w:w="110"/>
              <w:bottom w:type="dxa" w:w="70"/>
              <w:right w:type="dxa" w:w="110"/>
            </w:tcMar>
            <w:vAlign w:val="center"/>
          </w:tcPr>
          <w:p>
            <w:pPr>
              <w:jc w:val="left"/>
            </w:pPr>
            <w:r>
              <w:rPr>
                <w:b/>
                <w:bCs/>
                <w:color w:val="FFFFFF"/>
                <w:sz w:val="21"/>
                <w:szCs w:val="21"/>
              </w:rPr>
              <w:t xml:space="preserve">Fase</w:t>
            </w:r>
          </w:p>
        </w:tc>
        <w:tc>
          <w:tcPr>
            <w:tcW w:type="dxa" w:w="4360"/>
            <w:tcBorders>
              <w:top w:val="single" w:color="D9D9D9" w:sz="1"/>
              <w:left w:val="single" w:color="D9D9D9" w:sz="1"/>
              <w:bottom w:val="single" w:color="D9D9D9" w:sz="1"/>
              <w:right w:val="single" w:color="D9D9D9" w:sz="1"/>
            </w:tcBorders>
            <w:shd w:fill="1E3A5F" w:val="clear"/>
            <w:tcMar>
              <w:top w:type="dxa" w:w="70"/>
              <w:left w:type="dxa" w:w="110"/>
              <w:bottom w:type="dxa" w:w="70"/>
              <w:right w:type="dxa" w:w="110"/>
            </w:tcMar>
            <w:vAlign w:val="center"/>
          </w:tcPr>
          <w:p>
            <w:pPr>
              <w:jc w:val="left"/>
            </w:pPr>
            <w:r>
              <w:rPr>
                <w:b/>
                <w:bCs/>
                <w:color w:val="FFFFFF"/>
                <w:sz w:val="21"/>
                <w:szCs w:val="21"/>
              </w:rPr>
              <w:t xml:space="preserve">Qué abarca</w:t>
            </w:r>
          </w:p>
        </w:tc>
        <w:tc>
          <w:tcPr>
            <w:tcW w:type="dxa" w:w="2400"/>
            <w:tcBorders>
              <w:top w:val="single" w:color="D9D9D9" w:sz="1"/>
              <w:left w:val="single" w:color="D9D9D9" w:sz="1"/>
              <w:bottom w:val="single" w:color="D9D9D9" w:sz="1"/>
              <w:right w:val="single" w:color="D9D9D9" w:sz="1"/>
            </w:tcBorders>
            <w:shd w:fill="1E3A5F" w:val="clear"/>
            <w:tcMar>
              <w:top w:type="dxa" w:w="70"/>
              <w:left w:type="dxa" w:w="110"/>
              <w:bottom w:type="dxa" w:w="70"/>
              <w:right w:type="dxa" w:w="110"/>
            </w:tcMar>
            <w:vAlign w:val="center"/>
          </w:tcPr>
          <w:p>
            <w:pPr>
              <w:jc w:val="center"/>
            </w:pPr>
            <w:r>
              <w:rPr>
                <w:b/>
                <w:bCs/>
                <w:color w:val="FFFFFF"/>
                <w:sz w:val="21"/>
                <w:szCs w:val="21"/>
              </w:rPr>
              <w:t xml:space="preserve">Estado</w:t>
            </w:r>
          </w:p>
        </w:tc>
      </w:tr>
      <w:tr>
        <w:tc>
          <w:tcPr>
            <w:tcW w:type="dxa" w:w="260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left"/>
            </w:pPr>
            <w:r>
              <w:rPr>
                <w:color w:val="1A1A1A"/>
                <w:sz w:val="21"/>
                <w:szCs w:val="21"/>
              </w:rPr>
              <w:t xml:space="preserve">1 — Producto</w:t>
            </w:r>
          </w:p>
        </w:tc>
        <w:tc>
          <w:tcPr>
            <w:tcW w:type="dxa" w:w="436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left"/>
            </w:pPr>
            <w:r>
              <w:rPr>
                <w:color w:val="1A1A1A"/>
                <w:sz w:val="21"/>
                <w:szCs w:val="21"/>
              </w:rPr>
              <w:t xml:space="preserve">La aplicación y la extensión funcionando y pulidas</w:t>
            </w:r>
          </w:p>
        </w:tc>
        <w:tc>
          <w:tcPr>
            <w:tcW w:type="dxa" w:w="2400"/>
            <w:tcBorders>
              <w:top w:val="single" w:color="D9D9D9" w:sz="1"/>
              <w:left w:val="single" w:color="D9D9D9" w:sz="1"/>
              <w:bottom w:val="single" w:color="D9D9D9" w:sz="1"/>
              <w:right w:val="single" w:color="D9D9D9" w:sz="1"/>
            </w:tcBorders>
            <w:shd w:fill="D1FAE5" w:val="clear"/>
            <w:tcMar>
              <w:top w:type="dxa" w:w="70"/>
              <w:left w:type="dxa" w:w="110"/>
              <w:bottom w:type="dxa" w:w="70"/>
              <w:right w:type="dxa" w:w="110"/>
            </w:tcMar>
            <w:vAlign w:val="center"/>
          </w:tcPr>
          <w:p>
            <w:pPr>
              <w:jc w:val="center"/>
            </w:pPr>
            <w:r>
              <w:rPr>
                <w:color w:val="064E3B"/>
                <w:sz w:val="21"/>
                <w:szCs w:val="21"/>
              </w:rPr>
              <w:t xml:space="preserve">Operativa</w:t>
            </w:r>
          </w:p>
        </w:tc>
      </w:tr>
      <w:tr>
        <w:tc>
          <w:tcPr>
            <w:tcW w:type="dxa" w:w="2600"/>
            <w:tcBorders>
              <w:top w:val="single" w:color="D9D9D9" w:sz="1"/>
              <w:left w:val="single" w:color="D9D9D9" w:sz="1"/>
              <w:bottom w:val="single" w:color="D9D9D9" w:sz="1"/>
              <w:right w:val="single" w:color="D9D9D9" w:sz="1"/>
            </w:tcBorders>
            <w:shd w:fill="F7F7F5" w:val="clear"/>
            <w:tcMar>
              <w:top w:type="dxa" w:w="70"/>
              <w:left w:type="dxa" w:w="110"/>
              <w:bottom w:type="dxa" w:w="70"/>
              <w:right w:type="dxa" w:w="110"/>
            </w:tcMar>
            <w:vAlign w:val="center"/>
          </w:tcPr>
          <w:p>
            <w:pPr>
              <w:jc w:val="left"/>
            </w:pPr>
            <w:r>
              <w:rPr>
                <w:color w:val="1A1A1A"/>
                <w:sz w:val="21"/>
                <w:szCs w:val="21"/>
              </w:rPr>
              <w:t xml:space="preserve">2 — Infraestructura</w:t>
            </w:r>
          </w:p>
        </w:tc>
        <w:tc>
          <w:tcPr>
            <w:tcW w:type="dxa" w:w="4360"/>
            <w:tcBorders>
              <w:top w:val="single" w:color="D9D9D9" w:sz="1"/>
              <w:left w:val="single" w:color="D9D9D9" w:sz="1"/>
              <w:bottom w:val="single" w:color="D9D9D9" w:sz="1"/>
              <w:right w:val="single" w:color="D9D9D9" w:sz="1"/>
            </w:tcBorders>
            <w:shd w:fill="F7F7F5" w:val="clear"/>
            <w:tcMar>
              <w:top w:type="dxa" w:w="70"/>
              <w:left w:type="dxa" w:w="110"/>
              <w:bottom w:type="dxa" w:w="70"/>
              <w:right w:type="dxa" w:w="110"/>
            </w:tcMar>
            <w:vAlign w:val="center"/>
          </w:tcPr>
          <w:p>
            <w:pPr>
              <w:jc w:val="left"/>
            </w:pPr>
            <w:r>
              <w:rPr>
                <w:color w:val="1A1A1A"/>
                <w:sz w:val="21"/>
                <w:szCs w:val="21"/>
              </w:rPr>
              <w:t xml:space="preserve">Servidores, base de datos, copias de seguridad</w:t>
            </w:r>
          </w:p>
        </w:tc>
        <w:tc>
          <w:tcPr>
            <w:tcW w:type="dxa" w:w="2400"/>
            <w:tcBorders>
              <w:top w:val="single" w:color="D9D9D9" w:sz="1"/>
              <w:left w:val="single" w:color="D9D9D9" w:sz="1"/>
              <w:bottom w:val="single" w:color="D9D9D9" w:sz="1"/>
              <w:right w:val="single" w:color="D9D9D9" w:sz="1"/>
            </w:tcBorders>
            <w:shd w:fill="D1FAE5" w:val="clear"/>
            <w:tcMar>
              <w:top w:type="dxa" w:w="70"/>
              <w:left w:type="dxa" w:w="110"/>
              <w:bottom w:type="dxa" w:w="70"/>
              <w:right w:type="dxa" w:w="110"/>
            </w:tcMar>
            <w:vAlign w:val="center"/>
          </w:tcPr>
          <w:p>
            <w:pPr>
              <w:jc w:val="center"/>
            </w:pPr>
            <w:r>
              <w:rPr>
                <w:color w:val="064E3B"/>
                <w:sz w:val="21"/>
                <w:szCs w:val="21"/>
              </w:rPr>
              <w:t xml:space="preserve">Operativa</w:t>
            </w:r>
          </w:p>
        </w:tc>
      </w:tr>
      <w:tr>
        <w:tc>
          <w:tcPr>
            <w:tcW w:type="dxa" w:w="260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left"/>
            </w:pPr>
            <w:r>
              <w:rPr>
                <w:color w:val="1A1A1A"/>
                <w:sz w:val="21"/>
                <w:szCs w:val="21"/>
              </w:rPr>
              <w:t xml:space="preserve">3 — Comercial</w:t>
            </w:r>
          </w:p>
        </w:tc>
        <w:tc>
          <w:tcPr>
            <w:tcW w:type="dxa" w:w="436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left"/>
            </w:pPr>
            <w:r>
              <w:rPr>
                <w:color w:val="1A1A1A"/>
                <w:sz w:val="21"/>
                <w:szCs w:val="21"/>
              </w:rPr>
              <w:t xml:space="preserve">Página web, planes, identidad de marca</w:t>
            </w:r>
          </w:p>
        </w:tc>
        <w:tc>
          <w:tcPr>
            <w:tcW w:type="dxa" w:w="2400"/>
            <w:tcBorders>
              <w:top w:val="single" w:color="D9D9D9" w:sz="1"/>
              <w:left w:val="single" w:color="D9D9D9" w:sz="1"/>
              <w:bottom w:val="single" w:color="D9D9D9" w:sz="1"/>
              <w:right w:val="single" w:color="D9D9D9" w:sz="1"/>
            </w:tcBorders>
            <w:shd w:fill="D1FAE5" w:val="clear"/>
            <w:tcMar>
              <w:top w:type="dxa" w:w="70"/>
              <w:left w:type="dxa" w:w="110"/>
              <w:bottom w:type="dxa" w:w="70"/>
              <w:right w:type="dxa" w:w="110"/>
            </w:tcMar>
            <w:vAlign w:val="center"/>
          </w:tcPr>
          <w:p>
            <w:pPr>
              <w:jc w:val="center"/>
            </w:pPr>
            <w:r>
              <w:rPr>
                <w:color w:val="064E3B"/>
                <w:sz w:val="21"/>
                <w:szCs w:val="21"/>
              </w:rPr>
              <w:t xml:space="preserve">Operativa</w:t>
            </w:r>
          </w:p>
        </w:tc>
      </w:tr>
      <w:tr>
        <w:tc>
          <w:tcPr>
            <w:tcW w:type="dxa" w:w="2600"/>
            <w:tcBorders>
              <w:top w:val="single" w:color="D9D9D9" w:sz="1"/>
              <w:left w:val="single" w:color="D9D9D9" w:sz="1"/>
              <w:bottom w:val="single" w:color="D9D9D9" w:sz="1"/>
              <w:right w:val="single" w:color="D9D9D9" w:sz="1"/>
            </w:tcBorders>
            <w:shd w:fill="F7F7F5" w:val="clear"/>
            <w:tcMar>
              <w:top w:type="dxa" w:w="70"/>
              <w:left w:type="dxa" w:w="110"/>
              <w:bottom w:type="dxa" w:w="70"/>
              <w:right w:type="dxa" w:w="110"/>
            </w:tcMar>
            <w:vAlign w:val="center"/>
          </w:tcPr>
          <w:p>
            <w:pPr>
              <w:jc w:val="left"/>
            </w:pPr>
            <w:r>
              <w:rPr>
                <w:color w:val="1A1A1A"/>
                <w:sz w:val="21"/>
                <w:szCs w:val="21"/>
              </w:rPr>
              <w:t xml:space="preserve">4 — Soporte</w:t>
            </w:r>
          </w:p>
        </w:tc>
        <w:tc>
          <w:tcPr>
            <w:tcW w:type="dxa" w:w="4360"/>
            <w:tcBorders>
              <w:top w:val="single" w:color="D9D9D9" w:sz="1"/>
              <w:left w:val="single" w:color="D9D9D9" w:sz="1"/>
              <w:bottom w:val="single" w:color="D9D9D9" w:sz="1"/>
              <w:right w:val="single" w:color="D9D9D9" w:sz="1"/>
            </w:tcBorders>
            <w:shd w:fill="F7F7F5" w:val="clear"/>
            <w:tcMar>
              <w:top w:type="dxa" w:w="70"/>
              <w:left w:type="dxa" w:w="110"/>
              <w:bottom w:type="dxa" w:w="70"/>
              <w:right w:type="dxa" w:w="110"/>
            </w:tcMar>
            <w:vAlign w:val="center"/>
          </w:tcPr>
          <w:p>
            <w:pPr>
              <w:jc w:val="left"/>
            </w:pPr>
            <w:r>
              <w:rPr>
                <w:color w:val="1A1A1A"/>
                <w:sz w:val="21"/>
                <w:szCs w:val="21"/>
              </w:rPr>
              <w:t xml:space="preserve">Sistema de tickets y asistente con IA</w:t>
            </w:r>
          </w:p>
        </w:tc>
        <w:tc>
          <w:tcPr>
            <w:tcW w:type="dxa" w:w="2400"/>
            <w:tcBorders>
              <w:top w:val="single" w:color="D9D9D9" w:sz="1"/>
              <w:left w:val="single" w:color="D9D9D9" w:sz="1"/>
              <w:bottom w:val="single" w:color="D9D9D9" w:sz="1"/>
              <w:right w:val="single" w:color="D9D9D9" w:sz="1"/>
            </w:tcBorders>
            <w:shd w:fill="D1FAE5" w:val="clear"/>
            <w:tcMar>
              <w:top w:type="dxa" w:w="70"/>
              <w:left w:type="dxa" w:w="110"/>
              <w:bottom w:type="dxa" w:w="70"/>
              <w:right w:type="dxa" w:w="110"/>
            </w:tcMar>
            <w:vAlign w:val="center"/>
          </w:tcPr>
          <w:p>
            <w:pPr>
              <w:jc w:val="center"/>
            </w:pPr>
            <w:r>
              <w:rPr>
                <w:color w:val="064E3B"/>
                <w:sz w:val="21"/>
                <w:szCs w:val="21"/>
              </w:rPr>
              <w:t xml:space="preserve">Cerrada</w:t>
            </w:r>
          </w:p>
        </w:tc>
      </w:tr>
      <w:tr>
        <w:tc>
          <w:tcPr>
            <w:tcW w:type="dxa" w:w="260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left"/>
            </w:pPr>
            <w:r>
              <w:rPr>
                <w:color w:val="1A1A1A"/>
                <w:sz w:val="21"/>
                <w:szCs w:val="21"/>
              </w:rPr>
              <w:t xml:space="preserve">5 — Cobranza</w:t>
            </w:r>
          </w:p>
        </w:tc>
        <w:tc>
          <w:tcPr>
            <w:tcW w:type="dxa" w:w="436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left"/>
            </w:pPr>
            <w:r>
              <w:rPr>
                <w:color w:val="1A1A1A"/>
                <w:sz w:val="21"/>
                <w:szCs w:val="21"/>
              </w:rPr>
              <w:t xml:space="preserve">Cobro automático mensual + facturación</w:t>
            </w:r>
          </w:p>
        </w:tc>
        <w:tc>
          <w:tcPr>
            <w:tcW w:type="dxa" w:w="2400"/>
            <w:tcBorders>
              <w:top w:val="single" w:color="D9D9D9" w:sz="1"/>
              <w:left w:val="single" w:color="D9D9D9" w:sz="1"/>
              <w:bottom w:val="single" w:color="D9D9D9" w:sz="1"/>
              <w:right w:val="single" w:color="D9D9D9" w:sz="1"/>
            </w:tcBorders>
            <w:shd w:fill="D1FAE5" w:val="clear"/>
            <w:tcMar>
              <w:top w:type="dxa" w:w="70"/>
              <w:left w:type="dxa" w:w="110"/>
              <w:bottom w:type="dxa" w:w="70"/>
              <w:right w:type="dxa" w:w="110"/>
            </w:tcMar>
            <w:vAlign w:val="center"/>
          </w:tcPr>
          <w:p>
            <w:pPr>
              <w:jc w:val="center"/>
            </w:pPr>
            <w:r>
              <w:rPr>
                <w:color w:val="064E3B"/>
                <w:sz w:val="21"/>
                <w:szCs w:val="21"/>
              </w:rPr>
              <w:t xml:space="preserve">Validada en pruebas</w:t>
            </w:r>
          </w:p>
        </w:tc>
      </w:tr>
    </w:tbl>
    <w:p>
      <w:pPr>
        <w:spacing w:after="120"/>
      </w:pPr>
    </w:p>
    <w:p>
      <w:pPr>
        <w:spacing w:after="120" w:line="276"/>
      </w:pPr>
      <w:r>
        <w:rPr>
          <w:b/>
          <w:bCs/>
          <w:color w:val="1A1A1A"/>
          <w:sz w:val="22"/>
          <w:szCs w:val="22"/>
        </w:rPr>
        <w:t xml:space="preserve">En síntesis: las 5 fases están construidas. Lo que resta no es desarrollo, sino activación de servicios externos y validación final.</w:t>
      </w:r>
    </w:p>
    <w:p>
      <w:pPr>
        <w:pStyle w:val="Heading1"/>
      </w:pPr>
      <w:r>
        <w:t xml:space="preserve">4. Lo que ya funciona (verificado)</w:t>
      </w:r>
    </w:p>
    <w:p>
      <w:pPr>
        <w:pStyle w:val="Heading2"/>
      </w:pPr>
      <w:r>
        <w:t xml:space="preserve">El producto completo</w:t>
      </w:r>
    </w:p>
    <w:p>
      <w:pPr>
        <w:pStyle w:val="ListParagraph"/>
        <w:numPr>
          <w:ilvl w:val="0"/>
          <w:numId w:val="3"/>
        </w:numPr>
        <w:spacing w:after="80"/>
      </w:pPr>
      <w:r>
        <w:rPr>
          <w:color w:val="4A4A4A"/>
          <w:sz w:val="22"/>
          <w:szCs w:val="22"/>
        </w:rPr>
        <w:t xml:space="preserve">Aplicación de escritorio publicada, con actualización automática (los usuarios reciben mejoras sin reinstalar)</w:t>
      </w:r>
    </w:p>
    <w:p>
      <w:pPr>
        <w:pStyle w:val="ListParagraph"/>
        <w:numPr>
          <w:ilvl w:val="0"/>
          <w:numId w:val="3"/>
        </w:numPr>
        <w:spacing w:after="80"/>
      </w:pPr>
      <w:r>
        <w:rPr>
          <w:color w:val="4A4A4A"/>
          <w:sz w:val="22"/>
          <w:szCs w:val="22"/>
        </w:rPr>
        <w:t xml:space="preserve">Extensión de Chrome aprobada y publicada por Google en la Chrome Web Store</w:t>
      </w:r>
    </w:p>
    <w:p>
      <w:pPr>
        <w:pStyle w:val="ListParagraph"/>
        <w:numPr>
          <w:ilvl w:val="0"/>
          <w:numId w:val="3"/>
        </w:numPr>
        <w:spacing w:after="80"/>
      </w:pPr>
      <w:r>
        <w:rPr>
          <w:color w:val="4A4A4A"/>
          <w:sz w:val="22"/>
          <w:szCs w:val="22"/>
        </w:rPr>
        <w:t xml:space="preserve">Página web pública con planes, precios y explicación del producto</w:t>
      </w:r>
    </w:p>
    <w:p>
      <w:pPr>
        <w:pStyle w:val="Heading2"/>
      </w:pPr>
      <w:r>
        <w:t xml:space="preserve">El recorrido completo del usuario</w:t>
      </w:r>
    </w:p>
    <w:p>
      <w:pPr>
        <w:spacing w:after="120" w:line="276"/>
      </w:pPr>
      <w:r>
        <w:rPr>
          <w:color w:val="4A4A4A"/>
          <w:sz w:val="22"/>
          <w:szCs w:val="22"/>
        </w:rPr>
        <w:t xml:space="preserve">Desde que una persona se registra hasta que opera mes a mes, todo el circuito está implementado y probado: registro con verificación por email, período de prueba de 20 usos gratuitos, activación con control administrativo, configuración del medio de pago, cobro automático mensual, cancelación y reactivación, y manejo de pagos rechazados con período de gracia.</w:t>
      </w:r>
    </w:p>
    <w:p>
      <w:pPr>
        <w:pStyle w:val="Heading2"/>
      </w:pPr>
      <w:r>
        <w:t xml:space="preserve">El cobro automático</w:t>
      </w:r>
    </w:p>
    <w:p>
      <w:pPr>
        <w:pStyle w:val="ListParagraph"/>
        <w:numPr>
          <w:ilvl w:val="0"/>
          <w:numId w:val="3"/>
        </w:numPr>
        <w:spacing w:after="80"/>
      </w:pPr>
      <w:r>
        <w:rPr>
          <w:color w:val="4A4A4A"/>
          <w:sz w:val="22"/>
          <w:szCs w:val="22"/>
        </w:rPr>
        <w:t xml:space="preserve">Integrado con MercadoPago (la pasarela más usada en Argentina)</w:t>
      </w:r>
    </w:p>
    <w:p>
      <w:pPr>
        <w:pStyle w:val="ListParagraph"/>
        <w:numPr>
          <w:ilvl w:val="0"/>
          <w:numId w:val="3"/>
        </w:numPr>
        <w:spacing w:after="80"/>
      </w:pPr>
      <w:r>
        <w:rPr>
          <w:color w:val="4A4A4A"/>
          <w:sz w:val="22"/>
          <w:szCs w:val="22"/>
        </w:rPr>
        <w:t xml:space="preserve">Probado de punta a punta: alta, cobro, cancelación, reactivación y recuperación de pagos fallidos</w:t>
      </w:r>
    </w:p>
    <w:p>
      <w:pPr>
        <w:pStyle w:val="ListParagraph"/>
        <w:numPr>
          <w:ilvl w:val="0"/>
          <w:numId w:val="3"/>
        </w:numPr>
        <w:spacing w:after="80"/>
      </w:pPr>
      <w:r>
        <w:rPr>
          <w:color w:val="4A4A4A"/>
          <w:sz w:val="22"/>
          <w:szCs w:val="22"/>
        </w:rPr>
        <w:t xml:space="preserve">Los datos de tarjeta nunca tocan nuestros servidores — se manejan en la plataforma segura de MercadoPago</w:t>
      </w:r>
    </w:p>
    <w:p>
      <w:pPr>
        <w:pStyle w:val="Heading2"/>
      </w:pPr>
      <w:r>
        <w:t xml:space="preserve">La facturación y el soporte</w:t>
      </w:r>
    </w:p>
    <w:p>
      <w:pPr>
        <w:pStyle w:val="ListParagraph"/>
        <w:numPr>
          <w:ilvl w:val="0"/>
          <w:numId w:val="3"/>
        </w:numPr>
        <w:spacing w:after="80"/>
      </w:pPr>
      <w:r>
        <w:rPr>
          <w:color w:val="4A4A4A"/>
          <w:sz w:val="22"/>
          <w:szCs w:val="22"/>
        </w:rPr>
        <w:t xml:space="preserve">Panel de administración con sección de facturación operativa (la factura llega al instante al portal del usuario)</w:t>
      </w:r>
    </w:p>
    <w:p>
      <w:pPr>
        <w:pStyle w:val="ListParagraph"/>
        <w:numPr>
          <w:ilvl w:val="0"/>
          <w:numId w:val="3"/>
        </w:numPr>
        <w:spacing w:after="80"/>
      </w:pPr>
      <w:r>
        <w:rPr>
          <w:color w:val="4A4A4A"/>
          <w:sz w:val="22"/>
          <w:szCs w:val="22"/>
        </w:rPr>
        <w:t xml:space="preserve">Sistema de tickets y asistente con inteligencia artificial para consultas frecuentes</w:t>
      </w:r>
    </w:p>
    <w:p>
      <w:r>
        <w:br w:type="page"/>
      </w:r>
    </w:p>
    <w:p>
      <w:pPr>
        <w:pStyle w:val="Heading1"/>
      </w:pPr>
      <w:r>
        <w:t xml:space="preserve">5. Lo que falta (y por qué no es desarrollo)</w:t>
      </w:r>
    </w:p>
    <w:p>
      <w:pPr>
        <w:spacing w:after="120" w:line="276"/>
      </w:pPr>
      <w:r>
        <w:rPr>
          <w:color w:val="4A4A4A"/>
          <w:sz w:val="22"/>
          <w:szCs w:val="22"/>
        </w:rPr>
        <w:t xml:space="preserve">Es importante entender que lo pendiente NO es construir cosas nuevas, sino activar y validar. Se divide en tres grupos:</w:t>
      </w:r>
    </w:p>
    <w:p>
      <w:pPr>
        <w:pStyle w:val="Heading2"/>
      </w:pPr>
      <w:r>
        <w:t xml:space="preserve">Grupo 1 — Activación de cuentas externas (gestión, no programación)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tcBorders>
              <w:top w:val="single" w:color="D9D9D9" w:sz="1"/>
              <w:left w:val="single" w:color="D9D9D9" w:sz="1"/>
              <w:bottom w:val="single" w:color="D9D9D9" w:sz="1"/>
              <w:right w:val="single" w:color="D9D9D9" w:sz="1"/>
            </w:tcBorders>
            <w:shd w:fill="1E3A5F" w:val="clear"/>
            <w:tcMar>
              <w:top w:type="dxa" w:w="70"/>
              <w:left w:type="dxa" w:w="110"/>
              <w:bottom w:type="dxa" w:w="70"/>
              <w:right w:type="dxa" w:w="110"/>
            </w:tcMar>
            <w:vAlign w:val="center"/>
          </w:tcPr>
          <w:p>
            <w:pPr>
              <w:jc w:val="left"/>
            </w:pPr>
            <w:r>
              <w:rPr>
                <w:b/>
                <w:bCs/>
                <w:color w:val="FFFFFF"/>
                <w:sz w:val="21"/>
                <w:szCs w:val="21"/>
              </w:rPr>
              <w:t xml:space="preserve">Pendiente</w:t>
            </w:r>
          </w:p>
        </w:tc>
        <w:tc>
          <w:tcPr>
            <w:tcW w:type="dxa" w:w="4360"/>
            <w:tcBorders>
              <w:top w:val="single" w:color="D9D9D9" w:sz="1"/>
              <w:left w:val="single" w:color="D9D9D9" w:sz="1"/>
              <w:bottom w:val="single" w:color="D9D9D9" w:sz="1"/>
              <w:right w:val="single" w:color="D9D9D9" w:sz="1"/>
            </w:tcBorders>
            <w:shd w:fill="1E3A5F" w:val="clear"/>
            <w:tcMar>
              <w:top w:type="dxa" w:w="70"/>
              <w:left w:type="dxa" w:w="110"/>
              <w:bottom w:type="dxa" w:w="70"/>
              <w:right w:type="dxa" w:w="110"/>
            </w:tcMar>
            <w:vAlign w:val="center"/>
          </w:tcPr>
          <w:p>
            <w:pPr>
              <w:jc w:val="left"/>
            </w:pPr>
            <w:r>
              <w:rPr>
                <w:b/>
                <w:bCs/>
                <w:color w:val="FFFFFF"/>
                <w:sz w:val="21"/>
                <w:szCs w:val="21"/>
              </w:rPr>
              <w:t xml:space="preserve">Qué implica</w:t>
            </w:r>
          </w:p>
        </w:tc>
        <w:tc>
          <w:tcPr>
            <w:tcW w:type="dxa" w:w="2200"/>
            <w:tcBorders>
              <w:top w:val="single" w:color="D9D9D9" w:sz="1"/>
              <w:left w:val="single" w:color="D9D9D9" w:sz="1"/>
              <w:bottom w:val="single" w:color="D9D9D9" w:sz="1"/>
              <w:right w:val="single" w:color="D9D9D9" w:sz="1"/>
            </w:tcBorders>
            <w:shd w:fill="1E3A5F" w:val="clear"/>
            <w:tcMar>
              <w:top w:type="dxa" w:w="70"/>
              <w:left w:type="dxa" w:w="110"/>
              <w:bottom w:type="dxa" w:w="70"/>
              <w:right w:type="dxa" w:w="110"/>
            </w:tcMar>
            <w:vAlign w:val="center"/>
          </w:tcPr>
          <w:p>
            <w:pPr>
              <w:jc w:val="left"/>
            </w:pPr>
            <w:r>
              <w:rPr>
                <w:b/>
                <w:bCs/>
                <w:color w:val="FFFFFF"/>
                <w:sz w:val="21"/>
                <w:szCs w:val="21"/>
              </w:rPr>
              <w:t xml:space="preserve">Quién lo resuelve</w:t>
            </w:r>
          </w:p>
        </w:tc>
      </w:tr>
      <w:tr>
        <w:tc>
          <w:tcPr>
            <w:tcW w:type="dxa" w:w="280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left"/>
            </w:pPr>
            <w:r>
              <w:rPr>
                <w:color w:val="1A1A1A"/>
                <w:sz w:val="21"/>
                <w:szCs w:val="21"/>
              </w:rPr>
              <w:t xml:space="preserve">MercadoPago producción</w:t>
            </w:r>
          </w:p>
        </w:tc>
        <w:tc>
          <w:tcPr>
            <w:tcW w:type="dxa" w:w="436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left"/>
            </w:pPr>
            <w:r>
              <w:rPr>
                <w:color w:val="1A1A1A"/>
                <w:sz w:val="21"/>
                <w:szCs w:val="21"/>
              </w:rPr>
              <w:t xml:space="preserve">Pasar de la cuenta de prueba a la real para cobrar dinero de verdad</w:t>
            </w:r>
          </w:p>
        </w:tc>
        <w:tc>
          <w:tcPr>
            <w:tcW w:type="dxa" w:w="220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left"/>
            </w:pPr>
            <w:r>
              <w:rPr>
                <w:color w:val="1A1A1A"/>
                <w:sz w:val="21"/>
                <w:szCs w:val="21"/>
              </w:rPr>
              <w:t xml:space="preserve">Gestión administrativa</w:t>
            </w:r>
          </w:p>
        </w:tc>
      </w:tr>
      <w:tr>
        <w:tc>
          <w:tcPr>
            <w:tcW w:type="dxa" w:w="2800"/>
            <w:tcBorders>
              <w:top w:val="single" w:color="D9D9D9" w:sz="1"/>
              <w:left w:val="single" w:color="D9D9D9" w:sz="1"/>
              <w:bottom w:val="single" w:color="D9D9D9" w:sz="1"/>
              <w:right w:val="single" w:color="D9D9D9" w:sz="1"/>
            </w:tcBorders>
            <w:shd w:fill="F7F7F5" w:val="clear"/>
            <w:tcMar>
              <w:top w:type="dxa" w:w="70"/>
              <w:left w:type="dxa" w:w="110"/>
              <w:bottom w:type="dxa" w:w="70"/>
              <w:right w:type="dxa" w:w="110"/>
            </w:tcMar>
            <w:vAlign w:val="center"/>
          </w:tcPr>
          <w:p>
            <w:pPr>
              <w:jc w:val="left"/>
            </w:pPr>
            <w:r>
              <w:rPr>
                <w:color w:val="1A1A1A"/>
                <w:sz w:val="21"/>
                <w:szCs w:val="21"/>
              </w:rPr>
              <w:t xml:space="preserve">Firma digital del instalador</w:t>
            </w:r>
          </w:p>
        </w:tc>
        <w:tc>
          <w:tcPr>
            <w:tcW w:type="dxa" w:w="4360"/>
            <w:tcBorders>
              <w:top w:val="single" w:color="D9D9D9" w:sz="1"/>
              <w:left w:val="single" w:color="D9D9D9" w:sz="1"/>
              <w:bottom w:val="single" w:color="D9D9D9" w:sz="1"/>
              <w:right w:val="single" w:color="D9D9D9" w:sz="1"/>
            </w:tcBorders>
            <w:shd w:fill="F7F7F5" w:val="clear"/>
            <w:tcMar>
              <w:top w:type="dxa" w:w="70"/>
              <w:left w:type="dxa" w:w="110"/>
              <w:bottom w:type="dxa" w:w="70"/>
              <w:right w:type="dxa" w:w="110"/>
            </w:tcMar>
            <w:vAlign w:val="center"/>
          </w:tcPr>
          <w:p>
            <w:pPr>
              <w:jc w:val="left"/>
            </w:pPr>
            <w:r>
              <w:rPr>
                <w:color w:val="1A1A1A"/>
                <w:sz w:val="21"/>
                <w:szCs w:val="21"/>
              </w:rPr>
              <w:t xml:space="preserve">Certificado que elimina advertencias de Windows al instalar</w:t>
            </w:r>
          </w:p>
        </w:tc>
        <w:tc>
          <w:tcPr>
            <w:tcW w:type="dxa" w:w="2200"/>
            <w:tcBorders>
              <w:top w:val="single" w:color="D9D9D9" w:sz="1"/>
              <w:left w:val="single" w:color="D9D9D9" w:sz="1"/>
              <w:bottom w:val="single" w:color="D9D9D9" w:sz="1"/>
              <w:right w:val="single" w:color="D9D9D9" w:sz="1"/>
            </w:tcBorders>
            <w:shd w:fill="F7F7F5" w:val="clear"/>
            <w:tcMar>
              <w:top w:type="dxa" w:w="70"/>
              <w:left w:type="dxa" w:w="110"/>
              <w:bottom w:type="dxa" w:w="70"/>
              <w:right w:type="dxa" w:w="110"/>
            </w:tcMar>
            <w:vAlign w:val="center"/>
          </w:tcPr>
          <w:p>
            <w:pPr>
              <w:jc w:val="left"/>
            </w:pPr>
            <w:r>
              <w:rPr>
                <w:color w:val="1A1A1A"/>
                <w:sz w:val="21"/>
                <w:szCs w:val="21"/>
              </w:rPr>
              <w:t xml:space="preserve">Trámite Microsoft (1-3 días)</w:t>
            </w:r>
          </w:p>
        </w:tc>
      </w:tr>
      <w:tr>
        <w:tc>
          <w:tcPr>
            <w:tcW w:type="dxa" w:w="280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left"/>
            </w:pPr>
            <w:r>
              <w:rPr>
                <w:color w:val="1A1A1A"/>
                <w:sz w:val="21"/>
                <w:szCs w:val="21"/>
              </w:rPr>
              <w:t xml:space="preserve">Facturación automática</w:t>
            </w:r>
          </w:p>
        </w:tc>
        <w:tc>
          <w:tcPr>
            <w:tcW w:type="dxa" w:w="436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left"/>
            </w:pPr>
            <w:r>
              <w:rPr>
                <w:color w:val="1A1A1A"/>
                <w:sz w:val="21"/>
                <w:szCs w:val="21"/>
              </w:rPr>
              <w:t xml:space="preserve">Opcional — hoy la facturación es manual y funciona</w:t>
            </w:r>
          </w:p>
        </w:tc>
        <w:tc>
          <w:tcPr>
            <w:tcW w:type="dxa" w:w="220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left"/>
            </w:pPr>
            <w:r>
              <w:rPr>
                <w:color w:val="1A1A1A"/>
                <w:sz w:val="21"/>
                <w:szCs w:val="21"/>
              </w:rPr>
              <w:t xml:space="preserve">Contrato con proveedor</w:t>
            </w:r>
          </w:p>
        </w:tc>
      </w:tr>
    </w:tbl>
    <w:p>
      <w:pPr>
        <w:pStyle w:val="Heading2"/>
      </w:pPr>
      <w:r>
        <w:t xml:space="preserve">Grupo 2 — Verificaciones técnicas rápidas</w:t>
      </w:r>
    </w:p>
    <w:p>
      <w:pPr>
        <w:pStyle w:val="ListParagraph"/>
        <w:numPr>
          <w:ilvl w:val="0"/>
          <w:numId w:val="3"/>
        </w:numPr>
        <w:spacing w:after="80"/>
      </w:pPr>
      <w:r>
        <w:rPr>
          <w:color w:val="4A4A4A"/>
          <w:sz w:val="22"/>
          <w:szCs w:val="22"/>
        </w:rPr>
        <w:t xml:space="preserve">Confirmar la renovación automática del certificado de seguridad del sitio (vence el 29 de junio)</w:t>
      </w:r>
    </w:p>
    <w:p>
      <w:pPr>
        <w:pStyle w:val="ListParagraph"/>
        <w:numPr>
          <w:ilvl w:val="0"/>
          <w:numId w:val="3"/>
        </w:numPr>
        <w:spacing w:after="80"/>
      </w:pPr>
      <w:r>
        <w:rPr>
          <w:color w:val="4A4A4A"/>
          <w:sz w:val="22"/>
          <w:szCs w:val="22"/>
        </w:rPr>
        <w:t xml:space="preserve">Un ajuste menor de permisos en la base de datos</w:t>
      </w:r>
    </w:p>
    <w:p>
      <w:pPr>
        <w:pStyle w:val="Heading2"/>
      </w:pPr>
      <w:r>
        <w:t xml:space="preserve">Grupo 3 — Preparación para escala (post-Beta)</w:t>
      </w:r>
    </w:p>
    <w:p>
      <w:pPr>
        <w:spacing w:after="120" w:line="276"/>
      </w:pPr>
      <w:r>
        <w:rPr>
          <w:color w:val="4A4A4A"/>
          <w:sz w:val="22"/>
          <w:szCs w:val="22"/>
        </w:rPr>
        <w:t xml:space="preserve">Ambiente de pruebas separado del de producción y auditoría de seguridad profunda. Son recomendables antes de un lanzamiento masivo, pero no bloquean una Beta controlada con pocos usuarios.</w:t>
      </w:r>
    </w:p>
    <w:p>
      <w:pPr>
        <w:pStyle w:val="Heading1"/>
      </w:pPr>
      <w:r>
        <w:t xml:space="preserve">6. Requisitos mínimos para iniciar la Beta</w:t>
      </w:r>
    </w:p>
    <w:p>
      <w:pPr>
        <w:spacing w:after="120" w:line="276"/>
      </w:pPr>
      <w:r>
        <w:rPr>
          <w:color w:val="4A4A4A"/>
          <w:sz w:val="22"/>
          <w:szCs w:val="22"/>
        </w:rPr>
        <w:t xml:space="preserve">Para abrir el producto a un grupo reducido de usuarios reales, recomendamos completar estos tres puntos, todos de bajo esfuerzo: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000"/>
        <w:gridCol w:w="3360"/>
      </w:tblGrid>
      <w:tr>
        <w:trPr>
          <w:tblHeader/>
        </w:trPr>
        <w:tc>
          <w:tcPr>
            <w:tcW w:type="dxa" w:w="600"/>
            <w:tcBorders>
              <w:top w:val="single" w:color="D9D9D9" w:sz="1"/>
              <w:left w:val="single" w:color="D9D9D9" w:sz="1"/>
              <w:bottom w:val="single" w:color="D9D9D9" w:sz="1"/>
              <w:right w:val="single" w:color="D9D9D9" w:sz="1"/>
            </w:tcBorders>
            <w:shd w:fill="1E3A5F" w:val="clear"/>
            <w:tcMar>
              <w:top w:type="dxa" w:w="70"/>
              <w:left w:type="dxa" w:w="110"/>
              <w:bottom w:type="dxa" w:w="70"/>
              <w:right w:type="dxa" w:w="110"/>
            </w:tcMar>
            <w:vAlign w:val="center"/>
          </w:tcPr>
          <w:p>
            <w:pPr>
              <w:jc w:val="center"/>
            </w:pPr>
            <w:r>
              <w:rPr>
                <w:b/>
                <w:bCs/>
                <w:color w:val="FFFFFF"/>
                <w:sz w:val="21"/>
                <w:szCs w:val="21"/>
              </w:rPr>
              <w:t xml:space="preserve">#</w:t>
            </w:r>
          </w:p>
        </w:tc>
        <w:tc>
          <w:tcPr>
            <w:tcW w:type="dxa" w:w="3400"/>
            <w:tcBorders>
              <w:top w:val="single" w:color="D9D9D9" w:sz="1"/>
              <w:left w:val="single" w:color="D9D9D9" w:sz="1"/>
              <w:bottom w:val="single" w:color="D9D9D9" w:sz="1"/>
              <w:right w:val="single" w:color="D9D9D9" w:sz="1"/>
            </w:tcBorders>
            <w:shd w:fill="1E3A5F" w:val="clear"/>
            <w:tcMar>
              <w:top w:type="dxa" w:w="70"/>
              <w:left w:type="dxa" w:w="110"/>
              <w:bottom w:type="dxa" w:w="70"/>
              <w:right w:type="dxa" w:w="110"/>
            </w:tcMar>
            <w:vAlign w:val="center"/>
          </w:tcPr>
          <w:p>
            <w:pPr>
              <w:jc w:val="left"/>
            </w:pPr>
            <w:r>
              <w:rPr>
                <w:b/>
                <w:bCs/>
                <w:color w:val="FFFFFF"/>
                <w:sz w:val="21"/>
                <w:szCs w:val="21"/>
              </w:rPr>
              <w:t xml:space="preserve">Tarea</w:t>
            </w:r>
          </w:p>
        </w:tc>
        <w:tc>
          <w:tcPr>
            <w:tcW w:type="dxa" w:w="2000"/>
            <w:tcBorders>
              <w:top w:val="single" w:color="D9D9D9" w:sz="1"/>
              <w:left w:val="single" w:color="D9D9D9" w:sz="1"/>
              <w:bottom w:val="single" w:color="D9D9D9" w:sz="1"/>
              <w:right w:val="single" w:color="D9D9D9" w:sz="1"/>
            </w:tcBorders>
            <w:shd w:fill="1E3A5F" w:val="clear"/>
            <w:tcMar>
              <w:top w:type="dxa" w:w="70"/>
              <w:left w:type="dxa" w:w="110"/>
              <w:bottom w:type="dxa" w:w="70"/>
              <w:right w:type="dxa" w:w="110"/>
            </w:tcMar>
            <w:vAlign w:val="center"/>
          </w:tcPr>
          <w:p>
            <w:pPr>
              <w:jc w:val="center"/>
            </w:pPr>
            <w:r>
              <w:rPr>
                <w:b/>
                <w:bCs/>
                <w:color w:val="FFFFFF"/>
                <w:sz w:val="21"/>
                <w:szCs w:val="21"/>
              </w:rPr>
              <w:t xml:space="preserve">Esfuerzo</w:t>
            </w:r>
          </w:p>
        </w:tc>
        <w:tc>
          <w:tcPr>
            <w:tcW w:type="dxa" w:w="3360"/>
            <w:tcBorders>
              <w:top w:val="single" w:color="D9D9D9" w:sz="1"/>
              <w:left w:val="single" w:color="D9D9D9" w:sz="1"/>
              <w:bottom w:val="single" w:color="D9D9D9" w:sz="1"/>
              <w:right w:val="single" w:color="D9D9D9" w:sz="1"/>
            </w:tcBorders>
            <w:shd w:fill="1E3A5F" w:val="clear"/>
            <w:tcMar>
              <w:top w:type="dxa" w:w="70"/>
              <w:left w:type="dxa" w:w="110"/>
              <w:bottom w:type="dxa" w:w="70"/>
              <w:right w:type="dxa" w:w="110"/>
            </w:tcMar>
            <w:vAlign w:val="center"/>
          </w:tcPr>
          <w:p>
            <w:pPr>
              <w:jc w:val="left"/>
            </w:pPr>
            <w:r>
              <w:rPr>
                <w:b/>
                <w:bCs/>
                <w:color w:val="FFFFFF"/>
                <w:sz w:val="21"/>
                <w:szCs w:val="21"/>
              </w:rPr>
              <w:t xml:space="preserve">Por qué</w:t>
            </w:r>
          </w:p>
        </w:tc>
      </w:tr>
      <w:tr>
        <w:tc>
          <w:tcPr>
            <w:tcW w:type="dxa" w:w="60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center"/>
            </w:pPr>
            <w:r>
              <w:rPr>
                <w:color w:val="1A1A1A"/>
                <w:sz w:val="21"/>
                <w:szCs w:val="21"/>
              </w:rPr>
              <w:t xml:space="preserve">1</w:t>
            </w:r>
          </w:p>
        </w:tc>
        <w:tc>
          <w:tcPr>
            <w:tcW w:type="dxa" w:w="340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left"/>
            </w:pPr>
            <w:r>
              <w:rPr>
                <w:color w:val="1A1A1A"/>
                <w:sz w:val="21"/>
                <w:szCs w:val="21"/>
              </w:rPr>
              <w:t xml:space="preserve">Activar MercadoPago real</w:t>
            </w:r>
          </w:p>
        </w:tc>
        <w:tc>
          <w:tcPr>
            <w:tcW w:type="dxa" w:w="200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center"/>
            </w:pPr>
            <w:r>
              <w:rPr>
                <w:color w:val="1A1A1A"/>
                <w:sz w:val="21"/>
                <w:szCs w:val="21"/>
              </w:rPr>
              <w:t xml:space="preserve">Bajo (gestión)</w:t>
            </w:r>
          </w:p>
        </w:tc>
        <w:tc>
          <w:tcPr>
            <w:tcW w:type="dxa" w:w="336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left"/>
            </w:pPr>
            <w:r>
              <w:rPr>
                <w:color w:val="1A1A1A"/>
                <w:sz w:val="21"/>
                <w:szCs w:val="21"/>
              </w:rPr>
              <w:t xml:space="preserve">Para poder cobrar de verdad durante la Beta</w:t>
            </w:r>
          </w:p>
        </w:tc>
      </w:tr>
      <w:tr>
        <w:tc>
          <w:tcPr>
            <w:tcW w:type="dxa" w:w="600"/>
            <w:tcBorders>
              <w:top w:val="single" w:color="D9D9D9" w:sz="1"/>
              <w:left w:val="single" w:color="D9D9D9" w:sz="1"/>
              <w:bottom w:val="single" w:color="D9D9D9" w:sz="1"/>
              <w:right w:val="single" w:color="D9D9D9" w:sz="1"/>
            </w:tcBorders>
            <w:shd w:fill="F7F7F5" w:val="clear"/>
            <w:tcMar>
              <w:top w:type="dxa" w:w="70"/>
              <w:left w:type="dxa" w:w="110"/>
              <w:bottom w:type="dxa" w:w="70"/>
              <w:right w:type="dxa" w:w="110"/>
            </w:tcMar>
            <w:vAlign w:val="center"/>
          </w:tcPr>
          <w:p>
            <w:pPr>
              <w:jc w:val="center"/>
            </w:pPr>
            <w:r>
              <w:rPr>
                <w:color w:val="1A1A1A"/>
                <w:sz w:val="21"/>
                <w:szCs w:val="21"/>
              </w:rPr>
              <w:t xml:space="preserve">2</w:t>
            </w:r>
          </w:p>
        </w:tc>
        <w:tc>
          <w:tcPr>
            <w:tcW w:type="dxa" w:w="3400"/>
            <w:tcBorders>
              <w:top w:val="single" w:color="D9D9D9" w:sz="1"/>
              <w:left w:val="single" w:color="D9D9D9" w:sz="1"/>
              <w:bottom w:val="single" w:color="D9D9D9" w:sz="1"/>
              <w:right w:val="single" w:color="D9D9D9" w:sz="1"/>
            </w:tcBorders>
            <w:shd w:fill="F7F7F5" w:val="clear"/>
            <w:tcMar>
              <w:top w:type="dxa" w:w="70"/>
              <w:left w:type="dxa" w:w="110"/>
              <w:bottom w:type="dxa" w:w="70"/>
              <w:right w:type="dxa" w:w="110"/>
            </w:tcMar>
            <w:vAlign w:val="center"/>
          </w:tcPr>
          <w:p>
            <w:pPr>
              <w:jc w:val="left"/>
            </w:pPr>
            <w:r>
              <w:rPr>
                <w:color w:val="1A1A1A"/>
                <w:sz w:val="21"/>
                <w:szCs w:val="21"/>
              </w:rPr>
              <w:t xml:space="preserve">Verificar certificado de seguridad</w:t>
            </w:r>
          </w:p>
        </w:tc>
        <w:tc>
          <w:tcPr>
            <w:tcW w:type="dxa" w:w="2000"/>
            <w:tcBorders>
              <w:top w:val="single" w:color="D9D9D9" w:sz="1"/>
              <w:left w:val="single" w:color="D9D9D9" w:sz="1"/>
              <w:bottom w:val="single" w:color="D9D9D9" w:sz="1"/>
              <w:right w:val="single" w:color="D9D9D9" w:sz="1"/>
            </w:tcBorders>
            <w:shd w:fill="F7F7F5" w:val="clear"/>
            <w:tcMar>
              <w:top w:type="dxa" w:w="70"/>
              <w:left w:type="dxa" w:w="110"/>
              <w:bottom w:type="dxa" w:w="70"/>
              <w:right w:type="dxa" w:w="110"/>
            </w:tcMar>
            <w:vAlign w:val="center"/>
          </w:tcPr>
          <w:p>
            <w:pPr>
              <w:jc w:val="center"/>
            </w:pPr>
            <w:r>
              <w:rPr>
                <w:color w:val="1A1A1A"/>
                <w:sz w:val="21"/>
                <w:szCs w:val="21"/>
              </w:rPr>
              <w:t xml:space="preserve">Muy bajo</w:t>
            </w:r>
          </w:p>
        </w:tc>
        <w:tc>
          <w:tcPr>
            <w:tcW w:type="dxa" w:w="3360"/>
            <w:tcBorders>
              <w:top w:val="single" w:color="D9D9D9" w:sz="1"/>
              <w:left w:val="single" w:color="D9D9D9" w:sz="1"/>
              <w:bottom w:val="single" w:color="D9D9D9" w:sz="1"/>
              <w:right w:val="single" w:color="D9D9D9" w:sz="1"/>
            </w:tcBorders>
            <w:shd w:fill="F7F7F5" w:val="clear"/>
            <w:tcMar>
              <w:top w:type="dxa" w:w="70"/>
              <w:left w:type="dxa" w:w="110"/>
              <w:bottom w:type="dxa" w:w="70"/>
              <w:right w:type="dxa" w:w="110"/>
            </w:tcMar>
            <w:vAlign w:val="center"/>
          </w:tcPr>
          <w:p>
            <w:pPr>
              <w:jc w:val="left"/>
            </w:pPr>
            <w:r>
              <w:rPr>
                <w:color w:val="1A1A1A"/>
                <w:sz w:val="21"/>
                <w:szCs w:val="21"/>
              </w:rPr>
              <w:t xml:space="preserve">Evitar advertencias en el sitio</w:t>
            </w:r>
          </w:p>
        </w:tc>
      </w:tr>
      <w:tr>
        <w:tc>
          <w:tcPr>
            <w:tcW w:type="dxa" w:w="60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center"/>
            </w:pPr>
            <w:r>
              <w:rPr>
                <w:color w:val="1A1A1A"/>
                <w:sz w:val="21"/>
                <w:szCs w:val="21"/>
              </w:rPr>
              <w:t xml:space="preserve">3</w:t>
            </w:r>
          </w:p>
        </w:tc>
        <w:tc>
          <w:tcPr>
            <w:tcW w:type="dxa" w:w="340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left"/>
            </w:pPr>
            <w:r>
              <w:rPr>
                <w:color w:val="1A1A1A"/>
                <w:sz w:val="21"/>
                <w:szCs w:val="21"/>
              </w:rPr>
              <w:t xml:space="preserve">Firmar digitalmente el instalador</w:t>
            </w:r>
          </w:p>
        </w:tc>
        <w:tc>
          <w:tcPr>
            <w:tcW w:type="dxa" w:w="200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center"/>
            </w:pPr>
            <w:r>
              <w:rPr>
                <w:color w:val="1A1A1A"/>
                <w:sz w:val="21"/>
                <w:szCs w:val="21"/>
              </w:rPr>
              <w:t xml:space="preserve">Bajo (trámite)</w:t>
            </w:r>
          </w:p>
        </w:tc>
        <w:tc>
          <w:tcPr>
            <w:tcW w:type="dxa" w:w="336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left"/>
            </w:pPr>
            <w:r>
              <w:rPr>
                <w:color w:val="1A1A1A"/>
                <w:sz w:val="21"/>
                <w:szCs w:val="21"/>
              </w:rPr>
              <w:t xml:space="preserve">Mejora la confianza al instalar la app</w:t>
            </w:r>
          </w:p>
        </w:tc>
      </w:tr>
    </w:tbl>
    <w:p>
      <w:pPr>
        <w:spacing w:after="120"/>
      </w:pPr>
    </w:p>
    <w:p>
      <w:pPr>
        <w:shd w:fill="F7F7F5" w:val="clear"/>
        <w:spacing w:after="160" w:before="60" w:line="276"/>
        <w:ind w:left="160" w:right="160"/>
      </w:pPr>
      <w:r>
        <w:rPr>
          <w:b/>
          <w:bCs/>
          <w:color w:val="1A1A1A"/>
          <w:sz w:val="22"/>
          <w:szCs w:val="22"/>
        </w:rPr>
        <w:t xml:space="preserve">Nota: </w:t>
      </w:r>
      <w:r>
        <w:rPr>
          <w:i/>
          <w:iCs/>
          <w:color w:val="4A4A4A"/>
          <w:sz w:val="22"/>
          <w:szCs w:val="22"/>
        </w:rPr>
        <w:t xml:space="preserve">si la Beta se hace con cobro simbólico o sin cobro inicial, incluso el punto 1 podría posponerse, permitiendo arrancar la prueba de inmediato.</w:t>
      </w:r>
    </w:p>
    <w:p>
      <w:pPr>
        <w:pStyle w:val="Heading1"/>
      </w:pPr>
      <w:r>
        <w:t xml:space="preserve">7. Evaluación de riesgos para la Beta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60"/>
        <w:gridCol w:w="4000"/>
      </w:tblGrid>
      <w:tr>
        <w:trPr>
          <w:tblHeader/>
        </w:trPr>
        <w:tc>
          <w:tcPr>
            <w:tcW w:type="dxa" w:w="3600"/>
            <w:tcBorders>
              <w:top w:val="single" w:color="D9D9D9" w:sz="1"/>
              <w:left w:val="single" w:color="D9D9D9" w:sz="1"/>
              <w:bottom w:val="single" w:color="D9D9D9" w:sz="1"/>
              <w:right w:val="single" w:color="D9D9D9" w:sz="1"/>
            </w:tcBorders>
            <w:shd w:fill="1E3A5F" w:val="clear"/>
            <w:tcMar>
              <w:top w:type="dxa" w:w="70"/>
              <w:left w:type="dxa" w:w="110"/>
              <w:bottom w:type="dxa" w:w="70"/>
              <w:right w:type="dxa" w:w="110"/>
            </w:tcMar>
            <w:vAlign w:val="center"/>
          </w:tcPr>
          <w:p>
            <w:pPr>
              <w:jc w:val="left"/>
            </w:pPr>
            <w:r>
              <w:rPr>
                <w:b/>
                <w:bCs/>
                <w:color w:val="FFFFFF"/>
                <w:sz w:val="21"/>
                <w:szCs w:val="21"/>
              </w:rPr>
              <w:t xml:space="preserve">Riesgo</w:t>
            </w:r>
          </w:p>
        </w:tc>
        <w:tc>
          <w:tcPr>
            <w:tcW w:type="dxa" w:w="1760"/>
            <w:tcBorders>
              <w:top w:val="single" w:color="D9D9D9" w:sz="1"/>
              <w:left w:val="single" w:color="D9D9D9" w:sz="1"/>
              <w:bottom w:val="single" w:color="D9D9D9" w:sz="1"/>
              <w:right w:val="single" w:color="D9D9D9" w:sz="1"/>
            </w:tcBorders>
            <w:shd w:fill="1E3A5F" w:val="clear"/>
            <w:tcMar>
              <w:top w:type="dxa" w:w="70"/>
              <w:left w:type="dxa" w:w="110"/>
              <w:bottom w:type="dxa" w:w="70"/>
              <w:right w:type="dxa" w:w="110"/>
            </w:tcMar>
            <w:vAlign w:val="center"/>
          </w:tcPr>
          <w:p>
            <w:pPr>
              <w:jc w:val="center"/>
            </w:pPr>
            <w:r>
              <w:rPr>
                <w:b/>
                <w:bCs/>
                <w:color w:val="FFFFFF"/>
                <w:sz w:val="21"/>
                <w:szCs w:val="21"/>
              </w:rPr>
              <w:t xml:space="preserve">Nivel</w:t>
            </w:r>
          </w:p>
        </w:tc>
        <w:tc>
          <w:tcPr>
            <w:tcW w:type="dxa" w:w="4000"/>
            <w:tcBorders>
              <w:top w:val="single" w:color="D9D9D9" w:sz="1"/>
              <w:left w:val="single" w:color="D9D9D9" w:sz="1"/>
              <w:bottom w:val="single" w:color="D9D9D9" w:sz="1"/>
              <w:right w:val="single" w:color="D9D9D9" w:sz="1"/>
            </w:tcBorders>
            <w:shd w:fill="1E3A5F" w:val="clear"/>
            <w:tcMar>
              <w:top w:type="dxa" w:w="70"/>
              <w:left w:type="dxa" w:w="110"/>
              <w:bottom w:type="dxa" w:w="70"/>
              <w:right w:type="dxa" w:w="110"/>
            </w:tcMar>
            <w:vAlign w:val="center"/>
          </w:tcPr>
          <w:p>
            <w:pPr>
              <w:jc w:val="left"/>
            </w:pPr>
            <w:r>
              <w:rPr>
                <w:b/>
                <w:bCs/>
                <w:color w:val="FFFFFF"/>
                <w:sz w:val="21"/>
                <w:szCs w:val="21"/>
              </w:rPr>
              <w:t xml:space="preserve">Mitigación</w:t>
            </w:r>
          </w:p>
        </w:tc>
      </w:tr>
      <w:tr>
        <w:tc>
          <w:tcPr>
            <w:tcW w:type="dxa" w:w="360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left"/>
            </w:pPr>
            <w:r>
              <w:rPr>
                <w:color w:val="1A1A1A"/>
                <w:sz w:val="21"/>
                <w:szCs w:val="21"/>
              </w:rPr>
              <w:t xml:space="preserve">Falla en el cobro automático</w:t>
            </w:r>
          </w:p>
        </w:tc>
        <w:tc>
          <w:tcPr>
            <w:tcW w:type="dxa" w:w="1760"/>
            <w:tcBorders>
              <w:top w:val="single" w:color="D9D9D9" w:sz="1"/>
              <w:left w:val="single" w:color="D9D9D9" w:sz="1"/>
              <w:bottom w:val="single" w:color="D9D9D9" w:sz="1"/>
              <w:right w:val="single" w:color="D9D9D9" w:sz="1"/>
            </w:tcBorders>
            <w:shd w:fill="D1FAE5" w:val="clear"/>
            <w:tcMar>
              <w:top w:type="dxa" w:w="70"/>
              <w:left w:type="dxa" w:w="110"/>
              <w:bottom w:type="dxa" w:w="70"/>
              <w:right w:type="dxa" w:w="110"/>
            </w:tcMar>
            <w:vAlign w:val="center"/>
          </w:tcPr>
          <w:p>
            <w:pPr>
              <w:jc w:val="center"/>
            </w:pPr>
            <w:r>
              <w:rPr>
                <w:color w:val="064E3B"/>
                <w:sz w:val="21"/>
                <w:szCs w:val="21"/>
              </w:rPr>
              <w:t xml:space="preserve">Bajo</w:t>
            </w:r>
          </w:p>
        </w:tc>
        <w:tc>
          <w:tcPr>
            <w:tcW w:type="dxa" w:w="400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left"/>
            </w:pPr>
            <w:r>
              <w:rPr>
                <w:color w:val="1A1A1A"/>
                <w:sz w:val="21"/>
                <w:szCs w:val="21"/>
              </w:rPr>
              <w:t xml:space="preserve">Ya validado; MercadoPago reintenta automáticamente</w:t>
            </w:r>
          </w:p>
        </w:tc>
      </w:tr>
      <w:tr>
        <w:tc>
          <w:tcPr>
            <w:tcW w:type="dxa" w:w="3600"/>
            <w:tcBorders>
              <w:top w:val="single" w:color="D9D9D9" w:sz="1"/>
              <w:left w:val="single" w:color="D9D9D9" w:sz="1"/>
              <w:bottom w:val="single" w:color="D9D9D9" w:sz="1"/>
              <w:right w:val="single" w:color="D9D9D9" w:sz="1"/>
            </w:tcBorders>
            <w:shd w:fill="F7F7F5" w:val="clear"/>
            <w:tcMar>
              <w:top w:type="dxa" w:w="70"/>
              <w:left w:type="dxa" w:w="110"/>
              <w:bottom w:type="dxa" w:w="70"/>
              <w:right w:type="dxa" w:w="110"/>
            </w:tcMar>
            <w:vAlign w:val="center"/>
          </w:tcPr>
          <w:p>
            <w:pPr>
              <w:jc w:val="left"/>
            </w:pPr>
            <w:r>
              <w:rPr>
                <w:color w:val="1A1A1A"/>
                <w:sz w:val="21"/>
                <w:szCs w:val="21"/>
              </w:rPr>
              <w:t xml:space="preserve">Pérdida de datos de usuarios</w:t>
            </w:r>
          </w:p>
        </w:tc>
        <w:tc>
          <w:tcPr>
            <w:tcW w:type="dxa" w:w="1760"/>
            <w:tcBorders>
              <w:top w:val="single" w:color="D9D9D9" w:sz="1"/>
              <w:left w:val="single" w:color="D9D9D9" w:sz="1"/>
              <w:bottom w:val="single" w:color="D9D9D9" w:sz="1"/>
              <w:right w:val="single" w:color="D9D9D9" w:sz="1"/>
            </w:tcBorders>
            <w:shd w:fill="D1FAE5" w:val="clear"/>
            <w:tcMar>
              <w:top w:type="dxa" w:w="70"/>
              <w:left w:type="dxa" w:w="110"/>
              <w:bottom w:type="dxa" w:w="70"/>
              <w:right w:type="dxa" w:w="110"/>
            </w:tcMar>
            <w:vAlign w:val="center"/>
          </w:tcPr>
          <w:p>
            <w:pPr>
              <w:jc w:val="center"/>
            </w:pPr>
            <w:r>
              <w:rPr>
                <w:color w:val="064E3B"/>
                <w:sz w:val="21"/>
                <w:szCs w:val="21"/>
              </w:rPr>
              <w:t xml:space="preserve">Bajo</w:t>
            </w:r>
          </w:p>
        </w:tc>
        <w:tc>
          <w:tcPr>
            <w:tcW w:type="dxa" w:w="4000"/>
            <w:tcBorders>
              <w:top w:val="single" w:color="D9D9D9" w:sz="1"/>
              <w:left w:val="single" w:color="D9D9D9" w:sz="1"/>
              <w:bottom w:val="single" w:color="D9D9D9" w:sz="1"/>
              <w:right w:val="single" w:color="D9D9D9" w:sz="1"/>
            </w:tcBorders>
            <w:shd w:fill="F7F7F5" w:val="clear"/>
            <w:tcMar>
              <w:top w:type="dxa" w:w="70"/>
              <w:left w:type="dxa" w:w="110"/>
              <w:bottom w:type="dxa" w:w="70"/>
              <w:right w:type="dxa" w:w="110"/>
            </w:tcMar>
            <w:vAlign w:val="center"/>
          </w:tcPr>
          <w:p>
            <w:pPr>
              <w:jc w:val="left"/>
            </w:pPr>
            <w:r>
              <w:rPr>
                <w:color w:val="1A1A1A"/>
                <w:sz w:val="21"/>
                <w:szCs w:val="21"/>
              </w:rPr>
              <w:t xml:space="preserve">Copias de seguridad activas; servidor profesional</w:t>
            </w:r>
          </w:p>
        </w:tc>
      </w:tr>
      <w:tr>
        <w:tc>
          <w:tcPr>
            <w:tcW w:type="dxa" w:w="360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left"/>
            </w:pPr>
            <w:r>
              <w:rPr>
                <w:color w:val="1A1A1A"/>
                <w:sz w:val="21"/>
                <w:szCs w:val="21"/>
              </w:rPr>
              <w:t xml:space="preserve">Filtración de credenciales judiciales</w:t>
            </w:r>
          </w:p>
        </w:tc>
        <w:tc>
          <w:tcPr>
            <w:tcW w:type="dxa" w:w="1760"/>
            <w:tcBorders>
              <w:top w:val="single" w:color="D9D9D9" w:sz="1"/>
              <w:left w:val="single" w:color="D9D9D9" w:sz="1"/>
              <w:bottom w:val="single" w:color="D9D9D9" w:sz="1"/>
              <w:right w:val="single" w:color="D9D9D9" w:sz="1"/>
            </w:tcBorders>
            <w:shd w:fill="D1FAE5" w:val="clear"/>
            <w:tcMar>
              <w:top w:type="dxa" w:w="70"/>
              <w:left w:type="dxa" w:w="110"/>
              <w:bottom w:type="dxa" w:w="70"/>
              <w:right w:type="dxa" w:w="110"/>
            </w:tcMar>
            <w:vAlign w:val="center"/>
          </w:tcPr>
          <w:p>
            <w:pPr>
              <w:jc w:val="center"/>
            </w:pPr>
            <w:r>
              <w:rPr>
                <w:color w:val="064E3B"/>
                <w:sz w:val="21"/>
                <w:szCs w:val="21"/>
              </w:rPr>
              <w:t xml:space="preserve">Muy bajo</w:t>
            </w:r>
          </w:p>
        </w:tc>
        <w:tc>
          <w:tcPr>
            <w:tcW w:type="dxa" w:w="400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left"/>
            </w:pPr>
            <w:r>
              <w:rPr>
                <w:color w:val="1A1A1A"/>
                <w:sz w:val="21"/>
                <w:szCs w:val="21"/>
              </w:rPr>
              <w:t xml:space="preserve">Por diseño, nunca pasan por nuestros servidores</w:t>
            </w:r>
          </w:p>
        </w:tc>
      </w:tr>
      <w:tr>
        <w:tc>
          <w:tcPr>
            <w:tcW w:type="dxa" w:w="3600"/>
            <w:tcBorders>
              <w:top w:val="single" w:color="D9D9D9" w:sz="1"/>
              <w:left w:val="single" w:color="D9D9D9" w:sz="1"/>
              <w:bottom w:val="single" w:color="D9D9D9" w:sz="1"/>
              <w:right w:val="single" w:color="D9D9D9" w:sz="1"/>
            </w:tcBorders>
            <w:shd w:fill="F7F7F5" w:val="clear"/>
            <w:tcMar>
              <w:top w:type="dxa" w:w="70"/>
              <w:left w:type="dxa" w:w="110"/>
              <w:bottom w:type="dxa" w:w="70"/>
              <w:right w:type="dxa" w:w="110"/>
            </w:tcMar>
            <w:vAlign w:val="center"/>
          </w:tcPr>
          <w:p>
            <w:pPr>
              <w:jc w:val="left"/>
            </w:pPr>
            <w:r>
              <w:rPr>
                <w:color w:val="1A1A1A"/>
                <w:sz w:val="21"/>
                <w:szCs w:val="21"/>
              </w:rPr>
              <w:t xml:space="preserve">Sobrecarga del servidor</w:t>
            </w:r>
          </w:p>
        </w:tc>
        <w:tc>
          <w:tcPr>
            <w:tcW w:type="dxa" w:w="1760"/>
            <w:tcBorders>
              <w:top w:val="single" w:color="D9D9D9" w:sz="1"/>
              <w:left w:val="single" w:color="D9D9D9" w:sz="1"/>
              <w:bottom w:val="single" w:color="D9D9D9" w:sz="1"/>
              <w:right w:val="single" w:color="D9D9D9" w:sz="1"/>
            </w:tcBorders>
            <w:shd w:fill="FEF3C7" w:val="clear"/>
            <w:tcMar>
              <w:top w:type="dxa" w:w="70"/>
              <w:left w:type="dxa" w:w="110"/>
              <w:bottom w:type="dxa" w:w="70"/>
              <w:right w:type="dxa" w:w="110"/>
            </w:tcMar>
            <w:vAlign w:val="center"/>
          </w:tcPr>
          <w:p>
            <w:pPr>
              <w:jc w:val="center"/>
            </w:pPr>
            <w:r>
              <w:rPr>
                <w:color w:val="78350F"/>
                <w:sz w:val="21"/>
                <w:szCs w:val="21"/>
              </w:rPr>
              <w:t xml:space="preserve">Medio</w:t>
            </w:r>
          </w:p>
        </w:tc>
        <w:tc>
          <w:tcPr>
            <w:tcW w:type="dxa" w:w="4000"/>
            <w:tcBorders>
              <w:top w:val="single" w:color="D9D9D9" w:sz="1"/>
              <w:left w:val="single" w:color="D9D9D9" w:sz="1"/>
              <w:bottom w:val="single" w:color="D9D9D9" w:sz="1"/>
              <w:right w:val="single" w:color="D9D9D9" w:sz="1"/>
            </w:tcBorders>
            <w:shd w:fill="F7F7F5" w:val="clear"/>
            <w:tcMar>
              <w:top w:type="dxa" w:w="70"/>
              <w:left w:type="dxa" w:w="110"/>
              <w:bottom w:type="dxa" w:w="70"/>
              <w:right w:type="dxa" w:w="110"/>
            </w:tcMar>
            <w:vAlign w:val="center"/>
          </w:tcPr>
          <w:p>
            <w:pPr>
              <w:jc w:val="left"/>
            </w:pPr>
            <w:r>
              <w:rPr>
                <w:color w:val="1A1A1A"/>
                <w:sz w:val="21"/>
                <w:szCs w:val="21"/>
              </w:rPr>
              <w:t xml:space="preserve">Adecuado para Beta reducida; escalar antes del masivo</w:t>
            </w:r>
          </w:p>
        </w:tc>
      </w:tr>
      <w:tr>
        <w:tc>
          <w:tcPr>
            <w:tcW w:type="dxa" w:w="360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left"/>
            </w:pPr>
            <w:r>
              <w:rPr>
                <w:color w:val="1A1A1A"/>
                <w:sz w:val="21"/>
                <w:szCs w:val="21"/>
              </w:rPr>
              <w:t xml:space="preserve">Advertencia de Windows al instalar</w:t>
            </w:r>
          </w:p>
        </w:tc>
        <w:tc>
          <w:tcPr>
            <w:tcW w:type="dxa" w:w="1760"/>
            <w:tcBorders>
              <w:top w:val="single" w:color="D9D9D9" w:sz="1"/>
              <w:left w:val="single" w:color="D9D9D9" w:sz="1"/>
              <w:bottom w:val="single" w:color="D9D9D9" w:sz="1"/>
              <w:right w:val="single" w:color="D9D9D9" w:sz="1"/>
            </w:tcBorders>
            <w:shd w:fill="FEF3C7" w:val="clear"/>
            <w:tcMar>
              <w:top w:type="dxa" w:w="70"/>
              <w:left w:type="dxa" w:w="110"/>
              <w:bottom w:type="dxa" w:w="70"/>
              <w:right w:type="dxa" w:w="110"/>
            </w:tcMar>
            <w:vAlign w:val="center"/>
          </w:tcPr>
          <w:p>
            <w:pPr>
              <w:jc w:val="center"/>
            </w:pPr>
            <w:r>
              <w:rPr>
                <w:color w:val="78350F"/>
                <w:sz w:val="21"/>
                <w:szCs w:val="21"/>
              </w:rPr>
              <w:t xml:space="preserve">Medio</w:t>
            </w:r>
          </w:p>
        </w:tc>
        <w:tc>
          <w:tcPr>
            <w:tcW w:type="dxa" w:w="4000"/>
            <w:tcBorders>
              <w:top w:val="single" w:color="D9D9D9" w:sz="1"/>
              <w:left w:val="single" w:color="D9D9D9" w:sz="1"/>
              <w:bottom w:val="single" w:color="D9D9D9" w:sz="1"/>
              <w:right w:val="single" w:color="D9D9D9" w:sz="1"/>
            </w:tcBorders>
            <w:tcMar>
              <w:top w:type="dxa" w:w="70"/>
              <w:left w:type="dxa" w:w="110"/>
              <w:bottom w:type="dxa" w:w="70"/>
              <w:right w:type="dxa" w:w="110"/>
            </w:tcMar>
            <w:vAlign w:val="center"/>
          </w:tcPr>
          <w:p>
            <w:pPr>
              <w:jc w:val="left"/>
            </w:pPr>
            <w:r>
              <w:rPr>
                <w:color w:val="1A1A1A"/>
                <w:sz w:val="21"/>
                <w:szCs w:val="21"/>
              </w:rPr>
              <w:t xml:space="preserve">Se resuelve con la firma digital (punto 3)</w:t>
            </w:r>
          </w:p>
        </w:tc>
      </w:tr>
    </w:tbl>
    <w:p>
      <w:pPr>
        <w:spacing w:after="120"/>
      </w:pPr>
    </w:p>
    <w:p>
      <w:pPr>
        <w:spacing w:after="120" w:line="276"/>
      </w:pPr>
      <w:r>
        <w:rPr>
          <w:b/>
          <w:bCs/>
          <w:color w:val="1A1A1A"/>
          <w:sz w:val="22"/>
          <w:szCs w:val="22"/>
        </w:rPr>
        <w:t xml:space="preserve">El perfil de riesgo para una Beta controlada es bajo.</w:t>
      </w:r>
    </w:p>
    <w:p>
      <w:r>
        <w:br w:type="page"/>
      </w:r>
    </w:p>
    <w:p>
      <w:pPr>
        <w:pStyle w:val="Heading1"/>
      </w:pPr>
      <w:r>
        <w:t xml:space="preserve">8. Recomendación final</w:t>
      </w:r>
    </w:p>
    <w:p>
      <w:pPr>
        <w:shd w:fill="1E3A5F" w:val="clear"/>
        <w:spacing w:after="200" w:before="80" w:line="300"/>
        <w:ind w:left="200" w:right="200"/>
      </w:pPr>
      <w:r>
        <w:rPr>
          <w:b/>
          <w:bCs/>
          <w:color w:val="FFFFFF"/>
          <w:sz w:val="26"/>
          <w:szCs w:val="26"/>
        </w:rPr>
        <w:t xml:space="preserve">El proyecto está en condiciones de iniciar una Beta con usuarios reales.</w:t>
      </w:r>
    </w:p>
    <w:p>
      <w:pPr>
        <w:spacing w:after="120" w:line="276"/>
      </w:pPr>
      <w:r>
        <w:rPr>
          <w:color w:val="4A4A4A"/>
          <w:sz w:val="22"/>
          <w:szCs w:val="22"/>
        </w:rPr>
        <w:t xml:space="preserve">Las 5 fases de desarrollo están construidas y el circuito completo —desde el registro hasta el cobro recurrente— fue probado exitosamente en entorno de pruebas. Lo que separa al proyecto de la Beta no es desarrollo de software, sino trámites de activación que se resuelven en días.</w:t>
      </w:r>
    </w:p>
    <w:p>
      <w:pPr>
        <w:pStyle w:val="Heading2"/>
      </w:pPr>
      <w:r>
        <w:t xml:space="preserve">Camino sugerido</w:t>
      </w:r>
    </w:p>
    <w:p>
      <w:pPr>
        <w:pStyle w:val="ListParagraph"/>
        <w:numPr>
          <w:ilvl w:val="0"/>
          <w:numId w:val="2"/>
        </w:numPr>
        <w:spacing w:after="80"/>
      </w:pPr>
      <w:r>
        <w:rPr>
          <w:b/>
          <w:bCs/>
          <w:color w:val="1A1A1A"/>
          <w:sz w:val="22"/>
          <w:szCs w:val="22"/>
        </w:rPr>
        <w:t xml:space="preserve">Semana 1: </w:t>
      </w:r>
      <w:r>
        <w:rPr>
          <w:color w:val="4A4A4A"/>
          <w:sz w:val="22"/>
          <w:szCs w:val="22"/>
        </w:rPr>
        <w:t xml:space="preserve">activar MercadoPago real + verificar certificado + iniciar trámite de firma digital</w:t>
      </w:r>
    </w:p>
    <w:p>
      <w:pPr>
        <w:pStyle w:val="ListParagraph"/>
        <w:numPr>
          <w:ilvl w:val="0"/>
          <w:numId w:val="2"/>
        </w:numPr>
        <w:spacing w:after="80"/>
      </w:pPr>
      <w:r>
        <w:rPr>
          <w:b/>
          <w:bCs/>
          <w:color w:val="1A1A1A"/>
          <w:sz w:val="22"/>
          <w:szCs w:val="22"/>
        </w:rPr>
        <w:t xml:space="preserve">Semana 1-2: </w:t>
      </w:r>
      <w:r>
        <w:rPr>
          <w:color w:val="4A4A4A"/>
          <w:sz w:val="22"/>
          <w:szCs w:val="22"/>
        </w:rPr>
        <w:t xml:space="preserve">seleccionar entre 5 y 15 usuarios de confianza (abogados/procuradores conocidos)</w:t>
      </w:r>
    </w:p>
    <w:p>
      <w:pPr>
        <w:pStyle w:val="ListParagraph"/>
        <w:numPr>
          <w:ilvl w:val="0"/>
          <w:numId w:val="2"/>
        </w:numPr>
        <w:spacing w:after="80"/>
      </w:pPr>
      <w:r>
        <w:rPr>
          <w:b/>
          <w:bCs/>
          <w:color w:val="1A1A1A"/>
          <w:sz w:val="22"/>
          <w:szCs w:val="22"/>
        </w:rPr>
        <w:t xml:space="preserve">Beta: </w:t>
      </w:r>
      <w:r>
        <w:rPr>
          <w:color w:val="4A4A4A"/>
          <w:sz w:val="22"/>
          <w:szCs w:val="22"/>
        </w:rPr>
        <w:t xml:space="preserve">acompañamiento cercano, recolección de feedback y métricas de uso real</w:t>
      </w:r>
    </w:p>
    <w:p>
      <w:pPr>
        <w:pStyle w:val="ListParagraph"/>
        <w:numPr>
          <w:ilvl w:val="0"/>
          <w:numId w:val="2"/>
        </w:numPr>
        <w:spacing w:after="80"/>
      </w:pPr>
      <w:r>
        <w:rPr>
          <w:b/>
          <w:bCs/>
          <w:color w:val="1A1A1A"/>
          <w:sz w:val="22"/>
          <w:szCs w:val="22"/>
        </w:rPr>
        <w:t xml:space="preserve">Post-Beta: </w:t>
      </w:r>
      <w:r>
        <w:rPr>
          <w:color w:val="4A4A4A"/>
          <w:sz w:val="22"/>
          <w:szCs w:val="22"/>
        </w:rPr>
        <w:t xml:space="preserve">auditoría de seguridad y preparación de infraestructura para apertura masiva</w:t>
      </w:r>
    </w:p>
    <w:p>
      <w:pPr>
        <w:pStyle w:val="Heading1"/>
      </w:pPr>
      <w:r>
        <w:t xml:space="preserve">9. Conclusión para inversores</w:t>
      </w:r>
    </w:p>
    <w:p>
      <w:pPr>
        <w:spacing w:after="120" w:line="276"/>
      </w:pPr>
      <w:r>
        <w:rPr>
          <w:color w:val="4A4A4A"/>
          <w:sz w:val="22"/>
          <w:szCs w:val="22"/>
        </w:rPr>
        <w:t xml:space="preserve">Procurador SCW no es un prototipo ni una idea: es un producto terminado, en producción, con monetización resuelta. La inversión de desarrollo ya rindió sus frutos principales. La etapa actual es de validación de mercado, que es exactamente lo que una Beta busca: confirmar que usuarios reales pagan por el producto y lo usan de forma recurrente.</w:t>
      </w:r>
    </w:p>
    <w:p>
      <w:pPr>
        <w:pBdr>
          <w:left w:val="single" w:color="D97706" w:sz="18" w:space="8"/>
        </w:pBdr>
        <w:shd w:fill="FEF3C7" w:val="clear"/>
        <w:spacing w:after="200" w:before="120" w:line="300"/>
        <w:ind w:left="160"/>
      </w:pPr>
      <w:r>
        <w:rPr>
          <w:b/>
          <w:bCs/>
          <w:color w:val="78350F"/>
          <w:sz w:val="24"/>
          <w:szCs w:val="24"/>
        </w:rPr>
        <w:t xml:space="preserve">El próximo hito —pasar de “producto listo” a “primeros clientes pagando”— está a días de distancia, no meses.</w:t>
      </w:r>
    </w:p>
    <w:p>
      <w:pPr>
        <w:spacing w:after="200"/>
      </w:pPr>
    </w:p>
    <w:p>
      <w:pPr>
        <w:jc w:val="center"/>
      </w:pPr>
      <w:r>
        <w:rPr>
          <w:i/>
          <w:iCs/>
          <w:color w:val="8A8A8A"/>
          <w:sz w:val="18"/>
          <w:szCs w:val="18"/>
        </w:rPr>
        <w:t xml:space="preserve">Documento preparado para evaluación interna. Para detalle técnico, consultar la documentación del proyecto.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8A"/>
        <w:sz w:val="16"/>
        <w:szCs w:val="16"/>
      </w:rPr>
      <w:t xml:space="preserve">Confidencial — uso interno   |   Página </w:t>
    </w:r>
    <w:r>
      <w:rPr>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7706" w:sz="4" w:space="4"/>
      </w:pBdr>
      <w:jc w:val="right"/>
    </w:pPr>
    <w:r>
      <w:rPr>
        <w:color w:val="8A8A8A"/>
        <w:sz w:val="16"/>
        <w:szCs w:val="16"/>
      </w:rPr>
      <w:t xml:space="preserve">Procurador TOOL · Informe de Evaluación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5E5E5" w:sz="4" w:space="4"/>
      </w:pBdr>
      <w:spacing w:after="160" w:before="280"/>
      <w:outlineLvl w:val="0"/>
    </w:pPr>
    <w:rPr>
      <w:rFonts w:ascii="Arial" w:cs="Arial" w:eastAsia="Arial" w:hAnsi="Arial"/>
      <w:b/>
      <w:bCs/>
      <w:color w:val="B4530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748988eeceec9dc8d3da3822df02cc78e05eb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2026-06-02T03:33:59.288Z</dcterms:created>
  <dcterms:modified xsi:type="dcterms:W3CDTF">2026-06-02T03:33:59.292Z</dcterms:modified>
</cp:coreProperties>
</file>

<file path=docProps/custom.xml><?xml version="1.0" encoding="utf-8"?>
<Properties xmlns="http://schemas.openxmlformats.org/officeDocument/2006/custom-properties" xmlns:vt="http://schemas.openxmlformats.org/officeDocument/2006/docPropsVTypes"/>
</file>