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EAC1" w14:textId="77777777" w:rsidR="002001B5" w:rsidRDefault="002001B5" w:rsidP="002001B5">
      <w:pPr>
        <w:spacing w:after="0" w:line="240" w:lineRule="auto"/>
        <w:rPr>
          <w:rFonts w:ascii="Avenir Next" w:eastAsia="Times New Roman" w:hAnsi="Avenir Next" w:cs="Arial"/>
          <w:b/>
          <w:bCs/>
          <w:color w:val="1F1F1F"/>
          <w:kern w:val="0"/>
          <w:sz w:val="16"/>
          <w:szCs w:val="16"/>
          <w:bdr w:val="none" w:sz="0" w:space="0" w:color="auto" w:frame="1"/>
          <w14:ligatures w14:val="none"/>
        </w:rPr>
      </w:pPr>
      <w:r w:rsidRPr="002001B5">
        <w:rPr>
          <w:rFonts w:ascii="Avenir Next" w:eastAsia="Times New Roman" w:hAnsi="Avenir Next" w:cs="Arial"/>
          <w:b/>
          <w:bCs/>
          <w:color w:val="1F1F1F"/>
          <w:kern w:val="0"/>
          <w:sz w:val="16"/>
          <w:szCs w:val="16"/>
          <w:bdr w:val="none" w:sz="0" w:space="0" w:color="auto" w:frame="1"/>
          <w14:ligatures w14:val="none"/>
        </w:rPr>
        <w:t>Appendix Table S1. Definitions, Primary External Data Sources, and Ecological Relevance of Significant Environmental Covariates</w:t>
      </w:r>
    </w:p>
    <w:p w14:paraId="03913E29" w14:textId="77777777" w:rsidR="002001B5" w:rsidRPr="002001B5" w:rsidRDefault="002001B5" w:rsidP="002001B5">
      <w:pPr>
        <w:spacing w:after="0" w:line="240" w:lineRule="auto"/>
        <w:rPr>
          <w:rFonts w:ascii="Avenir Next" w:eastAsia="Times New Roman" w:hAnsi="Avenir Next" w:cs="Arial"/>
          <w:color w:val="1F1F1F"/>
          <w:kern w:val="0"/>
          <w:sz w:val="16"/>
          <w:szCs w:val="16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1739"/>
        <w:gridCol w:w="3048"/>
        <w:gridCol w:w="2244"/>
        <w:gridCol w:w="4260"/>
      </w:tblGrid>
      <w:tr w:rsidR="002001B5" w:rsidRPr="002001B5" w14:paraId="5D1D7E3C" w14:textId="77777777" w:rsidTr="002001B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987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3F4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Clean Covariate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7C3C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Raw Model Key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EF0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Primary External Data Source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A23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Description &amp; Ecological Context</w:t>
            </w:r>
          </w:p>
        </w:tc>
      </w:tr>
      <w:tr w:rsidR="002001B5" w:rsidRPr="002001B5" w14:paraId="4021E735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A49B" w14:textId="71A0B0C0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Morphometry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9BD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Max Depth (Est.)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20B0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max_depth_est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9CAA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Estimated in R via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lakemorpho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FD31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Estimated maximum lake depth. </w:t>
            </w:r>
            <w:proofErr w:type="gram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Proxies</w:t>
            </w:r>
            <w:proofErr w:type="gram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light attenuation, benthic/pelagic thermal stratification, and habitat volume.</w:t>
            </w:r>
          </w:p>
        </w:tc>
      </w:tr>
      <w:tr w:rsidR="002001B5" w:rsidRPr="002001B5" w14:paraId="11249253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FAB9A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1A7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Lake Perimeter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550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perimeter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AADA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GeoBC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Freshwater Atlas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D8A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Total shoreline distance. Reflects littoral habitat availability and shoreline complexity.</w:t>
            </w:r>
          </w:p>
        </w:tc>
      </w:tr>
      <w:tr w:rsidR="002001B5" w:rsidRPr="002001B5" w14:paraId="1686F468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3AF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8F42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Elevation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DDD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DEM_vi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mean_DEM_vi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ABD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(1000m buffer DEM)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15D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Altitude of the lake surface. Integrates thermal regimes, growing season length, and runoff dynamics.</w:t>
            </w:r>
          </w:p>
        </w:tc>
      </w:tr>
      <w:tr w:rsidR="002001B5" w:rsidRPr="002001B5" w14:paraId="4D115918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AE876" w14:textId="67AEE93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14:ligatures w14:val="none"/>
              </w:rPr>
              <w:t>GIS Models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4D6E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Dist. to Ancient Forest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16B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mean_d2_ancient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160E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ArcGIS Pro Spatial Model (using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B7F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Euclidean distance from any point to ancient forest (&gt;400 yrs old). Correlates with late-successional organic inputs and stable hydrology.</w:t>
            </w:r>
          </w:p>
        </w:tc>
      </w:tr>
      <w:tr w:rsidR="002001B5" w:rsidRPr="002001B5" w14:paraId="03E68F97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C9C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C6B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Dist. to Nearest Lake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37D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mean_d2_lake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3F7A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ArcGIS Pro Spatial Model (using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E008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Euclidean distance to the nearest lake. </w:t>
            </w:r>
            <w:proofErr w:type="gram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Proxies</w:t>
            </w:r>
            <w:proofErr w:type="gram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gene flow potential, landscape connectivity, and colonization history.</w:t>
            </w:r>
          </w:p>
        </w:tc>
      </w:tr>
      <w:tr w:rsidR="002001B5" w:rsidRPr="002001B5" w14:paraId="6E925F9C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39D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AF0D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Dist. to Unpaved Road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DB4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mean_d2_ogdc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AA3C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ArcGIS Pro Spatial Model (using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4FA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Euclidean distance to overgrown and decommissioned (OGDC) roads. Captures local disturbance and runoff.</w:t>
            </w:r>
          </w:p>
        </w:tc>
      </w:tr>
      <w:tr w:rsidR="002001B5" w:rsidRPr="002001B5" w14:paraId="4271C2F7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D39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161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Dist. to Paved Road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157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mean_d2_paved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ABE7A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ArcGIS Pro Spatial Model (using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259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Euclidean distance to the nearest paved road. Associated with runoff, salt/pollutant inputs, and human landscape alteration.</w:t>
            </w:r>
          </w:p>
        </w:tc>
      </w:tr>
      <w:tr w:rsidR="002001B5" w:rsidRPr="002001B5" w14:paraId="7FB52861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49C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Forestry &amp; Structure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658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Forest Basal Area [m²/ha]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AFC9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mean_basal_area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A5C2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BC VRI Relational Data Dictionary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BF00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Total cross-sectional area at breast height of living trees. Indicates surrounding biomass and terrestrial litterfall potential.</w:t>
            </w:r>
          </w:p>
        </w:tc>
      </w:tr>
      <w:tr w:rsidR="002001B5" w:rsidRPr="002001B5" w14:paraId="1B279672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B191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E209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Crown Closure [%]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BC5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mean_crwn_clsre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6396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BC VRI Relational Data Dictionary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22CA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Percentage of ground area covered by vertically projected tree crowns. Direct driver of light availability and thermal microclimates.</w:t>
            </w:r>
          </w:p>
        </w:tc>
      </w:tr>
      <w:tr w:rsidR="002001B5" w:rsidRPr="002001B5" w14:paraId="15CC2DF6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5F0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00D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Canopy Height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BAA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mean_proj_ht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9F5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BC VRI Relational Data Dictionary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CFA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Average projected height of the forest canopy. Proxies forest age, structural maturity, and wind exposure.</w:t>
            </w:r>
          </w:p>
        </w:tc>
      </w:tr>
      <w:tr w:rsidR="002001B5" w:rsidRPr="002001B5" w14:paraId="0EC18678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E63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DB5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Stand Height [m]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C4B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mean_sa_proj_ht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831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BC VRI Relational Data Dictionary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BE5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Projected stand height. Captures overall vertical stand development and surrounding landscape roughness.</w:t>
            </w:r>
          </w:p>
        </w:tc>
      </w:tr>
      <w:tr w:rsidR="002001B5" w:rsidRPr="002001B5" w14:paraId="1F782EA0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056E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3AED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Dominant Sp. Cover [%]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774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mean_spp1_pc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68C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BC VRI Relational Data Dictionary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1BA6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Percent cover of the leading (dominant) tree species. Reflects dominant litter chemistry and canopy density.</w:t>
            </w:r>
          </w:p>
        </w:tc>
      </w:tr>
      <w:tr w:rsidR="002001B5" w:rsidRPr="002001B5" w14:paraId="37518DB1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6E9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699C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Tertiary Sp. Cover [%]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40B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mean_sp3_cvr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48B6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/ BC VRI Relational Data Dictionary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40B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Percent cover of minor canopy species. Indicates forest overstory diversity and habitat heterogeneity.</w:t>
            </w:r>
          </w:p>
        </w:tc>
      </w:tr>
      <w:tr w:rsidR="002001B5" w:rsidRPr="002001B5" w14:paraId="1657252C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A2E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7AF0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Vertical Complexity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23E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mean_vert_comp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13A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(1000m buffer summary)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2F0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Index of vertical canopy stratification. Captures structural diversity across understory, subcanopy, and overstory layers.</w:t>
            </w:r>
          </w:p>
        </w:tc>
      </w:tr>
      <w:tr w:rsidR="002001B5" w:rsidRPr="002001B5" w14:paraId="7C112CCC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D0D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A95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Forest Harvest Year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725C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mean_harvest_yr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1510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(1000m buffer summary)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796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The year in which the last known timber harvest occurred. Proxies successional state, canopy recovery, and disturbance.</w:t>
            </w:r>
          </w:p>
        </w:tc>
      </w:tr>
      <w:tr w:rsidR="002001B5" w:rsidRPr="002001B5" w14:paraId="3D1FB012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79C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C83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Paved Road Density [km/km²]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E38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mean_rd_dnse_paved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157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ArcGIS Pro Spatial Model (500m radius using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iMapBC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07B1C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Number of paved roads per square kilometer. Measures landscape-level urbanization, habitat fragmentation, and road runoff.</w:t>
            </w:r>
          </w:p>
        </w:tc>
      </w:tr>
      <w:tr w:rsidR="002001B5" w:rsidRPr="002001B5" w14:paraId="469824FD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86A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 &amp; Hydrology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4353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Degree Days &lt;18°C / &gt;0°C / &gt;5°C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7D0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mean_DD18_* / mean_DD0_* / mean_DD5_*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F5D4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227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Accumulated heat energy below or above specific baselines across seasonal intervals. Drives metabolic rates, growth season, and thermal stress.</w:t>
            </w:r>
          </w:p>
        </w:tc>
      </w:tr>
      <w:tr w:rsidR="002001B5" w:rsidRPr="002001B5" w14:paraId="73C0B4D5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D2E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DAD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Hargreaves Deficit [mm]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CCFB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mean_CMD05 / mean_CMD08 /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mean_CMD_sp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152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037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Climatic moisture deficit (May, Aug, Spring). Measures atmospheric drying stress and evaporation exceeding precipitation.</w:t>
            </w:r>
          </w:p>
        </w:tc>
      </w:tr>
      <w:tr w:rsidR="002001B5" w:rsidRPr="002001B5" w14:paraId="145176C2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500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9181A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Hargreaves Ref. Evap. [mm]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651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mean_Eref09 / mean_Eref10 /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mean_Eref_at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7C9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196C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Reference evapotranspiration rates (Sep, Oct, Autumn). Indicates potential water loss driven by temperature, radiation, and humidity.</w:t>
            </w:r>
          </w:p>
        </w:tc>
      </w:tr>
      <w:tr w:rsidR="002001B5" w:rsidRPr="002001B5" w14:paraId="65B1D3CB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A1A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67D5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Moisture Index [mm]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98D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mean_CMI07 / mean_CMI08 / mean_CMI09 / mean_CMI10 / mean_CMI12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E591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C407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 Moisture Index across monthly periods. Tracks seasonal soil water balance and lake water budget inputs.</w:t>
            </w:r>
          </w:p>
        </w:tc>
      </w:tr>
      <w:tr w:rsidR="002001B5" w:rsidRPr="002001B5" w14:paraId="28DD82E0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7064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8FBC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Precipitation [mm]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0ED3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mean_PPT05 / mean_PPT06 / mean_PPT09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9600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5A87C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Monthly rainfall totals (May, Jun, Sep). Influences watershed flushing, runoff, nutrient delivery, and lake levels.</w:t>
            </w:r>
          </w:p>
        </w:tc>
      </w:tr>
      <w:tr w:rsidR="002001B5" w:rsidRPr="002001B5" w14:paraId="2EF32D21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9F7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BAA9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Snow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Precip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. [mm]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067A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mean_PAS05 /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mean_PAS_sp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4E10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8A31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Precipitation falling as snow (May, Spring). Drivers of spring freshet timing, water clarity, and early-season temperatures.</w:t>
            </w:r>
          </w:p>
        </w:tc>
      </w:tr>
      <w:tr w:rsidR="002001B5" w:rsidRPr="002001B5" w14:paraId="7A15A3DE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0EB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B0D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Frost-Free Days (Summer)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8F59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mean_NFFD_sm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27E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27DE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Number of consecutive frost-free days in summer. Measures growing season length and duration of ice-free conditions.</w:t>
            </w:r>
          </w:p>
        </w:tc>
      </w:tr>
      <w:tr w:rsidR="002001B5" w:rsidRPr="002001B5" w14:paraId="625A0D44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7363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35A7B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Relative Humidity [%]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FF6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mean_RH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* (Jan–Dec, Spring, Winter)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C8FF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110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Monthly and seasonal relative humidity. Drivers of local microclimate, evaporative demand, and fog dynamics.</w:t>
            </w:r>
          </w:p>
        </w:tc>
      </w:tr>
      <w:tr w:rsidR="002001B5" w:rsidRPr="002001B5" w14:paraId="3B82CFEE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D8F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982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 / Max Temp [°C]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E00B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mean_Tave06 /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mean_Tmax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3F4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ClimateNAr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package (1961–1990 BC Normals, 1000m buffer)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C7BB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Monthly mean and maximum temperatures. Sets baseline metabolic conditions and thermal limits.</w:t>
            </w:r>
          </w:p>
        </w:tc>
      </w:tr>
      <w:tr w:rsidR="002001B5" w:rsidRPr="002001B5" w14:paraId="33605A04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BCF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Water Column (Sonde)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24CD0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C10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Mean_pH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C79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In-situ High-Precision Multi-Sonde (2023 Field Sampling)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BBF8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Hydrogen ion concentration in surface waters. Dictates physiological stress, calcium availability, and chemical speciation.</w:t>
            </w:r>
          </w:p>
        </w:tc>
      </w:tr>
      <w:tr w:rsidR="002001B5" w:rsidRPr="002001B5" w14:paraId="2498AF78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2479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E15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fDOM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[RFU]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2A6F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Mean_fDOM_RFU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1BD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In-situ High-Precision Multi-Sonde (2023 Field Sampling)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4ACD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Fluorescent Dissolved Organic Matter. Proxies terrestrial carbon loading, water clarity, light attenuation, and UV protection.</w:t>
            </w:r>
          </w:p>
        </w:tc>
      </w:tr>
      <w:tr w:rsidR="002001B5" w:rsidRPr="002001B5" w14:paraId="02492813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5AF3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D34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fDOM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SD [RFU]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F0AB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SD_fDOM_RFU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994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In-situ High-Precision Multi-Sonde (2023 Field Sampling)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CBE7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Standard deviation of </w:t>
            </w: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fDOM</w:t>
            </w:r>
            <w:proofErr w:type="spell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across sampling events. Measures temporal variability in terrestrial organic matter pulses.</w:t>
            </w:r>
          </w:p>
        </w:tc>
      </w:tr>
      <w:tr w:rsidR="002001B5" w:rsidRPr="002001B5" w14:paraId="24E2112B" w14:textId="77777777" w:rsidTr="002001B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1B7F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2B2A0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Dissolved O</w:t>
            </w: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:vertAlign w:val="subscript"/>
                <w14:ligatures w14:val="none"/>
              </w:rPr>
              <w:t>2</w:t>
            </w: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SD [%]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B8CA6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SD_DO_Percent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A50E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In-situ High-Precision Multi-Sonde (2023 Field Sampling)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E162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Standard deviation of percent dissolved oxygen. </w:t>
            </w:r>
            <w:proofErr w:type="gram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Proxies</w:t>
            </w:r>
            <w:proofErr w:type="gramEnd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 xml:space="preserve"> biological oxygen demand, turnover stability, and primary production dynamics.</w:t>
            </w:r>
          </w:p>
        </w:tc>
      </w:tr>
      <w:tr w:rsidR="002001B5" w:rsidRPr="002001B5" w14:paraId="6D3B0B89" w14:textId="77777777" w:rsidTr="002001B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96AAD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305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Water Temp SD [°C]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23A5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SD_Temp_C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12098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In-situ High-Precision Multi-Sonde (2023 Field Sampling)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C5524" w14:textId="77777777" w:rsidR="002001B5" w:rsidRPr="002001B5" w:rsidRDefault="002001B5" w:rsidP="002001B5">
            <w:pPr>
              <w:spacing w:after="0" w:line="240" w:lineRule="auto"/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14:ligatures w14:val="none"/>
              </w:rPr>
            </w:pPr>
            <w:r w:rsidRPr="002001B5">
              <w:rPr>
                <w:rFonts w:ascii="Avenir Next" w:eastAsia="Times New Roman" w:hAnsi="Avenir Next" w:cs="Arial"/>
                <w:color w:val="1F1F1F"/>
                <w:kern w:val="0"/>
                <w:sz w:val="16"/>
                <w:szCs w:val="16"/>
                <w:bdr w:val="none" w:sz="0" w:space="0" w:color="auto" w:frame="1"/>
                <w14:ligatures w14:val="none"/>
              </w:rPr>
              <w:t>Standard deviation of water temperature. Captures short-term thermal fluctuations and mixing regime stability.</w:t>
            </w:r>
          </w:p>
        </w:tc>
      </w:tr>
    </w:tbl>
    <w:p w14:paraId="6BD60598" w14:textId="77777777" w:rsidR="008E0748" w:rsidRPr="002001B5" w:rsidRDefault="008E0748">
      <w:pPr>
        <w:rPr>
          <w:rFonts w:ascii="Avenir Next" w:hAnsi="Avenir Next"/>
          <w:sz w:val="16"/>
          <w:szCs w:val="16"/>
        </w:rPr>
      </w:pPr>
    </w:p>
    <w:sectPr w:rsidR="008E0748" w:rsidRPr="002001B5" w:rsidSect="002001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B5"/>
    <w:rsid w:val="000421BB"/>
    <w:rsid w:val="002001B5"/>
    <w:rsid w:val="00487BAB"/>
    <w:rsid w:val="005D0674"/>
    <w:rsid w:val="00695909"/>
    <w:rsid w:val="008E0748"/>
    <w:rsid w:val="00A9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D3D7"/>
  <w15:chartTrackingRefBased/>
  <w15:docId w15:val="{2198C27B-7835-3E46-ACD4-2503CF24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B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01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01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Berini, John L</dc:creator>
  <cp:keywords/>
  <dc:description/>
  <cp:lastModifiedBy>Berini, John L</cp:lastModifiedBy>
  <cp:revision>1</cp:revision>
  <dcterms:created xsi:type="dcterms:W3CDTF">2026-08-11T17:25:00Z</dcterms:created>
  <dcterms:modified xsi:type="dcterms:W3CDTF">2026-08-11T17:37:00Z</dcterms:modified>
</cp:coreProperties>
</file>