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08D57"/>
          <w:spacing w:val="20"/>
          <w:sz w:val="24"/>
          <w:szCs w:val="24"/>
        </w:rPr>
        <w:t xml:space="preserve">SUNSHINE LEDGER</w:t>
      </w:r>
    </w:p>
    <w:p>
      <w:pPr>
        <w:spacing w:after="100"/>
      </w:pPr>
      <w:r>
        <w:rPr>
          <w:rFonts w:ascii="Calibri" w:cs="Calibri" w:eastAsia="Calibri" w:hAnsi="Calibri"/>
          <w:b/>
          <w:bCs/>
          <w:color w:val="1F3A5F"/>
          <w:sz w:val="52"/>
          <w:szCs w:val="52"/>
        </w:rPr>
        <w:t xml:space="preserve">Business Requirements Document</w:t>
      </w:r>
    </w:p>
    <w:p>
      <w:pPr>
        <w:spacing w:after="600"/>
      </w:pPr>
      <w:r>
        <w:rPr>
          <w:rFonts w:ascii="Calibri" w:cs="Calibri" w:eastAsia="Calibri" w:hAnsi="Calibri"/>
          <w:i/>
          <w:iCs/>
          <w:color w:val="595959"/>
          <w:sz w:val="26"/>
          <w:szCs w:val="26"/>
        </w:rPr>
        <w:t xml:space="preserve">A Bernal Labs Project</w:t>
      </w:r>
    </w:p>
    <w:p>
      <w:pPr>
        <w:pBdr>
          <w:bottom w:val="single" w:color="B08D57" w:sz="8" w:space="4"/>
        </w:pBdr>
        <w:spacing w:after="300"/>
      </w:pPr>
    </w:p>
    <w:p>
      <w:pPr>
        <w:spacing w:after="80"/>
      </w:pPr>
      <w:r>
        <w:rPr>
          <w:rFonts w:ascii="Calibri" w:cs="Calibri" w:eastAsia="Calibri" w:hAnsi="Calibri"/>
          <w:b/>
          <w:bCs/>
          <w:color w:val="1F3A5F"/>
          <w:sz w:val="20"/>
          <w:szCs w:val="20"/>
        </w:rPr>
        <w:t xml:space="preserve">Version:  </w:t>
      </w:r>
      <w:r>
        <w:rPr>
          <w:rFonts w:ascii="Calibri" w:cs="Calibri" w:eastAsia="Calibri" w:hAnsi="Calibri"/>
          <w:color w:val="595959"/>
          <w:sz w:val="20"/>
          <w:szCs w:val="20"/>
        </w:rPr>
        <w:t xml:space="preserve">1.0 — Approved</w:t>
      </w:r>
    </w:p>
    <w:p>
      <w:pPr>
        <w:spacing w:after="80"/>
      </w:pPr>
      <w:r>
        <w:rPr>
          <w:rFonts w:ascii="Calibri" w:cs="Calibri" w:eastAsia="Calibri" w:hAnsi="Calibri"/>
          <w:b/>
          <w:bCs/>
          <w:color w:val="1F3A5F"/>
          <w:sz w:val="20"/>
          <w:szCs w:val="20"/>
        </w:rPr>
        <w:t xml:space="preserve">Date:  </w:t>
      </w:r>
      <w:r>
        <w:rPr>
          <w:rFonts w:ascii="Calibri" w:cs="Calibri" w:eastAsia="Calibri" w:hAnsi="Calibri"/>
          <w:color w:val="595959"/>
          <w:sz w:val="20"/>
          <w:szCs w:val="20"/>
        </w:rPr>
        <w:t xml:space="preserve">July 22, 2026</w:t>
      </w:r>
    </w:p>
    <w:p>
      <w:pPr>
        <w:spacing w:after="80"/>
      </w:pPr>
      <w:r>
        <w:rPr>
          <w:rFonts w:ascii="Calibri" w:cs="Calibri" w:eastAsia="Calibri" w:hAnsi="Calibri"/>
          <w:b/>
          <w:bCs/>
          <w:color w:val="1F3A5F"/>
          <w:sz w:val="20"/>
          <w:szCs w:val="20"/>
        </w:rPr>
        <w:t xml:space="preserve">Related documents:  </w:t>
      </w:r>
      <w:r>
        <w:rPr>
          <w:rFonts w:ascii="Calibri" w:cs="Calibri" w:eastAsia="Calibri" w:hAnsi="Calibri"/>
          <w:color w:val="595959"/>
          <w:sz w:val="20"/>
          <w:szCs w:val="20"/>
        </w:rPr>
        <w:t xml:space="preserve">Project Charter, Phased Roadmap</w:t>
      </w:r>
    </w:p>
    <w:p>
      <w:pPr>
        <w:pageBreakBefore/>
      </w:pPr>
      <w:r>
        <w:br/>
        <w:t xml:space="preserve"/>
      </w:r>
    </w:p>
    <w:p>
      <w:pPr>
        <w:pStyle w:val="Heading1"/>
        <w:pBdr>
          <w:bottom w:val="single" w:color="B08D57" w:sz="6" w:space="2"/>
        </w:pBdr>
        <w:spacing w:after="200" w:before="400"/>
      </w:pPr>
      <w:r>
        <w:rPr>
          <w:rFonts w:ascii="Calibri" w:cs="Calibri" w:eastAsia="Calibri" w:hAnsi="Calibri"/>
          <w:b/>
          <w:bCs/>
          <w:color w:val="1F3A5F"/>
          <w:sz w:val="30"/>
          <w:szCs w:val="30"/>
        </w:rPr>
        <w:t xml:space="preserve">1. Purpose</w:t>
      </w:r>
    </w:p>
    <w:p>
      <w:pPr>
        <w:spacing w:after="160"/>
      </w:pPr>
      <w:r>
        <w:rPr>
          <w:rFonts w:ascii="Calibri" w:cs="Calibri" w:eastAsia="Calibri" w:hAnsi="Calibri"/>
          <w:b w:val="false"/>
          <w:bCs w:val="false"/>
          <w:i w:val="false"/>
          <w:iCs w:val="false"/>
          <w:color w:val="262626"/>
          <w:sz w:val="21"/>
          <w:szCs w:val="21"/>
        </w:rPr>
        <w:t xml:space="preserve">This document defines the functional and non-functional requirements for the Sunshine Ledger MVP: a Florida state and local bill tracker that produces plain-language, geographically mapped summaries of legislative impact. It is intended to guide MVP build sequencing and to serve as the baseline against which later phases are scoped.</w:t>
      </w:r>
    </w:p>
    <w:p>
      <w:pPr>
        <w:pStyle w:val="Heading1"/>
        <w:pBdr>
          <w:bottom w:val="single" w:color="B08D57" w:sz="6" w:space="2"/>
        </w:pBdr>
        <w:spacing w:after="200" w:before="400"/>
      </w:pPr>
      <w:r>
        <w:rPr>
          <w:rFonts w:ascii="Calibri" w:cs="Calibri" w:eastAsia="Calibri" w:hAnsi="Calibri"/>
          <w:b/>
          <w:bCs/>
          <w:color w:val="1F3A5F"/>
          <w:sz w:val="30"/>
          <w:szCs w:val="30"/>
        </w:rPr>
        <w:t xml:space="preserve">2. Background</w:t>
      </w:r>
    </w:p>
    <w:p>
      <w:pPr>
        <w:spacing w:after="160"/>
      </w:pPr>
      <w:r>
        <w:rPr>
          <w:rFonts w:ascii="Calibri" w:cs="Calibri" w:eastAsia="Calibri" w:hAnsi="Calibri"/>
          <w:b w:val="false"/>
          <w:bCs w:val="false"/>
          <w:i w:val="false"/>
          <w:iCs w:val="false"/>
          <w:color w:val="262626"/>
          <w:sz w:val="21"/>
          <w:szCs w:val="21"/>
        </w:rPr>
        <w:t xml:space="preserve">Sunshine Ledger is the first vertical of a broader civic transparency platform (working name: Bernal Labs civic intelligence graph) intended to eventually connect legislative, financial, and regulatory data across multiple public-accountability domains. Full background and multi-vertical strategy are documented separately; this BRD covers the Sunshine Ledger MVP only.</w:t>
      </w:r>
    </w:p>
    <w:p>
      <w:pPr>
        <w:pStyle w:val="Heading1"/>
        <w:pBdr>
          <w:bottom w:val="single" w:color="B08D57" w:sz="6" w:space="2"/>
        </w:pBdr>
        <w:spacing w:after="200" w:before="400"/>
      </w:pPr>
      <w:r>
        <w:rPr>
          <w:rFonts w:ascii="Calibri" w:cs="Calibri" w:eastAsia="Calibri" w:hAnsi="Calibri"/>
          <w:b/>
          <w:bCs/>
          <w:color w:val="1F3A5F"/>
          <w:sz w:val="30"/>
          <w:szCs w:val="30"/>
        </w:rPr>
        <w:t xml:space="preserve">3. Business Objectives</w:t>
      </w:r>
    </w:p>
    <w:p>
      <w:pPr>
        <w:pStyle w:val="ListParagraph"/>
        <w:numPr>
          <w:ilvl w:val="0"/>
          <w:numId w:val="2"/>
        </w:numPr>
        <w:spacing w:after="80"/>
      </w:pPr>
      <w:r>
        <w:t xml:space="preserve"/>
      </w:r>
      <w:r>
        <w:rPr>
          <w:rFonts w:ascii="Calibri" w:cs="Calibri" w:eastAsia="Calibri" w:hAnsi="Calibri"/>
          <w:color w:val="262626"/>
          <w:sz w:val="21"/>
          <w:szCs w:val="21"/>
        </w:rPr>
        <w:t xml:space="preserve">Make Florida legislation understandable to a general audience without policy expertise.</w:t>
      </w:r>
    </w:p>
    <w:p>
      <w:pPr>
        <w:pStyle w:val="ListParagraph"/>
        <w:numPr>
          <w:ilvl w:val="0"/>
          <w:numId w:val="2"/>
        </w:numPr>
        <w:spacing w:after="80"/>
      </w:pPr>
      <w:r>
        <w:t xml:space="preserve"/>
      </w:r>
      <w:r>
        <w:rPr>
          <w:rFonts w:ascii="Calibri" w:cs="Calibri" w:eastAsia="Calibri" w:hAnsi="Calibri"/>
          <w:color w:val="262626"/>
          <w:sz w:val="21"/>
          <w:szCs w:val="21"/>
        </w:rPr>
        <w:t xml:space="preserve">Establish a credible, source-backed data product that can later support journalists, legal aid organizations, and advocacy groups without being designed primarily for them.</w:t>
      </w:r>
    </w:p>
    <w:p>
      <w:pPr>
        <w:pStyle w:val="ListParagraph"/>
        <w:numPr>
          <w:ilvl w:val="0"/>
          <w:numId w:val="2"/>
        </w:numPr>
        <w:spacing w:after="80"/>
      </w:pPr>
      <w:r>
        <w:t xml:space="preserve"/>
      </w:r>
      <w:r>
        <w:rPr>
          <w:rFonts w:ascii="Calibri" w:cs="Calibri" w:eastAsia="Calibri" w:hAnsi="Calibri"/>
          <w:color w:val="262626"/>
          <w:sz w:val="21"/>
          <w:szCs w:val="21"/>
        </w:rPr>
        <w:t xml:space="preserve">Prove out a state-agnostic, entity-graph-based architecture that can support future verticals and future states without rebuilding core infrastructure.</w:t>
      </w:r>
    </w:p>
    <w:p>
      <w:pPr>
        <w:pStyle w:val="Heading1"/>
        <w:pBdr>
          <w:bottom w:val="single" w:color="B08D57" w:sz="6" w:space="2"/>
        </w:pBdr>
        <w:spacing w:after="200" w:before="400"/>
      </w:pPr>
      <w:r>
        <w:rPr>
          <w:rFonts w:ascii="Calibri" w:cs="Calibri" w:eastAsia="Calibri" w:hAnsi="Calibri"/>
          <w:b/>
          <w:bCs/>
          <w:color w:val="1F3A5F"/>
          <w:sz w:val="30"/>
          <w:szCs w:val="30"/>
        </w:rPr>
        <w:t xml:space="preserve">4. Scope Summary</w:t>
      </w:r>
    </w:p>
    <w:p>
      <w:pPr>
        <w:spacing w:after="160"/>
      </w:pPr>
      <w:r>
        <w:rPr>
          <w:rFonts w:ascii="Calibri" w:cs="Calibri" w:eastAsia="Calibri" w:hAnsi="Calibri"/>
          <w:b w:val="false"/>
          <w:bCs w:val="false"/>
          <w:i w:val="false"/>
          <w:iCs w:val="false"/>
          <w:color w:val="262626"/>
          <w:sz w:val="21"/>
          <w:szCs w:val="21"/>
        </w:rPr>
        <w:t xml:space="preserve">Florida state and local (Miami, Jacksonville) legislative tracking for one legislative session, presented as plain-language bill cards with a geographic impact map, hidden-by-default sourcing, and a thin unscored news layer. Full detail in Section 8 of the Project Charter.</w:t>
      </w:r>
    </w:p>
    <w:p>
      <w:pPr>
        <w:spacing w:after="160"/>
      </w:pPr>
      <w:r>
        <w:rPr>
          <w:rFonts w:ascii="Calibri" w:cs="Calibri" w:eastAsia="Calibri" w:hAnsi="Calibri"/>
          <w:b w:val="false"/>
          <w:bCs w:val="false"/>
          <w:i w:val="false"/>
          <w:iCs w:val="false"/>
          <w:color w:val="262626"/>
          <w:sz w:val="21"/>
          <w:szCs w:val="21"/>
        </w:rPr>
        <w:t xml:space="preserve">Sunshine Ledger's long-term ambition is nationwide expansion, ultimately including federal legislation and federal officials (Senators, Representatives, and the President) as entities in the graph — votes, sponsorships, and public statements tracked the same way state and local officials are. This is explicitly out of scope for MVP and is documented in the Phased Roadmap's Nationwide Expansion section, but the entity/relationship schema (Section 9 of the Project Charter) is designed to accommodate it without redesign.</w:t>
      </w:r>
    </w:p>
    <w:p>
      <w:pPr>
        <w:pStyle w:val="Heading1"/>
        <w:pBdr>
          <w:bottom w:val="single" w:color="B08D57" w:sz="6" w:space="2"/>
        </w:pBdr>
        <w:spacing w:after="200" w:before="400"/>
      </w:pPr>
      <w:r>
        <w:rPr>
          <w:rFonts w:ascii="Calibri" w:cs="Calibri" w:eastAsia="Calibri" w:hAnsi="Calibri"/>
          <w:b/>
          <w:bCs/>
          <w:color w:val="1F3A5F"/>
          <w:sz w:val="30"/>
          <w:szCs w:val="30"/>
        </w:rPr>
        <w:t xml:space="preserve">5. Functional Requirements</w:t>
      </w:r>
    </w:p>
    <w:p>
      <w:pPr>
        <w:spacing w:after="100" w:before="200"/>
      </w:pPr>
      <w:r>
        <w:rPr>
          <w:rFonts w:ascii="Calibri" w:cs="Calibri" w:eastAsia="Calibri" w:hAnsi="Calibri"/>
          <w:b/>
          <w:bCs/>
          <w:color w:val="B08D57"/>
          <w:sz w:val="21"/>
          <w:szCs w:val="21"/>
        </w:rPr>
        <w:t xml:space="preserve">5.1 Bill Ingestion</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ingest Florida state bill text, status, and sponsor data from LegiScan and/or Open States/Plural.</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ingest local legislative agenda items from Miami and Jacksonville via their Legistar-based systems.</w:t>
      </w:r>
    </w:p>
    <w:p>
      <w:pPr>
        <w:pStyle w:val="ListParagraph"/>
        <w:numPr>
          <w:ilvl w:val="0"/>
          <w:numId w:val="2"/>
        </w:numPr>
        <w:spacing w:after="80"/>
      </w:pPr>
      <w:r>
        <w:t xml:space="preserve"/>
      </w:r>
      <w:r>
        <w:rPr>
          <w:rFonts w:ascii="Calibri" w:cs="Calibri" w:eastAsia="Calibri" w:hAnsi="Calibri"/>
          <w:color w:val="262626"/>
          <w:sz w:val="21"/>
          <w:szCs w:val="21"/>
        </w:rPr>
        <w:t xml:space="preserve">Every ingested fact shall have its source (URL, document reference, retrieval date) attached at the time of write, not fetched or reconstructed later.</w:t>
      </w:r>
    </w:p>
    <w:p>
      <w:pPr>
        <w:spacing w:after="100" w:before="200"/>
      </w:pPr>
      <w:r>
        <w:rPr>
          <w:rFonts w:ascii="Calibri" w:cs="Calibri" w:eastAsia="Calibri" w:hAnsi="Calibri"/>
          <w:b/>
          <w:bCs/>
          <w:color w:val="B08D57"/>
          <w:sz w:val="21"/>
          <w:szCs w:val="21"/>
        </w:rPr>
        <w:t xml:space="preserve">5.2 Plain-Language Summarization</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generate a plain-language “what this bill does” summary for each bill via LLM processing.</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generate a plain-language “who this affects” summary identifying affected groups, industries, or geographies.</w:t>
      </w:r>
    </w:p>
    <w:p>
      <w:pPr>
        <w:pStyle w:val="ListParagraph"/>
        <w:numPr>
          <w:ilvl w:val="0"/>
          <w:numId w:val="2"/>
        </w:numPr>
        <w:spacing w:after="80"/>
      </w:pPr>
      <w:r>
        <w:t xml:space="preserve"/>
      </w:r>
      <w:r>
        <w:rPr>
          <w:rFonts w:ascii="Calibri" w:cs="Calibri" w:eastAsia="Calibri" w:hAnsi="Calibri"/>
          <w:color w:val="262626"/>
          <w:sz w:val="21"/>
          <w:szCs w:val="21"/>
        </w:rPr>
        <w:t xml:space="preserve">Summaries shall be manually reviewed for quality on an initial sample before automated pipeline processing begins.</w:t>
      </w:r>
    </w:p>
    <w:p>
      <w:pPr>
        <w:spacing w:after="100" w:before="200"/>
      </w:pPr>
      <w:r>
        <w:rPr>
          <w:rFonts w:ascii="Calibri" w:cs="Calibri" w:eastAsia="Calibri" w:hAnsi="Calibri"/>
          <w:b/>
          <w:bCs/>
          <w:color w:val="B08D57"/>
          <w:sz w:val="21"/>
          <w:szCs w:val="21"/>
        </w:rPr>
        <w:t xml:space="preserve">5.3 Geographic Impact Mapping</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tag each bill with its geographic scope based on bill text.</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render a map view shaded at the county or legislative-district level, using U.S. Census Bureau TIGER/Line shapefiles for boundary geometry.</w:t>
      </w:r>
    </w:p>
    <w:p>
      <w:pPr>
        <w:pStyle w:val="ListParagraph"/>
        <w:numPr>
          <w:ilvl w:val="0"/>
          <w:numId w:val="2"/>
        </w:numPr>
        <w:spacing w:after="80"/>
      </w:pPr>
      <w:r>
        <w:t xml:space="preserve"/>
      </w:r>
      <w:r>
        <w:rPr>
          <w:rFonts w:ascii="Calibri" w:cs="Calibri" w:eastAsia="Calibri" w:hAnsi="Calibri"/>
          <w:color w:val="262626"/>
          <w:sz w:val="21"/>
          <w:szCs w:val="21"/>
        </w:rPr>
        <w:t xml:space="preserve">Per-address mapping is explicitly out of scope for MVP.</w:t>
      </w:r>
    </w:p>
    <w:p>
      <w:pPr>
        <w:spacing w:after="100" w:before="200"/>
      </w:pPr>
      <w:r>
        <w:rPr>
          <w:rFonts w:ascii="Calibri" w:cs="Calibri" w:eastAsia="Calibri" w:hAnsi="Calibri"/>
          <w:b/>
          <w:bCs/>
          <w:color w:val="B08D57"/>
          <w:sz w:val="21"/>
          <w:szCs w:val="21"/>
        </w:rPr>
        <w:t xml:space="preserve">5.4 Bill Card / Browse Experience</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provide a browse/search view listing tracked bills.</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display a bill card containing the plain-language summary and status.</w:t>
      </w:r>
    </w:p>
    <w:p>
      <w:pPr>
        <w:pStyle w:val="ListParagraph"/>
        <w:numPr>
          <w:ilvl w:val="0"/>
          <w:numId w:val="2"/>
        </w:numPr>
        <w:spacing w:after="80"/>
      </w:pPr>
      <w:r>
        <w:t xml:space="preserve"/>
      </w:r>
      <w:r>
        <w:rPr>
          <w:rFonts w:ascii="Calibri" w:cs="Calibri" w:eastAsia="Calibri" w:hAnsi="Calibri"/>
          <w:color w:val="262626"/>
          <w:sz w:val="21"/>
          <w:szCs w:val="21"/>
        </w:rPr>
        <w:t xml:space="preserve">Source citations shall be hidden by default and expandable on user request, inline rather than on a separate page.</w:t>
      </w:r>
    </w:p>
    <w:p>
      <w:pPr>
        <w:pStyle w:val="ListParagraph"/>
        <w:numPr>
          <w:ilvl w:val="0"/>
          <w:numId w:val="2"/>
        </w:numPr>
        <w:spacing w:after="80"/>
      </w:pPr>
      <w:r>
        <w:t xml:space="preserve"/>
      </w:r>
      <w:r>
        <w:rPr>
          <w:rFonts w:ascii="Calibri" w:cs="Calibri" w:eastAsia="Calibri" w:hAnsi="Calibri"/>
          <w:color w:val="262626"/>
          <w:sz w:val="21"/>
          <w:szCs w:val="21"/>
        </w:rPr>
        <w:t xml:space="preserve">Each claim shall display a lightweight trust indicator (e.g., a source count) even while collapsed.</w:t>
      </w:r>
    </w:p>
    <w:p>
      <w:pPr>
        <w:spacing w:after="100" w:before="200"/>
      </w:pPr>
      <w:r>
        <w:rPr>
          <w:rFonts w:ascii="Calibri" w:cs="Calibri" w:eastAsia="Calibri" w:hAnsi="Calibri"/>
          <w:b/>
          <w:bCs/>
          <w:color w:val="B08D57"/>
          <w:sz w:val="21"/>
          <w:szCs w:val="21"/>
        </w:rPr>
        <w:t xml:space="preserve">5.5 Feedback and Corrections</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provide a “flag this” feedback form for users to report suspected inaccuracies.</w:t>
      </w:r>
    </w:p>
    <w:p>
      <w:pPr>
        <w:pStyle w:val="ListParagraph"/>
        <w:numPr>
          <w:ilvl w:val="0"/>
          <w:numId w:val="2"/>
        </w:numPr>
        <w:spacing w:after="80"/>
      </w:pPr>
      <w:r>
        <w:t xml:space="preserve"/>
      </w:r>
      <w:r>
        <w:rPr>
          <w:rFonts w:ascii="Calibri" w:cs="Calibri" w:eastAsia="Calibri" w:hAnsi="Calibri"/>
          <w:color w:val="262626"/>
          <w:sz w:val="21"/>
          <w:szCs w:val="21"/>
        </w:rPr>
        <w:t xml:space="preserve">Flags shall route to manual review; the system shall not support open or crowdsourced editing at MVP.</w:t>
      </w:r>
    </w:p>
    <w:p>
      <w:pPr>
        <w:spacing w:after="100" w:before="200"/>
      </w:pPr>
      <w:r>
        <w:rPr>
          <w:rFonts w:ascii="Calibri" w:cs="Calibri" w:eastAsia="Calibri" w:hAnsi="Calibri"/>
          <w:b/>
          <w:bCs/>
          <w:color w:val="B08D57"/>
          <w:sz w:val="21"/>
          <w:szCs w:val="21"/>
        </w:rPr>
        <w:t xml:space="preserve">5.6 Homepage Personalization</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determine the user's likely state/locality via IP-based geolocation and default the homepage to relevant content.</w:t>
      </w:r>
    </w:p>
    <w:p>
      <w:pPr>
        <w:pStyle w:val="ListParagraph"/>
        <w:numPr>
          <w:ilvl w:val="0"/>
          <w:numId w:val="2"/>
        </w:numPr>
        <w:spacing w:after="80"/>
      </w:pPr>
      <w:r>
        <w:t xml:space="preserve"/>
      </w:r>
      <w:r>
        <w:rPr>
          <w:rFonts w:ascii="Calibri" w:cs="Calibri" w:eastAsia="Calibri" w:hAnsi="Calibri"/>
          <w:color w:val="262626"/>
          <w:sz w:val="21"/>
          <w:szCs w:val="21"/>
        </w:rPr>
        <w:t xml:space="preserve">Users shall be able to navigate to other states/localities regardless of detected location.</w:t>
      </w:r>
    </w:p>
    <w:p>
      <w:pPr>
        <w:spacing w:after="100" w:before="200"/>
      </w:pPr>
      <w:r>
        <w:rPr>
          <w:rFonts w:ascii="Calibri" w:cs="Calibri" w:eastAsia="Calibri" w:hAnsi="Calibri"/>
          <w:b/>
          <w:bCs/>
          <w:color w:val="B08D57"/>
          <w:sz w:val="21"/>
          <w:szCs w:val="21"/>
        </w:rPr>
        <w:t xml:space="preserve">5.7 News and Sentiment (Thin Layer)</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pull recent news headlines related to each bill via GDELT, matched by keyword.</w:t>
      </w:r>
    </w:p>
    <w:p>
      <w:pPr>
        <w:pStyle w:val="ListParagraph"/>
        <w:numPr>
          <w:ilvl w:val="0"/>
          <w:numId w:val="2"/>
        </w:numPr>
        <w:spacing w:after="80"/>
      </w:pPr>
      <w:r>
        <w:t xml:space="preserve"/>
      </w:r>
      <w:r>
        <w:rPr>
          <w:rFonts w:ascii="Calibri" w:cs="Calibri" w:eastAsia="Calibri" w:hAnsi="Calibri"/>
          <w:color w:val="262626"/>
          <w:sz w:val="21"/>
          <w:szCs w:val="21"/>
        </w:rPr>
        <w:t xml:space="preserve">Sentiment scoring and stance classification are explicitly deferred to Phase 2.</w:t>
      </w:r>
    </w:p>
    <w:p>
      <w:pPr>
        <w:spacing w:after="100" w:before="200"/>
      </w:pPr>
      <w:r>
        <w:rPr>
          <w:rFonts w:ascii="Calibri" w:cs="Calibri" w:eastAsia="Calibri" w:hAnsi="Calibri"/>
          <w:b/>
          <w:bCs/>
          <w:color w:val="B08D57"/>
          <w:sz w:val="21"/>
          <w:szCs w:val="21"/>
        </w:rPr>
        <w:t xml:space="preserve">5.8 Election Context</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surface Florida's election calendar in relation to tracked bills, without scoring or predictive claims at MVP.</w:t>
      </w:r>
    </w:p>
    <w:p>
      <w:pPr>
        <w:pStyle w:val="Heading1"/>
        <w:pBdr>
          <w:bottom w:val="single" w:color="B08D57" w:sz="6" w:space="2"/>
        </w:pBdr>
        <w:spacing w:after="200" w:before="400"/>
      </w:pPr>
      <w:r>
        <w:rPr>
          <w:rFonts w:ascii="Calibri" w:cs="Calibri" w:eastAsia="Calibri" w:hAnsi="Calibri"/>
          <w:b/>
          <w:bCs/>
          <w:color w:val="1F3A5F"/>
          <w:sz w:val="30"/>
          <w:szCs w:val="30"/>
        </w:rPr>
        <w:t xml:space="preserve">6. Non-Functional Requirements</w:t>
      </w:r>
    </w:p>
    <w:p>
      <w:pPr>
        <w:pStyle w:val="ListParagraph"/>
        <w:numPr>
          <w:ilvl w:val="0"/>
          <w:numId w:val="2"/>
        </w:numPr>
        <w:spacing w:after="80"/>
      </w:pPr>
      <w:r>
        <w:t xml:space="preserve"/>
      </w:r>
      <w:r>
        <w:rPr>
          <w:rFonts w:ascii="Calibri" w:cs="Calibri" w:eastAsia="Calibri" w:hAnsi="Calibri"/>
          <w:color w:val="262626"/>
          <w:sz w:val="21"/>
          <w:szCs w:val="21"/>
        </w:rPr>
        <w:t xml:space="preserve">Architecture shall be state-agnostic: state and jurisdiction values shall be configuration-driven, not hardcoded, to support future multi-state expansion.</w:t>
      </w:r>
    </w:p>
    <w:p>
      <w:pPr>
        <w:pStyle w:val="ListParagraph"/>
        <w:numPr>
          <w:ilvl w:val="0"/>
          <w:numId w:val="2"/>
        </w:numPr>
        <w:spacing w:after="80"/>
      </w:pPr>
      <w:r>
        <w:t xml:space="preserve"/>
      </w:r>
      <w:r>
        <w:rPr>
          <w:rFonts w:ascii="Calibri" w:cs="Calibri" w:eastAsia="Calibri" w:hAnsi="Calibri"/>
          <w:color w:val="262626"/>
          <w:sz w:val="21"/>
          <w:szCs w:val="21"/>
        </w:rPr>
        <w:t xml:space="preserve">Data storage shall use PostgreSQL with PostGIS for geospatial data.</w:t>
      </w:r>
    </w:p>
    <w:p>
      <w:pPr>
        <w:pStyle w:val="ListParagraph"/>
        <w:numPr>
          <w:ilvl w:val="0"/>
          <w:numId w:val="2"/>
        </w:numPr>
        <w:spacing w:after="80"/>
      </w:pPr>
      <w:r>
        <w:t xml:space="preserve"/>
      </w:r>
      <w:r>
        <w:rPr>
          <w:rFonts w:ascii="Calibri" w:cs="Calibri" w:eastAsia="Calibri" w:hAnsi="Calibri"/>
          <w:color w:val="262626"/>
          <w:sz w:val="21"/>
          <w:szCs w:val="21"/>
        </w:rPr>
        <w:t xml:space="preserve">The underlying data model shall follow a shared Entity / Relationship / Event / Source / SpatialContext schema capable of supporting future verticals without redesign.</w:t>
      </w:r>
    </w:p>
    <w:p>
      <w:pPr>
        <w:pStyle w:val="ListParagraph"/>
        <w:numPr>
          <w:ilvl w:val="0"/>
          <w:numId w:val="2"/>
        </w:numPr>
        <w:spacing w:after="80"/>
      </w:pPr>
      <w:r>
        <w:t xml:space="preserve"/>
      </w:r>
      <w:r>
        <w:rPr>
          <w:rFonts w:ascii="Calibri" w:cs="Calibri" w:eastAsia="Calibri" w:hAnsi="Calibri"/>
          <w:color w:val="262626"/>
          <w:sz w:val="21"/>
          <w:szCs w:val="21"/>
        </w:rPr>
        <w:t xml:space="preserve">The system shall be operable by a single developer on a nights-and-weekends schedule; features shall be sequenced to defer anything requiring a team.</w:t>
      </w:r>
    </w:p>
    <w:p>
      <w:pPr>
        <w:pStyle w:val="ListParagraph"/>
        <w:numPr>
          <w:ilvl w:val="0"/>
          <w:numId w:val="2"/>
        </w:numPr>
        <w:spacing w:after="80"/>
      </w:pPr>
      <w:r>
        <w:t xml:space="preserve"/>
      </w:r>
      <w:r>
        <w:rPr>
          <w:rFonts w:ascii="Calibri" w:cs="Calibri" w:eastAsia="Calibri" w:hAnsi="Calibri"/>
          <w:color w:val="262626"/>
          <w:sz w:val="21"/>
          <w:szCs w:val="21"/>
        </w:rPr>
        <w:t xml:space="preserve">LLM usage shall be cost-aware, given eventual scaling to nationwide bill volume (150,000+ bills/year at full scale).</w:t>
      </w:r>
    </w:p>
    <w:p>
      <w:pPr>
        <w:pStyle w:val="ListParagraph"/>
        <w:numPr>
          <w:ilvl w:val="0"/>
          <w:numId w:val="2"/>
        </w:numPr>
        <w:spacing w:after="80"/>
      </w:pPr>
      <w:r>
        <w:t xml:space="preserve"/>
      </w:r>
      <w:r>
        <w:rPr>
          <w:rFonts w:ascii="Calibri" w:cs="Calibri" w:eastAsia="Calibri" w:hAnsi="Calibri"/>
          <w:color w:val="262626"/>
          <w:sz w:val="21"/>
          <w:szCs w:val="21"/>
        </w:rPr>
        <w:t xml:space="preserve">MVP shall be hosted on Bernal Labs' existing home lab infrastructure: LLM inference (Ollama) on the Powerstation (Ryzen 9800X3D / RTX 5070), the application and Postgres/PostGIS database on the Omen Proxmox host via a dedicated Docker Host VM, exposed publicly via Cloudflare Tunnel.</w:t>
      </w:r>
    </w:p>
    <w:p>
      <w:pPr>
        <w:pStyle w:val="ListParagraph"/>
        <w:numPr>
          <w:ilvl w:val="0"/>
          <w:numId w:val="2"/>
        </w:numPr>
        <w:spacing w:after="80"/>
      </w:pPr>
      <w:r>
        <w:t xml:space="preserve"/>
      </w:r>
      <w:r>
        <w:rPr>
          <w:rFonts w:ascii="Calibri" w:cs="Calibri" w:eastAsia="Calibri" w:hAnsi="Calibri"/>
          <w:color w:val="262626"/>
          <w:sz w:val="21"/>
          <w:szCs w:val="21"/>
        </w:rPr>
        <w:t xml:space="preserve">Database backups shall be stored off-box (e.g., automated dumps to S3) regardless of local hosting, to protect against local hardware failure.</w:t>
      </w:r>
    </w:p>
    <w:p>
      <w:pPr>
        <w:pStyle w:val="ListParagraph"/>
        <w:numPr>
          <w:ilvl w:val="0"/>
          <w:numId w:val="2"/>
        </w:numPr>
        <w:spacing w:after="80"/>
      </w:pPr>
      <w:r>
        <w:t xml:space="preserve"/>
      </w:r>
      <w:r>
        <w:rPr>
          <w:rFonts w:ascii="Calibri" w:cs="Calibri" w:eastAsia="Calibri" w:hAnsi="Calibri"/>
          <w:color w:val="262626"/>
          <w:sz w:val="21"/>
          <w:szCs w:val="21"/>
        </w:rPr>
        <w:t xml:space="preserve">Architecture shall support a clean migration path from local hosting to AWS (RDS, Lambda/ECS, S3) once traffic or reliability needs exceed what home infrastructure can support — favoring containerization now so that transition does not require a rebuild.</w:t>
      </w:r>
    </w:p>
    <w:p>
      <w:pPr>
        <w:pStyle w:val="Heading1"/>
        <w:pBdr>
          <w:bottom w:val="single" w:color="B08D57" w:sz="6" w:space="2"/>
        </w:pBdr>
        <w:spacing w:after="200" w:before="400"/>
      </w:pPr>
      <w:r>
        <w:rPr>
          <w:rFonts w:ascii="Calibri" w:cs="Calibri" w:eastAsia="Calibri" w:hAnsi="Calibri"/>
          <w:b/>
          <w:bCs/>
          <w:color w:val="1F3A5F"/>
          <w:sz w:val="30"/>
          <w:szCs w:val="30"/>
        </w:rPr>
        <w:t xml:space="preserve">7. Data Sources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380"/>
      </w:tblGrid>
      <w:tr>
        <w:trPr>
          <w:tblHeader/>
        </w:trPr>
        <w:tc>
          <w:tcPr>
            <w:tcW w:type="dxa" w:w="2600"/>
            <w:shd w:fill="1F3A5F" w:color="1F3A5F" w:val="clear"/>
            <w:tcMar>
              <w:top w:type="dxa" w:w="80"/>
              <w:left w:type="dxa" w:w="100"/>
              <w:bottom w:type="dxa" w:w="80"/>
              <w:right w:type="dxa" w:w="100"/>
            </w:tcMar>
          </w:tcPr>
          <w:p>
            <w:r>
              <w:rPr>
                <w:rFonts w:ascii="Calibri" w:cs="Calibri" w:eastAsia="Calibri" w:hAnsi="Calibri"/>
                <w:b/>
                <w:bCs/>
                <w:color w:val="FFFFFF"/>
                <w:sz w:val="20"/>
                <w:szCs w:val="20"/>
              </w:rPr>
              <w:t xml:space="preserve">Source</w:t>
            </w:r>
          </w:p>
        </w:tc>
        <w:tc>
          <w:tcPr>
            <w:tcW w:type="dxa" w:w="3500"/>
            <w:shd w:fill="1F3A5F" w:color="1F3A5F"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380"/>
            <w:shd w:fill="1F3A5F" w:color="1F3A5F"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LegiScan</w:t>
            </w:r>
          </w:p>
        </w:tc>
        <w:tc>
          <w:tcPr>
            <w:tcW w:type="dxa" w:w="35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Florida state bill text, status, sponsors, votes</w:t>
            </w:r>
          </w:p>
        </w:tc>
        <w:tc>
          <w:tcPr>
            <w:tcW w:type="dxa" w:w="33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Free public tier: 30,000 queries/month; weekly bulk archives (JSON/CSV) also available</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Open States / Plural</w:t>
            </w:r>
          </w:p>
        </w:tc>
        <w:tc>
          <w:tcPr>
            <w:tcW w:type="dxa" w:w="35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Supplementary state legislative + legislator data</w:t>
            </w:r>
          </w:p>
        </w:tc>
        <w:tc>
          <w:tcPr>
            <w:tcW w:type="dxa" w:w="33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Free, covers all 50 states</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Legistar (Miami, Jacksonville)</w:t>
            </w:r>
          </w:p>
        </w:tc>
        <w:tc>
          <w:tcPr>
            <w:tcW w:type="dxa" w:w="35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Local council agendas and legislation</w:t>
            </w:r>
          </w:p>
        </w:tc>
        <w:tc>
          <w:tcPr>
            <w:tcW w:type="dxa" w:w="33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Both cities confirmed on the Legistar platform; other FL cities not yet confirmed</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U.S. Census Bureau — TIGER/Line Shapefiles</w:t>
            </w:r>
          </w:p>
        </w:tc>
        <w:tc>
          <w:tcPr>
            <w:tcW w:type="dxa" w:w="35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Geographic boundary/polygon data for the map view (county, district, tract)</w:t>
            </w:r>
          </w:p>
        </w:tc>
        <w:tc>
          <w:tcPr>
            <w:tcW w:type="dxa" w:w="33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Free; MVP use — required for map geometry regardless of demographic features</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U.S. Census Bureau — American Community Survey (ACS) API</w:t>
            </w:r>
          </w:p>
        </w:tc>
        <w:tc>
          <w:tcPr>
            <w:tcW w:type="dxa" w:w="35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Demographic overlays (income, renter/owner status, population) to quantify “who it affects”</w:t>
            </w:r>
          </w:p>
        </w:tc>
        <w:tc>
          <w:tcPr>
            <w:tcW w:type="dxa" w:w="33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Free; Phase 2 — 5-year rolling estimates, not a real-time snapshot; margins of error should be surfaced, not hidden</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Bureau of Labor Statistics (BLS)</w:t>
            </w:r>
          </w:p>
        </w:tc>
        <w:tc>
          <w:tcPr>
            <w:tcW w:type="dxa" w:w="35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Industry employment data for economic-impact overlays</w:t>
            </w:r>
          </w:p>
        </w:tc>
        <w:tc>
          <w:tcPr>
            <w:tcW w:type="dxa" w:w="33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Free; Phase 2, paired with Census demographic overlays</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GDELT</w:t>
            </w:r>
          </w:p>
        </w:tc>
        <w:tc>
          <w:tcPr>
            <w:tcW w:type="dxa" w:w="35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News headline matching (Phase 1); tone/sentiment data (Phase 2)</w:t>
            </w:r>
          </w:p>
        </w:tc>
        <w:tc>
          <w:tcPr>
            <w:tcW w:type="dxa" w:w="33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Free, real-time global news monitoring</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Google Civic Information API</w:t>
            </w:r>
          </w:p>
        </w:tc>
        <w:tc>
          <w:tcPr>
            <w:tcW w:type="dxa" w:w="35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Ballot lookup by address</w:t>
            </w:r>
          </w:p>
        </w:tc>
        <w:tc>
          <w:tcPr>
            <w:tcW w:type="dxa" w:w="33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Phase 3 only</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Congress.gov / ProPublica Congress API / GovTrack</w:t>
            </w:r>
          </w:p>
        </w:tc>
        <w:tc>
          <w:tcPr>
            <w:tcW w:type="dxa" w:w="35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Federal bill text, votes, sponsors; Senator/Representative and Presidential entity data</w:t>
            </w:r>
          </w:p>
        </w:tc>
        <w:tc>
          <w:tcPr>
            <w:tcW w:type="dxa" w:w="33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Nationwide phase only — candidate sources to be evaluated when federal expansion begins</w:t>
            </w:r>
          </w:p>
        </w:tc>
      </w:tr>
    </w:tbl>
    <w:p>
      <w:pPr>
        <w:pStyle w:val="Heading1"/>
        <w:pBdr>
          <w:bottom w:val="single" w:color="B08D57" w:sz="6" w:space="2"/>
        </w:pBdr>
        <w:spacing w:after="200" w:before="400"/>
      </w:pPr>
      <w:r>
        <w:rPr>
          <w:rFonts w:ascii="Calibri" w:cs="Calibri" w:eastAsia="Calibri" w:hAnsi="Calibri"/>
          <w:b/>
          <w:bCs/>
          <w:color w:val="1F3A5F"/>
          <w:sz w:val="30"/>
          <w:szCs w:val="30"/>
        </w:rPr>
        <w:t xml:space="preserve">8. Representative User Stories</w:t>
      </w:r>
    </w:p>
    <w:p>
      <w:pPr>
        <w:pStyle w:val="ListParagraph"/>
        <w:numPr>
          <w:ilvl w:val="0"/>
          <w:numId w:val="2"/>
        </w:numPr>
        <w:spacing w:after="80"/>
      </w:pPr>
      <w:r>
        <w:t xml:space="preserve"/>
      </w:r>
      <w:r>
        <w:rPr>
          <w:rFonts w:ascii="Calibri" w:cs="Calibri" w:eastAsia="Calibri" w:hAnsi="Calibri"/>
          <w:color w:val="262626"/>
          <w:sz w:val="21"/>
          <w:szCs w:val="21"/>
        </w:rPr>
        <w:t xml:space="preserve">As a Florida resident, I want to see a plain-language summary of a new state bill so that I can understand what it does without reading legal text.</w:t>
      </w:r>
    </w:p>
    <w:p>
      <w:pPr>
        <w:pStyle w:val="ListParagraph"/>
        <w:numPr>
          <w:ilvl w:val="0"/>
          <w:numId w:val="2"/>
        </w:numPr>
        <w:spacing w:after="80"/>
      </w:pPr>
      <w:r>
        <w:t xml:space="preserve"/>
      </w:r>
      <w:r>
        <w:rPr>
          <w:rFonts w:ascii="Calibri" w:cs="Calibri" w:eastAsia="Calibri" w:hAnsi="Calibri"/>
          <w:color w:val="262626"/>
          <w:sz w:val="21"/>
          <w:szCs w:val="21"/>
        </w:rPr>
        <w:t xml:space="preserve">As a renter in Miami, I want to see whether a local ordinance affects my neighborhood on a map so that I know if it's relevant to me.</w:t>
      </w:r>
    </w:p>
    <w:p>
      <w:pPr>
        <w:pStyle w:val="ListParagraph"/>
        <w:numPr>
          <w:ilvl w:val="0"/>
          <w:numId w:val="2"/>
        </w:numPr>
        <w:spacing w:after="80"/>
      </w:pPr>
      <w:r>
        <w:t xml:space="preserve"/>
      </w:r>
      <w:r>
        <w:rPr>
          <w:rFonts w:ascii="Calibri" w:cs="Calibri" w:eastAsia="Calibri" w:hAnsi="Calibri"/>
          <w:color w:val="262626"/>
          <w:sz w:val="21"/>
          <w:szCs w:val="21"/>
        </w:rPr>
        <w:t xml:space="preserve">As a skeptical reader, I want to expand a bill's sources so that I can verify the summary myself.</w:t>
      </w:r>
    </w:p>
    <w:p>
      <w:pPr>
        <w:pStyle w:val="ListParagraph"/>
        <w:numPr>
          <w:ilvl w:val="0"/>
          <w:numId w:val="2"/>
        </w:numPr>
        <w:spacing w:after="80"/>
      </w:pPr>
      <w:r>
        <w:t xml:space="preserve"/>
      </w:r>
      <w:r>
        <w:rPr>
          <w:rFonts w:ascii="Calibri" w:cs="Calibri" w:eastAsia="Calibri" w:hAnsi="Calibri"/>
          <w:color w:val="262626"/>
          <w:sz w:val="21"/>
          <w:szCs w:val="21"/>
        </w:rPr>
        <w:t xml:space="preserve">As any user, I want the homepage to default to Florida/my city automatically so that I don't have to search for local content.</w:t>
      </w:r>
    </w:p>
    <w:p>
      <w:pPr>
        <w:pStyle w:val="ListParagraph"/>
        <w:numPr>
          <w:ilvl w:val="0"/>
          <w:numId w:val="2"/>
        </w:numPr>
        <w:spacing w:after="80"/>
      </w:pPr>
      <w:r>
        <w:t xml:space="preserve"/>
      </w:r>
      <w:r>
        <w:rPr>
          <w:rFonts w:ascii="Calibri" w:cs="Calibri" w:eastAsia="Calibri" w:hAnsi="Calibri"/>
          <w:color w:val="262626"/>
          <w:sz w:val="21"/>
          <w:szCs w:val="21"/>
        </w:rPr>
        <w:t xml:space="preserve">As a journalist, I want to access the same sourced data as the public view so that I can independently verify a claim I plan to cite.</w:t>
      </w:r>
    </w:p>
    <w:p>
      <w:pPr>
        <w:pStyle w:val="Heading1"/>
        <w:pBdr>
          <w:bottom w:val="single" w:color="B08D57" w:sz="6" w:space="2"/>
        </w:pBdr>
        <w:spacing w:after="200" w:before="400"/>
      </w:pPr>
      <w:r>
        <w:rPr>
          <w:rFonts w:ascii="Calibri" w:cs="Calibri" w:eastAsia="Calibri" w:hAnsi="Calibri"/>
          <w:b/>
          <w:bCs/>
          <w:color w:val="1F3A5F"/>
          <w:sz w:val="30"/>
          <w:szCs w:val="30"/>
        </w:rPr>
        <w:t xml:space="preserve">9. Assumptions and Dependencies</w:t>
      </w:r>
    </w:p>
    <w:p>
      <w:pPr>
        <w:pStyle w:val="ListParagraph"/>
        <w:numPr>
          <w:ilvl w:val="0"/>
          <w:numId w:val="2"/>
        </w:numPr>
        <w:spacing w:after="80"/>
      </w:pPr>
      <w:r>
        <w:t xml:space="preserve"/>
      </w:r>
      <w:r>
        <w:rPr>
          <w:rFonts w:ascii="Calibri" w:cs="Calibri" w:eastAsia="Calibri" w:hAnsi="Calibri"/>
          <w:color w:val="262626"/>
          <w:sz w:val="21"/>
          <w:szCs w:val="21"/>
        </w:rPr>
        <w:t xml:space="preserve">LegiScan and Open States/Plural remain freely accessible at current terms through MVP development.</w:t>
      </w:r>
    </w:p>
    <w:p>
      <w:pPr>
        <w:pStyle w:val="ListParagraph"/>
        <w:numPr>
          <w:ilvl w:val="0"/>
          <w:numId w:val="2"/>
        </w:numPr>
        <w:spacing w:after="80"/>
      </w:pPr>
      <w:r>
        <w:t xml:space="preserve"/>
      </w:r>
      <w:r>
        <w:rPr>
          <w:rFonts w:ascii="Calibri" w:cs="Calibri" w:eastAsia="Calibri" w:hAnsi="Calibri"/>
          <w:color w:val="262626"/>
          <w:sz w:val="21"/>
          <w:szCs w:val="21"/>
        </w:rPr>
        <w:t xml:space="preserve">Miami and Jacksonville's Legistar systems remain publicly scrapeable/queryable without authentication barriers.</w:t>
      </w:r>
    </w:p>
    <w:p>
      <w:pPr>
        <w:pStyle w:val="ListParagraph"/>
        <w:numPr>
          <w:ilvl w:val="0"/>
          <w:numId w:val="2"/>
        </w:numPr>
        <w:spacing w:after="80"/>
      </w:pPr>
      <w:r>
        <w:t xml:space="preserve"/>
      </w:r>
      <w:r>
        <w:rPr>
          <w:rFonts w:ascii="Calibri" w:cs="Calibri" w:eastAsia="Calibri" w:hAnsi="Calibri"/>
          <w:color w:val="262626"/>
          <w:sz w:val="21"/>
          <w:szCs w:val="21"/>
        </w:rPr>
        <w:t xml:space="preserve">LLM summarization quality is sufficient for public use after prompt iteration (validated as a build-order gate, see Roadmap).</w:t>
      </w:r>
    </w:p>
    <w:p>
      <w:pPr>
        <w:pStyle w:val="Heading1"/>
        <w:pBdr>
          <w:bottom w:val="single" w:color="B08D57" w:sz="6" w:space="2"/>
        </w:pBdr>
        <w:spacing w:after="200" w:before="400"/>
      </w:pPr>
      <w:r>
        <w:rPr>
          <w:rFonts w:ascii="Calibri" w:cs="Calibri" w:eastAsia="Calibri" w:hAnsi="Calibri"/>
          <w:b/>
          <w:bCs/>
          <w:color w:val="1F3A5F"/>
          <w:sz w:val="30"/>
          <w:szCs w:val="30"/>
        </w:rPr>
        <w:t xml:space="preserve">10. Out of Scope</w:t>
      </w:r>
    </w:p>
    <w:p>
      <w:pPr>
        <w:pStyle w:val="ListParagraph"/>
        <w:numPr>
          <w:ilvl w:val="0"/>
          <w:numId w:val="2"/>
        </w:numPr>
        <w:spacing w:after="80"/>
      </w:pPr>
      <w:r>
        <w:t xml:space="preserve"/>
      </w:r>
      <w:r>
        <w:rPr>
          <w:rFonts w:ascii="Calibri" w:cs="Calibri" w:eastAsia="Calibri" w:hAnsi="Calibri"/>
          <w:color w:val="262626"/>
          <w:sz w:val="21"/>
          <w:szCs w:val="21"/>
        </w:rPr>
        <w:t xml:space="preserve">Open/crowdsourced editing of bill data.</w:t>
      </w:r>
    </w:p>
    <w:p>
      <w:pPr>
        <w:pStyle w:val="ListParagraph"/>
        <w:numPr>
          <w:ilvl w:val="0"/>
          <w:numId w:val="2"/>
        </w:numPr>
        <w:spacing w:after="80"/>
      </w:pPr>
      <w:r>
        <w:t xml:space="preserve"/>
      </w:r>
      <w:r>
        <w:rPr>
          <w:rFonts w:ascii="Calibri" w:cs="Calibri" w:eastAsia="Calibri" w:hAnsi="Calibri"/>
          <w:color w:val="262626"/>
          <w:sz w:val="21"/>
          <w:szCs w:val="21"/>
        </w:rPr>
        <w:t xml:space="preserve">Per-address ballot or district lookup.</w:t>
      </w:r>
    </w:p>
    <w:p>
      <w:pPr>
        <w:pStyle w:val="ListParagraph"/>
        <w:numPr>
          <w:ilvl w:val="0"/>
          <w:numId w:val="2"/>
        </w:numPr>
        <w:spacing w:after="80"/>
      </w:pPr>
      <w:r>
        <w:t xml:space="preserve"/>
      </w:r>
      <w:r>
        <w:rPr>
          <w:rFonts w:ascii="Calibri" w:cs="Calibri" w:eastAsia="Calibri" w:hAnsi="Calibri"/>
          <w:color w:val="262626"/>
          <w:sz w:val="21"/>
          <w:szCs w:val="21"/>
        </w:rPr>
        <w:t xml:space="preserve">Sentiment scoring, stance classification, rhetoric-vs-substance detection.</w:t>
      </w:r>
    </w:p>
    <w:p>
      <w:pPr>
        <w:pStyle w:val="ListParagraph"/>
        <w:numPr>
          <w:ilvl w:val="0"/>
          <w:numId w:val="2"/>
        </w:numPr>
        <w:spacing w:after="80"/>
      </w:pPr>
      <w:r>
        <w:t xml:space="preserve"/>
      </w:r>
      <w:r>
        <w:rPr>
          <w:rFonts w:ascii="Calibri" w:cs="Calibri" w:eastAsia="Calibri" w:hAnsi="Calibri"/>
          <w:color w:val="262626"/>
          <w:sz w:val="21"/>
          <w:szCs w:val="21"/>
        </w:rPr>
        <w:t xml:space="preserve">Any donation/giving aggregator functionality.</w:t>
      </w:r>
    </w:p>
    <w:p>
      <w:pPr>
        <w:pStyle w:val="ListParagraph"/>
        <w:numPr>
          <w:ilvl w:val="0"/>
          <w:numId w:val="2"/>
        </w:numPr>
        <w:spacing w:after="80"/>
      </w:pPr>
      <w:r>
        <w:t xml:space="preserve"/>
      </w:r>
      <w:r>
        <w:rPr>
          <w:rFonts w:ascii="Calibri" w:cs="Calibri" w:eastAsia="Calibri" w:hAnsi="Calibri"/>
          <w:color w:val="262626"/>
          <w:sz w:val="21"/>
          <w:szCs w:val="21"/>
        </w:rPr>
        <w:t xml:space="preserve">Additional verticals beyond bill tracking.</w:t>
      </w:r>
    </w:p>
    <w:p>
      <w:pPr>
        <w:pStyle w:val="ListParagraph"/>
        <w:numPr>
          <w:ilvl w:val="0"/>
          <w:numId w:val="2"/>
        </w:numPr>
        <w:spacing w:after="80"/>
      </w:pPr>
      <w:r>
        <w:t xml:space="preserve"/>
      </w:r>
      <w:r>
        <w:rPr>
          <w:rFonts w:ascii="Calibri" w:cs="Calibri" w:eastAsia="Calibri" w:hAnsi="Calibri"/>
          <w:color w:val="262626"/>
          <w:sz w:val="21"/>
          <w:szCs w:val="21"/>
        </w:rPr>
        <w:t xml:space="preserve">Monetization of any kind.</w:t>
      </w:r>
    </w:p>
    <w:p>
      <w:pPr>
        <w:pStyle w:val="Heading1"/>
        <w:pBdr>
          <w:bottom w:val="single" w:color="B08D57" w:sz="6" w:space="2"/>
        </w:pBdr>
        <w:spacing w:after="200" w:before="400"/>
      </w:pPr>
      <w:r>
        <w:rPr>
          <w:rFonts w:ascii="Calibri" w:cs="Calibri" w:eastAsia="Calibri" w:hAnsi="Calibri"/>
          <w:b/>
          <w:bCs/>
          <w:color w:val="1F3A5F"/>
          <w:sz w:val="30"/>
          <w:szCs w:val="30"/>
        </w:rPr>
        <w:t xml:space="preserve">11. Glossary</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6880"/>
      </w:tblGrid>
      <w:tr>
        <w:trPr>
          <w:tblHeader/>
        </w:trPr>
        <w:tc>
          <w:tcPr>
            <w:tcW w:type="dxa" w:w="2600"/>
            <w:shd w:fill="1F3A5F" w:color="1F3A5F"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6880"/>
            <w:shd w:fill="1F3A5F" w:color="1F3A5F" w:val="clear"/>
            <w:tcMar>
              <w:top w:type="dxa" w:w="80"/>
              <w:left w:type="dxa" w:w="100"/>
              <w:bottom w:type="dxa" w:w="80"/>
              <w:right w:type="dxa" w:w="100"/>
            </w:tcMar>
          </w:tcPr>
          <w:p>
            <w:r>
              <w:rPr>
                <w:rFonts w:ascii="Calibri" w:cs="Calibri" w:eastAsia="Calibri" w:hAnsi="Calibri"/>
                <w:b/>
                <w:bCs/>
                <w:color w:val="FFFFFF"/>
                <w:sz w:val="20"/>
                <w:szCs w:val="20"/>
              </w:rPr>
              <w:t xml:space="preserve">Definition</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Entity</w:t>
            </w:r>
          </w:p>
        </w:tc>
        <w:tc>
          <w:tcPr>
            <w:tcW w:type="dxa" w:w="68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A node in the civic intelligence graph representing a person, company, or government body</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Relationship</w:t>
            </w:r>
          </w:p>
        </w:tc>
        <w:tc>
          <w:tcPr>
            <w:tcW w:type="dxa" w:w="68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A modeled connection between two entities (e.g., sponsor, donor, owner)</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Event</w:t>
            </w:r>
          </w:p>
        </w:tc>
        <w:tc>
          <w:tcPr>
            <w:tcW w:type="dxa" w:w="68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A dated occurrence tied to an entity (e.g., bill filed, statement made, violation issued)</w:t>
            </w:r>
          </w:p>
        </w:tc>
      </w:tr>
      <w:tr>
        <w:tc>
          <w:tcPr>
            <w:tcW w:type="dxa" w:w="260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Source</w:t>
            </w:r>
          </w:p>
        </w:tc>
        <w:tc>
          <w:tcPr>
            <w:tcW w:type="dxa" w:w="6880"/>
            <w:shd w:fill="F2F2F2" w:color="F2F2F2" w:val="clear"/>
            <w:tcMar>
              <w:top w:type="dxa" w:w="80"/>
              <w:left w:type="dxa" w:w="100"/>
              <w:bottom w:type="dxa" w:w="80"/>
              <w:right w:type="dxa" w:w="100"/>
            </w:tcMar>
          </w:tcPr>
          <w:p>
            <w:r>
              <w:rPr>
                <w:rFonts w:ascii="Calibri" w:cs="Calibri" w:eastAsia="Calibri" w:hAnsi="Calibri"/>
                <w:color w:val="262626"/>
                <w:sz w:val="19"/>
                <w:szCs w:val="19"/>
              </w:rPr>
              <w:t xml:space="preserve">Provenance record (URL, document, retrieval date) attached to a fact at write-time</w:t>
            </w:r>
          </w:p>
        </w:tc>
      </w:tr>
      <w:tr>
        <w:tc>
          <w:tcPr>
            <w:tcW w:type="dxa" w:w="260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SpatialContext</w:t>
            </w:r>
          </w:p>
        </w:tc>
        <w:tc>
          <w:tcPr>
            <w:tcW w:type="dxa" w:w="6880"/>
            <w:shd w:fill="FFFFFF" w:color="FFFFFF" w:val="clear"/>
            <w:tcMar>
              <w:top w:type="dxa" w:w="80"/>
              <w:left w:type="dxa" w:w="100"/>
              <w:bottom w:type="dxa" w:w="80"/>
              <w:right w:type="dxa" w:w="100"/>
            </w:tcMar>
          </w:tcPr>
          <w:p>
            <w:r>
              <w:rPr>
                <w:rFonts w:ascii="Calibri" w:cs="Calibri" w:eastAsia="Calibri" w:hAnsi="Calibri"/>
                <w:color w:val="262626"/>
                <w:sz w:val="19"/>
                <w:szCs w:val="19"/>
              </w:rPr>
              <w:t xml:space="preserve">The PostGIS geographic polygon associated with a bill, entity, or event</w:t>
            </w:r>
          </w:p>
        </w:tc>
      </w:tr>
    </w:tbl>
    <w:p>
      <w:pPr>
        <w:pBdr>
          <w:top w:val="single" w:color="BFBFBF" w:sz="4" w:space="4"/>
        </w:pBdr>
        <w:spacing w:before="400"/>
      </w:pPr>
      <w:r>
        <w:rPr>
          <w:rFonts w:ascii="Calibri" w:cs="Calibri" w:eastAsia="Calibri" w:hAnsi="Calibri"/>
          <w:i/>
          <w:iCs/>
          <w:color w:val="595959"/>
          <w:sz w:val="17"/>
          <w:szCs w:val="17"/>
        </w:rPr>
        <w:t xml:space="preserve">Sunshine Ledger — Business Requirements Document — Draft v0.1 — Bernal Labs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2026-07-23T13:36:49.166Z</dcterms:created>
  <dcterms:modified xsi:type="dcterms:W3CDTF">2026-07-23T13:36:49.166Z</dcterms:modified>
</cp:coreProperties>
</file>

<file path=docProps/custom.xml><?xml version="1.0" encoding="utf-8"?>
<Properties xmlns="http://schemas.openxmlformats.org/officeDocument/2006/custom-properties" xmlns:vt="http://schemas.openxmlformats.org/officeDocument/2006/docPropsVTypes"/>
</file>