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B08D57"/>
          <w:spacing w:val="20"/>
          <w:sz w:val="24"/>
          <w:szCs w:val="24"/>
        </w:rPr>
        <w:t xml:space="preserve">SUNSHINE LEDGER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Phased Roadmap</w:t>
      </w:r>
    </w:p>
    <w:p>
      <w:pPr>
        <w:spacing w:after="600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A Bernal Labs Project</w:t>
      </w:r>
    </w:p>
    <w:p>
      <w:pPr>
        <w:pBdr>
          <w:bottom w:val="single" w:color="B08D57" w:sz="8" w:space="4"/>
        </w:pBdr>
        <w:spacing w:after="3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Version: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1.0 — Approved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Date: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July 22,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Related documents: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Project Charter, Business Requirements Document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B08D57" w:sz="6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Roadmap Overview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This roadmap sequences Sunshine Ledger from MVP through nationwide expansion, and separately sequences the build order for MVP itself, given solo, nights-and-weekends capacity. It also outlines how the additional Bernal Labs verticals (subsidies, eviction, environmental justice, and others) relate to this timeline without competing with it.</w:t>
      </w:r>
    </w:p>
    <w:p>
      <w:pPr>
        <w:pStyle w:val="Heading1"/>
        <w:pBdr>
          <w:bottom w:val="single" w:color="B08D57" w:sz="6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Phase 1 — MVP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Scope: one Florida legislative session; state bills via LegiScan/Open States; local bills for Miami and Jacksonville (both on Legistar).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Pipeline: bill text/status/sponsor pulled → LLM plain-language summary (“what it does” / “who it affects”) → geo-tagging → storage in Postgres/PostGIS with sources attached at write-time.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Frontend: browse/search, bill card with hidden-by-default sources, county/district-level map shading via U.S. Census TIGER/Line boundary geometry (not per-address).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No open editing — reviewed “flag this” form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Sentiment: thin, keyword-matched GDELT headlines, unscored.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Election tie-in: Florida election calendar surfaced against tracked bills, no scoring.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Homepage: IP-based geo-filter defaulting to Florida/local content.</w:t>
      </w:r>
    </w:p>
    <w:p>
      <w:pPr>
        <w:pStyle w:val="Heading1"/>
        <w:pBdr>
          <w:bottom w:val="single" w:color="B08D57" w:sz="6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Phase 2 — Rhetoric Layer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Full GDELT tone/sentiment data tied to each bill; stance classification.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Core differentiator: compare sponsors' public statements (press releases, floor speeches, social posts) against bill text to flag rhetoric-vs-substance gaps.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Granular impact mapping: legislative districts plus Census American Community Survey (ACS) and BLS demographic/economic overlays (income, renter/owner status, industry employment) so “who's affected” is data-backed, not descriptive — ACS margins of error surfaced alongside the figures, not hidden.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Local coverage expands via a small vetted-contributor tier, not open crowdsourcing.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User accounts, watchlists, and alerts.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Public methodology page describing sourcing and sentiment scoring.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Subsidy and eviction data begin feeding into entity pages as supporting context (not yet standalone modules).</w:t>
      </w:r>
    </w:p>
    <w:p>
      <w:pPr>
        <w:pStyle w:val="Heading1"/>
        <w:pBdr>
          <w:bottom w:val="single" w:color="B08D57" w:sz="6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Phase 3 — Ballot and Consistency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Full ballot lookup by address (Google Civic Information API), tying tracked bills/measures to specific candidates' recorded votes.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“Rhetoric consistency” score per official over time, drawing on the shared entity graph.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Deeper NLP: coordinated-messaging/narrative detection across outlets.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Local coverage shifts from scraping toward newsroom/open-data-city partnerships.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Team grows beyond solo: a data engineer and a policy/editorial reviewer become necessary.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Legal review checkpoint required before launch, given electioneering-content restrictions in some states.</w:t>
      </w:r>
    </w:p>
    <w:p>
      <w:pPr>
        <w:pStyle w:val="Heading1"/>
        <w:pBdr>
          <w:bottom w:val="single" w:color="B08D57" w:sz="6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Nationwide Expansion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Bill-side scaling is largely a cost/engineering problem if Phase 1 is built state-agnostic: LegiScan/Open States already cover all 50 states.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LLM summarization cost management at scale (150,000+ bills/year): caching, and a cheap triage model ahead of the higher-cost model for high-interest bills.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Local government remains the hardest part nationwide — no unified API exists; expansion prioritizes top metros and/or partnerships over full county coverage.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Broader reach increases legal/neutrality scrutiny, compounding the Phase 3 legal checkpoint.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08D57"/>
          <w:sz w:val="21"/>
          <w:szCs w:val="21"/>
        </w:rPr>
        <w:t xml:space="preserve">5.1 Federal Expansion — Congress and the Presidency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Once state-level nationwide coverage is stable, the same entity-graph pattern extends to federal officials: Senators, Representatives, and the President become entities with the same relationship and event types already used for state legislators — sponsorship, votes, public statements, and (via the Phase 2/3 rhetoric layer) a federal-level rhetoric-consistency score.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Data sources: Congress.gov and/or the ProPublica Congress API and GovTrack for federal bill text, votes, and sponsor data — evaluated for fit closer to this phase.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Executive branch tracking (the President) is qualitatively different from legislative tracking — statements, executive orders, and signing decisions rather than sponsorships and votes — and will likely need its own event types rather than reusing the bill-sponsorship model as-is.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Federal scope raises the electioneering/neutrality legal review (already flagged for Phase 3) to a national level — revisit legal counsel before federal officials are added, not after.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This is a long-term, explicitly post-nationwide-state-coverage goal — not part of MVP or early nationwide scope — documented here so the underlying schema is never built in a way that would block it.</w:t>
      </w:r>
    </w:p>
    <w:p>
      <w:pPr>
        <w:pStyle w:val="Heading1"/>
        <w:pBdr>
          <w:bottom w:val="single" w:color="B08D57" w:sz="6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Module Expansion Track (Other Bernal Labs Verticals)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These run alongside, not instead of, the phases above — sequenced by shared-entity value and data availability, not by novelty.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680"/>
      </w:tblGrid>
      <w:tr>
        <w:trPr>
          <w:tblHeader/>
        </w:trPr>
        <w:tc>
          <w:tcPr>
            <w:tcW w:type="dxa" w:w="1600"/>
            <w:shd w:fill="1F3A5F" w:color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Sequence</w:t>
            </w:r>
          </w:p>
        </w:tc>
        <w:tc>
          <w:tcPr>
            <w:tcW w:type="dxa" w:w="3200"/>
            <w:shd w:fill="1F3A5F" w:color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680"/>
            <w:shd w:fill="1F3A5F" w:color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60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Feeder data (Phase 2–3)</w:t>
            </w:r>
          </w:p>
        </w:tc>
        <w:tc>
          <w:tcPr>
            <w:tcW w:type="dxa" w:w="320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Subsidy &amp; eviction data</w:t>
            </w:r>
          </w:p>
        </w:tc>
        <w:tc>
          <w:tcPr>
            <w:tcW w:type="dxa" w:w="468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Ingested as supporting context on official/company entity pages before becoming standalone destinations — lower lift, proves cross-domain graph value early</w:t>
            </w:r>
          </w:p>
        </w:tc>
      </w:tr>
      <w:tr>
        <w:tc>
          <w:tcPr>
            <w:tcW w:type="dxa" w:w="16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2nd standalone module</w:t>
            </w:r>
          </w:p>
        </w:tc>
        <w:tc>
          <w:tcPr>
            <w:tcW w:type="dxa" w:w="32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Subsidy &amp; Tax Carve-Out Tracker</w:t>
            </w:r>
          </w:p>
        </w:tc>
        <w:tc>
          <w:tcPr>
            <w:tcW w:type="dxa" w:w="468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Clear FL disclosure data; extends entities already in the graph from bill sponsorship; clear existing benchmark (Good Jobs First) to differentiate against</w:t>
            </w:r>
          </w:p>
        </w:tc>
      </w:tr>
      <w:tr>
        <w:tc>
          <w:tcPr>
            <w:tcW w:type="dxa" w:w="160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3rd standalone module</w:t>
            </w:r>
          </w:p>
        </w:tc>
        <w:tc>
          <w:tcPr>
            <w:tcW w:type="dxa" w:w="320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Eviction / Slumlord Accountability</w:t>
            </w:r>
          </w:p>
        </w:tc>
        <w:tc>
          <w:tcPr>
            <w:tcW w:type="dxa" w:w="468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High public-interest payoff, but most data-fragmented (county-by-county courts) and most competitively crowded (Eviction Lab, AEMP)</w:t>
            </w:r>
          </w:p>
        </w:tc>
      </w:tr>
      <w:tr>
        <w:tc>
          <w:tcPr>
            <w:tcW w:type="dxa" w:w="16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Later / opportunistic</w:t>
            </w:r>
          </w:p>
        </w:tc>
        <w:tc>
          <w:tcPr>
            <w:tcW w:type="dxa" w:w="32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Environmental Justice, Infrastructure Tracker, Transit/Food Desert</w:t>
            </w:r>
          </w:p>
        </w:tc>
        <w:tc>
          <w:tcPr>
            <w:tcW w:type="dxa" w:w="468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Lean on more uniform federal/state data (EPA, Census); may prove easier to make state-agnostic than eviction</w:t>
            </w:r>
          </w:p>
        </w:tc>
      </w:tr>
      <w:tr>
        <w:tc>
          <w:tcPr>
            <w:tcW w:type="dxa" w:w="160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Deprioritized</w:t>
            </w:r>
          </w:p>
        </w:tc>
        <w:tc>
          <w:tcPr>
            <w:tcW w:type="dxa" w:w="320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Judicial Sentencing Matrix</w:t>
            </w:r>
          </w:p>
        </w:tc>
        <w:tc>
          <w:tcPr>
            <w:tcW w:type="dxa" w:w="468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Needs sentencing data many counties don't disclose cleanly; highest legal/defamation sensitivity; minimal entity overlap with other verticals; hold until legal backing or a specialized partner exists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The giving/CRM layer remains a thin layer activated per-module as each vertical goes live — it does not require its own phase, only a matching table connecting relevant organizations to each entity or polygon.</w:t>
      </w:r>
    </w:p>
    <w:p>
      <w:pPr>
        <w:pStyle w:val="Heading1"/>
        <w:pBdr>
          <w:bottom w:val="single" w:color="B08D57" w:sz="6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Infrastructure Plan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MVP hosting runs on existing Bernal Labs home lab infrastructure rather than cloud spend, with a defined migration path once a real user base materializes.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880"/>
      </w:tblGrid>
      <w:tr>
        <w:trPr>
          <w:tblHeader/>
        </w:trPr>
        <w:tc>
          <w:tcPr>
            <w:tcW w:type="dxa" w:w="3200"/>
            <w:shd w:fill="1F3A5F" w:color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00"/>
            <w:shd w:fill="1F3A5F" w:color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2880"/>
            <w:shd w:fill="1F3A5F" w:color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LLM inference (Ollama)</w:t>
            </w:r>
          </w:p>
        </w:tc>
        <w:tc>
          <w:tcPr>
            <w:tcW w:type="dxa" w:w="340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Powerstation (Ryzen 9800X3D / RTX 5070)</w:t>
            </w:r>
          </w:p>
        </w:tc>
        <w:tc>
          <w:tcPr>
            <w:tcW w:type="dxa" w:w="288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Woken via Wake-on-LAN for batch summarization runs; not required to be always-on</w:t>
            </w:r>
          </w:p>
        </w:tc>
      </w:tr>
      <w:tr>
        <w:tc>
          <w:tcPr>
            <w:tcW w:type="dxa" w:w="32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Application + Postgres/PostGIS</w:t>
            </w:r>
          </w:p>
        </w:tc>
        <w:tc>
          <w:tcPr>
            <w:tcW w:type="dxa" w:w="34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Omen (Proxmox host, Docker Host VM)</w:t>
            </w:r>
          </w:p>
        </w:tc>
        <w:tc>
          <w:tcPr>
            <w:tcW w:type="dxa" w:w="288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Always-on; Proxmox install complete</w:t>
            </w:r>
          </w:p>
        </w:tc>
      </w:tr>
      <w:tr>
        <w:tc>
          <w:tcPr>
            <w:tcW w:type="dxa" w:w="320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Public exposure</w:t>
            </w:r>
          </w:p>
        </w:tc>
        <w:tc>
          <w:tcPr>
            <w:tcW w:type="dxa" w:w="340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Cloudflare Tunnel from the Docker Host VM</w:t>
            </w:r>
          </w:p>
        </w:tc>
        <w:tc>
          <w:tcPr>
            <w:tcW w:type="dxa" w:w="2880"/>
            <w:shd w:fill="FFFFF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Avoids port-forwarding through the home gateway</w:t>
            </w:r>
          </w:p>
        </w:tc>
      </w:tr>
      <w:tr>
        <w:tc>
          <w:tcPr>
            <w:tcW w:type="dxa" w:w="32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Database backups</w:t>
            </w:r>
          </w:p>
        </w:tc>
        <w:tc>
          <w:tcPr>
            <w:tcW w:type="dxa" w:w="34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Off-box (e.g., automated dumps to S3)</w:t>
            </w:r>
          </w:p>
        </w:tc>
        <w:tc>
          <w:tcPr>
            <w:tcW w:type="dxa" w:w="288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Required regardless of local hosting, to protect against local hardware failure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Migration trigger: move to AWS (RDS, Lambda/ECS Fargate, S3, EventBridge, Terraform) once traffic, reliability needs, or team growth (Phase 3) exceed what home infrastructure can reasonably support. Containerizing all MVP services now keeps this a lift-and-shift rather than a rebuild.</w:t>
      </w:r>
    </w:p>
    <w:p>
      <w:pPr>
        <w:pStyle w:val="Heading1"/>
        <w:pBdr>
          <w:bottom w:val="single" w:color="B08D57" w:sz="6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8. MVP Build Order (Solo, Sequenced by Risk)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Sequenced to prove the riskiest and most load-bearing assumptions first, since a solo build cannot afford to invest heavily before validating the core premise.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Schema first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Design the Entity / Relationship / Event / Source / SpatialContext tables in Postgres/PostGIS before writing any pipeline code — this is the most expensive thing to redo later.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Validate summarization quality (GATE)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Manually run 15–20 real Florida bills through the LLM prompt for “what it does / who it affects” and evaluate the output critically before building any pipeline infrastructure around it.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One bill, end-to-end, by hand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Manually push a single bill through the full conceptual pipeline — pull, summarize, geo-tag, store, display with a source link — to prove the system's shape before automating it.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Automate the state bill pipeline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Build the real LegiScan/Open States integration and batch LLM processing at session scale, with source attachment at write-time.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Basic frontend: browse/search + bill card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Ship a working list view before touching the map — a real, demoable milestone.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6.  </w:t>
      </w: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County/district map view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Add PostGIS-driven shading once bills are flowing and displayable.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7.  </w:t>
      </w: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Local bills: Miami and Jacksonville only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Both confirmed on Legistar. Prove local ingestion works on these two before considering Fort Lauderdale, Tampa, or Orlando.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8.  </w:t>
      </w: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Sources UI + “flag this” form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Relatively low effort once the schema already stores sources properly from Step 1.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9.  </w:t>
      </w: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Homepage IP geo-filter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Simple, and more useful once there is more than one city/state of content to filter between.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10.  </w:t>
      </w: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Thin GDELT headline pull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Deliberately last — the least load-bearing MVP piece; build once remaining time/energy budget is clearer.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08D57"/>
          <w:sz w:val="21"/>
          <w:szCs w:val="21"/>
        </w:rPr>
        <w:t xml:space="preserve">Build Gates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After Step 2: be honest about summarization quality before building anything else on top of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After Step 7: be honest about how difficult local data really was — this determines whether 5-city MVP scope (per the Charter's future phases) is realistic, or whether launching with fewer, solid cities is the better call.</w:t>
      </w:r>
    </w:p>
    <w:p>
      <w:pPr>
        <w:pStyle w:val="Heading1"/>
        <w:pBdr>
          <w:bottom w:val="single" w:color="B08D57" w:sz="6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9. Open Decisions Before Formal Sign-Off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Final domain/trademark clearance for “Sunshine Ledger.”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Whether Tampa's and Fort Lauderdale's/Orlando's agenda systems are scrapeable, to inform future local-city sequencing beyond Miami/Jacksonville.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GDELT access method and rate limits, to be confirmed before Step 10.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Confirm actual Powerstation GPU VRAM (RTX 5070) via nvidia-smi — spec calls for 12GB, Windows reported 4GB — before finalizing local Ollama model size.</w:t>
      </w:r>
    </w:p>
    <w:p>
      <w:pPr>
        <w:pBdr>
          <w:top w:val="single" w:color="BFBFBF" w:sz="4" w:space="4"/>
        </w:pBdr>
        <w:spacing w:before="40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Sunshine Ledger — Phased Roadmap — Draft v0.1 — Bernal Labs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2026-07-23T13:36:49.192Z</dcterms:created>
  <dcterms:modified xsi:type="dcterms:W3CDTF">2026-07-23T13:36:49.192Z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