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B08D57"/>
          <w:spacing w:val="20"/>
          <w:sz w:val="24"/>
          <w:szCs w:val="24"/>
        </w:rPr>
        <w:t xml:space="preserve">SUNSHINE LEDGER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Project Charter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A Bernal Labs Project</w:t>
      </w:r>
    </w:p>
    <w:p>
      <w:pPr>
        <w:pBdr>
          <w:bottom w:val="single" w:color="B08D57" w:sz="8" w:space="4"/>
        </w:pBdr>
        <w:spacing w:after="3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Version: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1.0 — Approved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Date: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July 22,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Owner: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Bernal Labs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Status: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Approved for Development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Project Overview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Sunshine Ledger is a civic transparency platform that tracks Florida state and local legislation, translates bill text into a plain-language summary of what it does and who it affects, and maps that impact geographically. It is the first vertical built on a shared, domain-agnostic civic intelligence graph designed to eventually support additional accountability domains (public subsidies, eviction/housing, environmental justice, and others) under the Bernal Labs umbrella.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name references both Florida's identity as the "Sunshine State" and the state's sunshine (open-records) laws, and pairs it with "Ledger" to signal an accurate, durable record rather than a one-off news product.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Legislative text is written for lawyers and lobbyists, not the public — most residents have no practical way to know what a bill actually does or whether it affects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Existing plain-language bill trackers (BillBoard, NJ Bill Tracker) and professional legislative tools (Quorum, FastDemocracy, State Net) either lack geographic “who does this affect” framing, are federal-only, or are priced for lobbyists and advocacy organizations rather than the public.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Public statements made by sponsors and officials are rarely checked against the substance of the legislation they are describing, leaving a gap between political rhetoric and legislative reality.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Local government legislation (city and county) is even less visible than state legislation, with no unified data source across jurisdictions.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Mission and 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Public-first: the primary user is the general public, not institutions. Advocacy groups, campaigns, journalists, and legal organizations may use the platform, but the product is not designed around their needs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Skim, then verify: every bill defaults to a plain-language summary. Full sourcing and citations are always tracked and always available, but hidden until requested.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Expose patterns, don't author verdicts: where the data reveals something troubling (e.g., an entity appearing across multiple domains), the platform surfaces the connection rather than making an editorial accusation.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State-agnostic by design: even though the MVP targets Florida only, the underlying architecture must not hardcode Florida-specific logic, to support state-by-state expansion without a rebuild.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Scope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08D57"/>
          <w:sz w:val="21"/>
          <w:szCs w:val="21"/>
        </w:rPr>
        <w:t xml:space="preserve">In scope for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Florida state legislation for one legislative session (via LegiScan / Open States).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Local legislation for Miami and Jacksonville, both of which run on the Legistar platform.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Plain-language bill summaries (“what this does” / “who it affects”) generated via LLM.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County/district-level map view of bill impact.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Hidden-by-default, expandable source citations for every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 reviewed “flag this” feedback form (no open/crowdsourced editing).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Homepage geo-filtering to the user's local/state content (IP-based).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 thin, unscored news-headline layer via GDELT.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Surfacing of Florida's election calendar in relation to tracked bills.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08D57"/>
          <w:sz w:val="21"/>
          <w:szCs w:val="21"/>
        </w:rPr>
        <w:t xml:space="preserve">Out of scope for MVP (future phases)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Fort Lauderdale, Tampa, and Orlando local coverage.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Sentiment scoring, stance classification, and rhetoric-vs-substance gap detection.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Per-address ballot lookup and candidate voting-record 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Any donation/giving aggregator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Additional verticals (subsidies, eviction, environmental justice, judicial sentencing, infrastructure, transit/food deserts).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 navigation agent or chatbot.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Any monetization mechanism.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Objectives and Success Criteria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880"/>
      </w:tblGrid>
      <w:tr>
        <w:trPr>
          <w:tblHeader/>
        </w:trPr>
        <w:tc>
          <w:tcPr>
            <w:tcW w:type="dxa" w:w="460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88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46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Prove plain-language summarization quality</w:t>
            </w:r>
          </w:p>
        </w:tc>
        <w:tc>
          <w:tcPr>
            <w:tcW w:type="dxa" w:w="48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LLM-generated “what it does / who it affects” summaries are accurate and legible on manual review of 15–20 real bills before pipeline automation begins</w:t>
            </w:r>
          </w:p>
        </w:tc>
      </w:tr>
      <w:tr>
        <w:tc>
          <w:tcPr>
            <w:tcW w:type="dxa" w:w="4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Prove the end-to-end pipeline</w:t>
            </w:r>
          </w:p>
        </w:tc>
        <w:tc>
          <w:tcPr>
            <w:tcW w:type="dxa" w:w="488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One real Florida bill flows from source data to a displayed bill card, including an attached, verifiable source</w:t>
            </w:r>
          </w:p>
        </w:tc>
      </w:tr>
      <w:tr>
        <w:tc>
          <w:tcPr>
            <w:tcW w:type="dxa" w:w="46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Launch a usable public MVP</w:t>
            </w:r>
          </w:p>
        </w:tc>
        <w:tc>
          <w:tcPr>
            <w:tcW w:type="dxa" w:w="48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State bills are browsable/searchable with map view; Miami and Jacksonville local bills are included</w:t>
            </w:r>
          </w:p>
        </w:tc>
      </w:tr>
      <w:tr>
        <w:tc>
          <w:tcPr>
            <w:tcW w:type="dxa" w:w="4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Establish state-agnostic architecture</w:t>
            </w:r>
          </w:p>
        </w:tc>
        <w:tc>
          <w:tcPr>
            <w:tcW w:type="dxa" w:w="488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No Florida-specific values are hardcoded outside of configuration</w:t>
            </w:r>
          </w:p>
        </w:tc>
      </w:tr>
      <w:tr>
        <w:tc>
          <w:tcPr>
            <w:tcW w:type="dxa" w:w="46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Maintain public trust</w:t>
            </w:r>
          </w:p>
        </w:tc>
        <w:tc>
          <w:tcPr>
            <w:tcW w:type="dxa" w:w="48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Every displayed claim has a source attached at write-time, retrievable on request</w:t>
            </w:r>
          </w:p>
        </w:tc>
      </w:tr>
    </w:tbl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Stakeholders and Users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80"/>
      </w:tblGrid>
      <w:tr>
        <w:trPr>
          <w:tblHeader/>
        </w:trPr>
        <w:tc>
          <w:tcPr>
            <w:tcW w:type="dxa" w:w="340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08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34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General public (primary user)</w:t>
            </w:r>
          </w:p>
        </w:tc>
        <w:tc>
          <w:tcPr>
            <w:tcW w:type="dxa" w:w="60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Understand what a bill does and whether it affects them, without needing policy expertise</w:t>
            </w:r>
          </w:p>
        </w:tc>
      </w:tr>
      <w:tr>
        <w:tc>
          <w:tcPr>
            <w:tcW w:type="dxa" w:w="3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Advocacy organizations / campaigns</w:t>
            </w:r>
          </w:p>
        </w:tc>
        <w:tc>
          <w:tcPr>
            <w:tcW w:type="dxa" w:w="608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Use the same public data as a grounded, neutral starting point for messaging</w:t>
            </w:r>
          </w:p>
        </w:tc>
      </w:tr>
      <w:tr>
        <w:tc>
          <w:tcPr>
            <w:tcW w:type="dxa" w:w="34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Journalists / legal organizations</w:t>
            </w:r>
          </w:p>
        </w:tc>
        <w:tc>
          <w:tcPr>
            <w:tcW w:type="dxa" w:w="60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Verify claims via full source citations when needed</w:t>
            </w:r>
          </w:p>
        </w:tc>
      </w:tr>
      <w:tr>
        <w:tc>
          <w:tcPr>
            <w:tcW w:type="dxa" w:w="3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Bernal Labs (project owner)</w:t>
            </w:r>
          </w:p>
        </w:tc>
        <w:tc>
          <w:tcPr>
            <w:tcW w:type="dxa" w:w="608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Deliver a credible, differentiated civic tool and a proof of concept for the broader graph architecture</w:t>
            </w:r>
          </w:p>
        </w:tc>
      </w:tr>
    </w:tbl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Solo build, nights-and-weekends capacity — sequencing and scope must reflect limited available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No dedicated legal counsel at MVP stage; election-adjacent and defamation-sensitive features are deliberately deferred.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Local government data has no unified API; local coverage is limited to jurisdictions with structured, scrapeable data (Legistar) at MVP.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Budget-conscious data sourcing: LegiScan free tier (30,000 queries/month), Open States/Plural, GDELT, and U.S. Census Bureau (TIGER/Line shapefiles, ACS) and BLS data, all free at this scale.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MVP is hosted on existing Bernal Labs home lab infrastructure (Proxmox on the Omen, Ollama on the Powerstation) rather than cloud spend, with migration to AWS planned once a real user base materializes.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High-Level Timeline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See the companion Phased Roadmap document for full detail. Summary: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Phase 1 (MVP): Florida state bills + Miami/Jacksonville local bills, plain-language summaries, map view, thin sentiment.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Phase 2: Full sentiment/rhetoric-vs-substance layer, granular demographic overlays, vetted local contributors, user accounts, methodology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Phase 3: Ballot lookup, rhetoric-consistency scoring, coordinated-narrative detection, legal review, team growth beyond solo.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Nationwide: State-by-state scaling on the bill side; local government expansion via partnerships rather than scraping.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Key Risks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80"/>
      </w:tblGrid>
      <w:tr>
        <w:trPr>
          <w:tblHeader/>
        </w:trPr>
        <w:tc>
          <w:tcPr>
            <w:tcW w:type="dxa" w:w="360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88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LLM summaries are inaccurate or hallucinate</w:t>
            </w:r>
          </w:p>
        </w:tc>
        <w:tc>
          <w:tcPr>
            <w:tcW w:type="dxa" w:w="58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Manual review of 15–20 bills before any pipeline automation (build-order gate)</w:t>
            </w:r>
          </w:p>
        </w:tc>
      </w:tr>
      <w:tr>
        <w:tc>
          <w:tcPr>
            <w:tcW w:type="dxa" w:w="3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Local government data is too fragmented to scale</w:t>
            </w:r>
          </w:p>
        </w:tc>
        <w:tc>
          <w:tcPr>
            <w:tcW w:type="dxa" w:w="588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Start with Legistar-based cities (Miami, Jacksonville) only; treat expansion as a research spike per city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Rhetoric-consistency / election features draw legal scrutiny</w:t>
            </w:r>
          </w:p>
        </w:tc>
        <w:tc>
          <w:tcPr>
            <w:tcW w:type="dxa" w:w="58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Deferred to Phase 3 with an explicit legal-review checkpoint before launch</w:t>
            </w:r>
          </w:p>
        </w:tc>
      </w:tr>
      <w:tr>
        <w:tc>
          <w:tcPr>
            <w:tcW w:type="dxa" w:w="3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Solo build capacity limits scope</w:t>
            </w:r>
          </w:p>
        </w:tc>
        <w:tc>
          <w:tcPr>
            <w:tcW w:type="dxa" w:w="588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Build order is sequenced by risk and dependency, not by feature completeness; modules and later phases are deliberately deferred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Data or claims are perceived as biased</w:t>
            </w:r>
          </w:p>
        </w:tc>
        <w:tc>
          <w:tcPr>
            <w:tcW w:type="dxa" w:w="58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Sources hidden-by-default but always available; no open editing; “flag this” review process</w:t>
            </w:r>
          </w:p>
        </w:tc>
      </w:tr>
    </w:tbl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10. Approval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charter, together with the Business Requirements Document and Phased Roadmap, is approved as the baseline for MVP development. It should be revisited once the MVP build-order gates (summarization quality, end-to-end pipeline proof, local data feasibility) produce real findings, and updated as those findings warrant.</w:t>
      </w:r>
    </w:p>
    <w:p>
      <w:pPr>
        <w:pBdr>
          <w:top w:val="single" w:color="BFBFBF" w:sz="4" w:space="4"/>
        </w:pBdr>
        <w:spacing w:before="40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Sunshine Ledger — Project Charter — Draft v0.1 — Bernal Labs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2026-07-23T13:36:49.101Z</dcterms:created>
  <dcterms:modified xsi:type="dcterms:W3CDTF">2026-07-23T13:36:49.126Z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