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TERMO DE REFERÊNCIA</w:t>
      </w:r>
    </w:p>
    <w:p>
      <w:pPr>
        <w:pBdr>
          <w:bottom w:val="single" w:color="2E75B6" w:sz="12" w:space="6"/>
        </w:pBdr>
        <w:spacing w:after="60" w:before="0"/>
        <w:jc w:val="center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Infraestrutura de Cabeamento Estruturado e Rede Lógica</w:t>
      </w:r>
    </w:p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9360"/>
            <w:gridSpan w:val="2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IDENTIFICAÇÃO DO DOCUMENTO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Órgão: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[Nome do Órgão / Secretaria]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UASG: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[Código UASG]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Processo nº: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[Número do Processo Administrativo]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Modalidade: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Pregão Eletrônico — Sistema de Registro de Preços (SRP)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Objeto: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Aquisição de equipamentos e materiais para implantação de infraestrutura de cabeamento estruturado e rede lógica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Elaborado por: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[Nome / Matrícula / Cargo]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Data: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[DD/MM/AAAA]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Versão: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pBdr>
          <w:bottom w:val="single" w:color="D6E4F0" w:sz="4" w:space="1"/>
        </w:pBdr>
        <w:spacing w:after="120" w:before="12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 </w:t>
      </w: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OBJETO</w:t>
      </w:r>
    </w:p>
    <w:p>
      <w:pPr>
        <w:spacing w:after="60" w:before="60" w:line="36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Aquisição de equipamentos e materiais para implantação de infraestrutura de cabeamento estruturado e rede lógica, compreendendo infraestrutura passiva (cabos, patch panels, tomadas, canaletas), equipamentos ativos (switches, firewall, access points), racks e acessórios e sistemas de proteção elétrica (nobreaks e filtros de linha), para atender às instalações do complexo a seguir discriminado: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Prédio Principal — 135 pontos de rede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Central de Flagrantes — 81 pontos de rede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Prédio da Engenharia — 29 pontos de rede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Almoxarifado — 19 pontos de rede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Acadepol — 60 pontos de rede (estimativa)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Setor Pessoal — 40 pontos de rede (estimativa)</w:t>
      </w:r>
    </w:p>
    <w:p>
      <w:pPr>
        <w:spacing w:after="0" w:before="80"/>
      </w:pPr>
      <w:r>
        <w:t xml:space="preserve"/>
      </w:r>
    </w:p>
    <w:p>
      <w:pPr>
        <w:spacing w:after="60" w:before="60" w:line="360"/>
        <w:jc w:val="both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Total estimado: 364 pontos de rede distribuídos em 6 edificações.</w:t>
      </w:r>
    </w:p>
    <w:p>
      <w:pPr>
        <w:pBdr>
          <w:bottom w:val="single" w:color="D6E4F0" w:sz="4" w:space="1"/>
        </w:pBdr>
        <w:spacing w:after="120" w:before="12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 </w:t>
      </w: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JUSTIFICATIVA</w:t>
      </w:r>
    </w:p>
    <w:p>
      <w:pPr>
        <w:spacing w:after="60" w:before="60" w:line="36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 implantação da infraestrutura de rede se faz necessária para atender às demandas operacionais do órgão, garantindo conectividade segura, gerenciável e escalável entre os prédios do complexo, viabilizando o funcionamento de sistemas institucionais, câmeras IP, telefonia VoIP e acesso à internet pelos servidores públicos lotados nas unidades.</w:t>
      </w:r>
    </w:p>
    <w:p>
      <w:pPr>
        <w:spacing w:after="0" w:before="80"/>
      </w:pPr>
      <w:r>
        <w:t xml:space="preserve"/>
      </w:r>
    </w:p>
    <w:p>
      <w:pPr>
        <w:spacing w:after="60" w:before="60" w:line="36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 solução adotada observa os princípios da economicidade, padronização e eficiência, com equipamentos gerenciáveis que permitem segmentação por VLANs, controle de qualidade de serviço (QoS) e monitoramento remoto centralizado via SNMP.</w:t>
      </w:r>
    </w:p>
    <w:p>
      <w:pPr>
        <w:pBdr>
          <w:bottom w:val="single" w:color="D6E4F0" w:sz="4" w:space="1"/>
        </w:pBdr>
        <w:spacing w:after="120" w:before="12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 </w:t>
      </w: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BASE LEGAL</w:t>
      </w:r>
    </w:p>
    <w:p>
      <w:pPr>
        <w:spacing w:after="60" w:before="60" w:line="36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 presente contratação fundamenta-se nos seguintes instrumentos legais e normativos: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Instrumento Legal</w:t>
            </w:r>
          </w:p>
        </w:tc>
        <w:tc>
          <w:tcPr>
            <w:tcW w:type="dxa" w:w="624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Aplicação no Processo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Lei nº 14.133/2021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Lei de Licitações e Contratos Administrativos — regula todo o processo licitatório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Art. 6º, XXIII — Lei 14.133/2021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Define Termo de Referência como documento obrigatório contendo especificações técnicas do objeto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Art. 40 — Lei 14.133/2021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Veda especificações que restrinjam a competição; exige descrição clara, precisa e suficiente do objeto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Art. 41, §1º — Lei 14.133/2021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Permite indicação de marca como referência de qualidade, desde que seguida de "ou similar" e aceite equivalente técnico com justificativa formal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Art. 18 — Lei 14.133/2021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Exige Estudo Técnico Preliminar (ETP) antes da licitação, com justificativa técnica e econômica das escolhas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Art. 42 — Lei 14.133/2021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Determina uso de normas técnicas brasileiras (ABNT) nas especificações de obras e serviços de engenharia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Decreto nº 10.024/2019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Regulamenta o Pregão Eletrônico no âmbito da Administração Pública Federal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 SEGES/ME nº 65/2021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Disciplina contratações de Soluções de Tecnologia da Informação e Comunicação (TIC) — exige ETP, análise de riscos e critérios de aceite objetivos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ABNT NBR 14565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Norma de cabeamento estruturado para edifícios — base técnica para especificação de cabos, patch panels, tomadas e conectores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ABNT NBR 14702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Cabo de par trançado não blindado (UTP) — parâmetros técnicos mínimos para cabos Cat6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ABNT NBR 15465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Sistemas de eletrodutos para instalações elétricas e de comunicações — aplicável a canaletas e eletrodutos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ABNT NBR 5410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Instalações elétricas de baixa tensão — aplicável a nobreaks, filtros de linha e proteção elétrica dos equipamentos</w:t>
            </w:r>
          </w:p>
        </w:tc>
      </w:tr>
    </w:tbl>
    <w:p>
      <w:pPr>
        <w:pBdr>
          <w:bottom w:val="single" w:color="D6E4F0" w:sz="4" w:space="1"/>
        </w:pBdr>
        <w:spacing w:after="120" w:before="12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 </w:t>
      </w: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NORMAS E PADRÕES TÉCNICOS DE REFERÊNCIA</w:t>
      </w:r>
    </w:p>
    <w:p>
      <w:pPr>
        <w:spacing w:after="60" w:before="60" w:line="36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Os equipamentos e materiais fornecidos deverão estar em conformidade com os seguintes padrões e normas técnicas: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Norma / Padrão</w:t>
            </w:r>
          </w:p>
        </w:tc>
        <w:tc>
          <w:tcPr>
            <w:tcW w:type="dxa" w:w="67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IEEE 802.3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Padrão Ethernet — define parâmetros de comunicação em redes cabeadas Gigabit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IEEE 802.1Q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VLANs — segmentação lógica de redes em switches gerenciáveis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IEEE 802.1p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QoS — priorização de tráfego (voz, vídeo, dados) em switches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IEEE 802.3af / 802.3at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PoE / PoE+ — alimentação elétrica via cabo de rede para câmeras, APs e telefones IP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IEEE 802.11ax (Wi-Fi 6)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Padrão wireless de última geração para access points de alta performance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SNMP v2/v3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Protocolo de gerenciamento de rede — monitoramento remoto e centralizado dos equipamentos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TIA/EIA-568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Padrão americano de cabeamento estruturado — complementar à NBR 14565, amplamente adotado no Brasil</w:t>
            </w:r>
          </w:p>
        </w:tc>
      </w:tr>
    </w:tbl>
    <w:p>
      <w:pPr>
        <w:pBdr>
          <w:bottom w:val="single" w:color="D6E4F0" w:sz="4" w:space="1"/>
        </w:pBdr>
        <w:spacing w:after="120" w:before="12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 </w:t>
      </w: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ESPECIFICAÇÕES TÉCNICAS MÍNIMAS</w:t>
      </w:r>
    </w:p>
    <w:p>
      <w:pPr>
        <w:spacing w:after="60" w:before="60" w:line="36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As especificações técnicas mínimas de cada item estão descritas na Planilha de Orçamento anexa a este Termo de Referência (Anexo I), na coluna "Especificação Técnica Mínima".</w:t>
      </w:r>
    </w:p>
    <w:p>
      <w:pPr>
        <w:spacing w:after="0" w:before="80"/>
      </w:pPr>
      <w:r>
        <w:t xml:space="preserve"/>
      </w:r>
    </w:p>
    <w:p>
      <w:pPr>
        <w:spacing w:after="60" w:before="60" w:line="36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5.1 — É admitida a oferta de produtos de marca e modelo distinto do indicado como referência, desde que o licitante comprove, mediante documentação técnica (catálogo, datasheet ou laudo de laboratório acreditado), que o produto ofertado possui desempenho igual ou superior ao especificado.</w:t>
      </w:r>
    </w:p>
    <w:p>
      <w:pPr>
        <w:spacing w:after="0" w:before="80"/>
      </w:pPr>
      <w:r>
        <w:t xml:space="preserve"/>
      </w:r>
    </w:p>
    <w:p>
      <w:pPr>
        <w:spacing w:after="60" w:before="60" w:line="36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5.2 — A indicação de marca como referência, quando presente, tem caráter meramente exemplificativo e não exclui a participação de fornecedores com produtos equivalentes, nos termos do Art. 41, §1º da Lei nº 14.133/2021.</w:t>
      </w:r>
    </w:p>
    <w:p>
      <w:pPr>
        <w:pBdr>
          <w:bottom w:val="single" w:color="D6E4F0" w:sz="4" w:space="1"/>
        </w:pBdr>
        <w:spacing w:after="120" w:before="12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 </w:t>
      </w: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OBRIGAÇÕES DO FORNECEDOR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Fornecer os equipamentos e materiais em conformidade com as especificações técnicas mínimas estabelecidas neste Termo de Referência.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Entregar os equipamentos devidamente acondicionados em embalagem original do fabricante, com manuais e acessórios.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Garantir que todos os equipamentos ativos possuam firmware atualizado na data da entrega.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Prestar suporte técnico durante o período de garantia, com atendimento em até 2 (dois) dias úteis.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Substituir, sem ônus ao contratante, qualquer equipamento que apresente defeito durante o período de garantia.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Emitir nota fiscal discriminando cada item fornecido com número de série, modelo e fabricante.</w:t>
      </w:r>
    </w:p>
    <w:p>
      <w:pPr>
        <w:pBdr>
          <w:bottom w:val="single" w:color="D6E4F0" w:sz="4" w:space="1"/>
        </w:pBdr>
        <w:spacing w:after="120" w:before="12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 </w:t>
      </w: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GARANTIA</w:t>
      </w:r>
    </w:p>
    <w:p>
      <w:pPr>
        <w:spacing w:after="60" w:before="60" w:line="36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Os equipamentos deverão possuir garantia mínima conforme especificado a seguir: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Switches gerenciáveis (core e acesso): mínimo 36 (trinta e seis) meses.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Access points, firewall/roteador: mínimo 24 (vinte e quatro) meses.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Nobreaks e filtros de linha: mínimo 12 (doze) meses.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Infraestrutura passiva (cabos, patch panels, tomadas): mínimo 12 (doze) meses, sem prejuízo de certificações de canal.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Racks e acessórios: mínimo 12 (doze) meses.</w:t>
      </w:r>
    </w:p>
    <w:p>
      <w:pPr>
        <w:pBdr>
          <w:bottom w:val="single" w:color="D6E4F0" w:sz="4" w:space="1"/>
        </w:pBdr>
        <w:spacing w:after="120" w:before="12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8. </w:t>
      </w: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CRITÉRIOS DE ACEITE</w:t>
      </w:r>
    </w:p>
    <w:p>
      <w:pPr>
        <w:spacing w:after="60" w:before="60" w:line="36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O recebimento dos equipamentos e materiais ficará condicionado à verificação dos seguintes critérios: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Conformidade com as especificações técnicas mínimas estabelecidas no Anexo I.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Integridade física das embalagens e equipamentos.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Presença de número de série individual em cada equipamento ativo.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Apresentação de nota fiscal com discriminação completa dos itens.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Apresentação de certificado de garantia do fabricante, quando exigido.</w:t>
      </w:r>
    </w:p>
    <w:p>
      <w:pPr>
        <w:spacing w:after="0" w:before="200"/>
      </w:pPr>
      <w:r>
        <w:t xml:space="preserve"/>
      </w:r>
    </w:p>
    <w:p>
      <w:pPr>
        <w:pBdr>
          <w:bottom w:val="single" w:color="D6E4F0" w:sz="4" w:space="1"/>
        </w:pBdr>
        <w:spacing w:after="120" w:before="120"/>
      </w:pPr>
      <w:r>
        <w:t xml:space="preserve"/>
      </w:r>
    </w:p>
    <w:p>
      <w:pPr>
        <w:spacing w:after="60" w:before="24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[Local], [Data]</w:t>
      </w:r>
    </w:p>
    <w:p>
      <w:pPr>
        <w:spacing w:after="0" w:before="400"/>
      </w:pPr>
      <w:r>
        <w:t xml:space="preserve"/>
      </w:r>
    </w:p>
    <w:p>
      <w:pPr>
        <w:pBdr>
          <w:top w:val="single" w:color="000000" w:sz="4" w:space="1"/>
        </w:pBdr>
        <w:spacing w:after="40" w:before="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[Nome do Responsável pela Elaboração]</w:t>
      </w:r>
    </w:p>
    <w:p>
      <w:pPr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[Cargo / Matrícula]</w:t>
      </w:r>
    </w:p>
    <w:p>
      <w:pPr>
        <w:spacing w:after="0" w:before="300"/>
      </w:pPr>
      <w:r>
        <w:t xml:space="preserve"/>
      </w:r>
    </w:p>
    <w:p>
      <w:pPr>
        <w:pBdr>
          <w:top w:val="single" w:color="000000" w:sz="4" w:space="1"/>
        </w:pBdr>
        <w:spacing w:after="40" w:before="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[Nome da Autoridade Aprovadora]</w:t>
      </w:r>
    </w:p>
    <w:p>
      <w:pPr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[Cargo / Matrícula]</w:t>
      </w:r>
    </w:p>
    <w:sectPr>
      <w:pgSz w:w="11906" w:h="16838" w:orient="portrait"/>
      <w:pgMar w:top="1134" w:right="1134" w:bottom="1134" w:left="1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2026-06-02T20:49:42.141Z</dcterms:created>
  <dcterms:modified xsi:type="dcterms:W3CDTF">2026-06-02T20:49:42.141Z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