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88DF" w14:textId="77777777" w:rsidR="006B1FF0" w:rsidRDefault="00000000">
      <w:pPr>
        <w:pStyle w:val="Ttulo1"/>
      </w:pPr>
      <w:bookmarkStart w:id="0" w:name="Xf94e9663d8d18ae480f7c4b30ba242d79be2b88"/>
      <w:r>
        <w:rPr/>
        <w:t>Guía de Análisis: La Medición de la Dependencia</w:t>
      </w:r>
    </w:p>
    <w:p w14:paraId="13CC909B" w14:textId="77777777" w:rsidR="006B1FF0" w:rsidRDefault="00000000">
      <w:pPr>
        <w:pStyle w:val="Ttulo2"/>
      </w:pPr>
      <w:bookmarkStart w:id="1" w:name="X5b8cc8388550e5f8af552121fd70815bb84f836"/>
      <w:r>
        <w:rPr/>
        <w:t>Maestría en Intervención Social Gerontológica</w:t>
      </w:r>
    </w:p>
    <w:p w14:paraId="29D449A0" w14:textId="77777777" w:rsidR="006B1FF0" w:rsidRDefault="00000000">
      <w:pPr>
        <w:pStyle w:val="Ttulo2"/>
      </w:pPr>
      <w:bookmarkStart w:id="2" w:name="X2200e31ad024980c5f1fecf04d2f9100bbc8412"/>
      <w:bookmarkEnd w:id="1"/>
      <w:r>
        <w:rPr/>
        <w:t>Docente: Dr. Jorge Enrique Bracamontes Grajeda</w:t>
      </w:r>
    </w:p>
    <w:p w14:paraId="50194542" w14:textId="77777777" w:rsidR="006B1FF0" w:rsidRDefault="00000000">
      <w:pPr>
        <w:pStyle w:val="Ttulo2"/>
      </w:pPr>
      <w:bookmarkStart w:id="3" w:name="X019c8a89ed9416c14741e63700c503390df02ba"/>
      <w:bookmarkEnd w:id="2"/>
      <w:r>
        <w:rPr/>
        <w:t>Pareja 1: Los Administradores de la Carencia (Autonomía vs. Dependencia)</w:t>
      </w:r>
    </w:p>
    <w:p w14:paraId="7482CF6A" w14:textId="77777777" w:rsidR="006B1FF0" w:rsidRDefault="00000000">
      <w:pPr>
        <w:pStyle w:val="Ttulo2"/>
      </w:pPr>
      <w:bookmarkStart w:id="4" w:name="Xe8244624ce2a710b9267c1efa7c90684023549e"/>
      <w:bookmarkEnd w:id="3"/>
      <w:r>
        <w:rPr/>
        <w:t>Insumos de trabajo: * ENASEM 2024 (Págs. 22-24: Limitación de actividades de la vida diaria).</w:t>
      </w:r>
    </w:p>
    <w:p w14:paraId="595BF890" w14:textId="77777777" w:rsidR="006B1FF0" w:rsidRDefault="00000000">
      <w:pPr>
        <w:pStyle w:val="Compact"/>
        <w:numPr>
          <w:ilvl w:val="0"/>
          <w:numId w:val="12"/>
        </w:numPr>
      </w:pPr>
      <w:r>
        <w:rPr/>
        <w:t>Informe Beveridge (Concepto de infortunio y necesidad).</w:t>
      </w:r>
    </w:p>
    <w:p w14:paraId="385B8B3F" w14:textId="77777777" w:rsidR="006B1FF0" w:rsidRDefault="00000000">
      <w:pPr>
        <w:pStyle w:val="FirstParagraph"/>
      </w:pPr>
      <w:r>
        <w:rPr/>
        <w:t>Instrucciones de Laboratorio:</w:t>
      </w:r>
    </w:p>
    <w:p w14:paraId="2AF9CF0C" w14:textId="77777777" w:rsidR="006B1FF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Mapeo de la ‘No-Capacidad’:</w:t>
      </w:r>
      <w:r>
        <w:rPr/>
        <w:t xml:space="preserve"> Analicen las gráficas de limitaciones para realizar actividades básicas (comer, vestirse, caminar). ¿Por qué la estadística prefiere medir lo que el cuerpo </w:t>
      </w:r>
      <w:r>
        <w:rPr>
          <w:i/>
          <w:iCs/>
        </w:rPr>
        <w:t>ya no hace</w:t>
      </w:r>
      <w:r>
        <w:rPr/>
        <w:t xml:space="preserve"> en lugar de lo que </w:t>
      </w:r>
      <w:r>
        <w:rPr>
          <w:i/>
          <w:iCs/>
        </w:rPr>
        <w:t>aún preserva</w:t>
      </w:r>
      <w:r>
        <w:rPr/>
        <w:t>?</w:t>
      </w:r>
    </w:p>
    <w:p w14:paraId="4C88CD0F" w14:textId="77777777" w:rsidR="006B1FF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El Umbral de Beveridge:</w:t>
      </w:r>
      <w:r>
        <w:rPr/>
        <w:t xml:space="preserve"> Si el sistema de bienestar solo se activa cuando el sujeto marca “Sí” en estas limitaciones, ¿qué tipo de ciudadano está construyendo la administración?</w:t>
      </w:r>
    </w:p>
    <w:p w14:paraId="372FA027" w14:textId="77777777" w:rsidR="006B1FF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Deconstrucción:</w:t>
      </w:r>
      <w:r>
        <w:rPr/>
        <w:t xml:space="preserve"> Elijan una variable de “limitación” y renómbrela desde la </w:t>
      </w:r>
      <w:r>
        <w:rPr>
          <w:b/>
          <w:bCs/>
        </w:rPr>
        <w:t>Potentia</w:t>
      </w:r>
      <w:r>
        <w:rPr/>
        <w:t>. ¿Cómo se vería un indicador que mida la “Dignidad en la Autonomía” en lugar de la “Carga de la Dependencia”?</w:t>
      </w:r>
    </w:p>
    <w:p w14:paraId="7CA4878F" w14:textId="77777777" w:rsidR="00B81C72" w:rsidRDefault="00B81C7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5" w:name="X6af521e93493812ba3ea781302b9f70008be0a1"/>
      <w:bookmarkEnd w:id="0"/>
      <w:bookmarkEnd w:id="4"/>
      <w:r>
        <w:rPr/>
        <w:br w:type="page"/>
      </w:r>
    </w:p>
    <w:p w14:paraId="391FBAA1" w14:textId="3E346F74" w:rsidR="006B1FF0" w:rsidRDefault="00000000">
      <w:pPr>
        <w:pStyle w:val="Ttulo1"/>
      </w:pPr>
      <w:r>
        <w:rPr/>
        <w:lastRenderedPageBreak/>
        <w:t>Guía de Análisis: La Biopolítica del Diagnóstico</w:t>
      </w:r>
    </w:p>
    <w:p w14:paraId="114790C0" w14:textId="77777777" w:rsidR="006B1FF0" w:rsidRDefault="00000000">
      <w:pPr>
        <w:pStyle w:val="Ttulo2"/>
      </w:pPr>
      <w:bookmarkStart w:id="6" w:name="X08f92f6eaf85a31b036e50dbe77c8184374fb18"/>
      <w:r>
        <w:rPr/>
        <w:t>Maestría en Intervención Social Gerontológica</w:t>
      </w:r>
    </w:p>
    <w:p w14:paraId="0188DC90" w14:textId="77777777" w:rsidR="006B1FF0" w:rsidRDefault="00000000">
      <w:pPr>
        <w:pStyle w:val="Ttulo2"/>
      </w:pPr>
      <w:bookmarkStart w:id="7" w:name="X1c4b1af008e584960ef394f20d788656b73ccb6"/>
      <w:bookmarkEnd w:id="6"/>
      <w:r>
        <w:rPr/>
        <w:t>Docente: Dr. Jorge Enrique Bracamontes Grajeda</w:t>
      </w:r>
    </w:p>
    <w:p w14:paraId="7A82265F" w14:textId="77777777" w:rsidR="006B1FF0" w:rsidRDefault="00000000">
      <w:pPr>
        <w:pStyle w:val="Ttulo2"/>
      </w:pPr>
      <w:bookmarkStart w:id="8" w:name="Xf0de70fecde515f76c43eea5ce44638125bb8ff"/>
      <w:bookmarkEnd w:id="7"/>
      <w:r>
        <w:rPr/>
        <w:t>Pareja 2: Los Gestores del Riesgo Sanitario (Cuerpo vs. Diagnóstico)</w:t>
      </w:r>
    </w:p>
    <w:p w14:paraId="6E071534" w14:textId="77777777" w:rsidR="006B1FF0" w:rsidRDefault="00000000">
      <w:pPr>
        <w:pStyle w:val="Ttulo2"/>
      </w:pPr>
      <w:bookmarkStart w:id="9" w:name="Xfc80c5a33e0b3aa88616e586646f04c3c4c4410"/>
      <w:bookmarkEnd w:id="8"/>
      <w:r>
        <w:rPr/>
        <w:t>Insumos de trabajo: * ENASEM 2024 (Págs. 13-18: Diagnóstico de enfermedades).</w:t>
      </w:r>
    </w:p>
    <w:p w14:paraId="20C559AA" w14:textId="77777777" w:rsidR="006B1FF0" w:rsidRDefault="00000000">
      <w:pPr>
        <w:pStyle w:val="Compact"/>
        <w:numPr>
          <w:ilvl w:val="0"/>
          <w:numId w:val="14"/>
        </w:numPr>
      </w:pPr>
      <w:r>
        <w:rPr/>
        <w:t>Informe Beveridge (La enfermedad como riesgo administrable).</w:t>
      </w:r>
    </w:p>
    <w:p w14:paraId="4E0D8647" w14:textId="77777777" w:rsidR="006B1FF0" w:rsidRDefault="00000000">
      <w:pPr>
        <w:pStyle w:val="Ttulo2"/>
      </w:pPr>
      <w:bookmarkStart w:id="10" w:name="instrucciones-de-laboratorio"/>
      <w:bookmarkEnd w:id="9"/>
      <w:r>
        <w:rPr/>
        <w:t>Instrucciones de Laboratorio:</w:t>
      </w:r>
    </w:p>
    <w:p w14:paraId="77E5427B" w14:textId="77777777" w:rsidR="006B1FF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La Identidad Médica:</w:t>
      </w:r>
      <w:r>
        <w:rPr/>
        <w:t xml:space="preserve"> Observen la prevalencia de enfermedades crónicas. ¿De qué manera el diagnóstico médico se convierte en la única “identidad oficial” del adulto mayor ante el Estado?</w:t>
      </w:r>
    </w:p>
    <w:p w14:paraId="31347015" w14:textId="77777777" w:rsidR="006B1FF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Invisibilidad:</w:t>
      </w:r>
      <w:r>
        <w:rPr/>
        <w:t xml:space="preserve"> Si un adulto mayor en Durango tiene una alta Potentia (vitalidad, deseo, proyectos) pero no tiene un diagnóstico clínico, ¿aparece en estas gráficas? ¿El sistema sabe que existe?</w:t>
      </w:r>
    </w:p>
    <w:p w14:paraId="43BC91CC" w14:textId="77777777" w:rsidR="006B1FF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Ejercicio Crítico:</w:t>
      </w:r>
      <w:r>
        <w:rPr/>
        <w:t xml:space="preserve"> Contrasten la pág. 13 con la pág. 27 (Satisfacción con la vida). Si la enfermedad sube, pero la satisfacción también, ¿por qué la </w:t>
      </w:r>
      <w:r>
        <w:rPr>
          <w:i/>
          <w:iCs/>
        </w:rPr>
        <w:t>Potestas</w:t>
      </w:r>
      <w:r>
        <w:rPr/>
        <w:t xml:space="preserve"> insiste en enfocarse solo en la patología?</w:t>
      </w:r>
    </w:p>
    <w:p w14:paraId="1FA22BDA" w14:textId="77777777" w:rsidR="00B81C72" w:rsidRDefault="00B81C7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11" w:name="Xe90209213ee7ed3894ca0892d1aba5c1d349457"/>
      <w:bookmarkEnd w:id="5"/>
      <w:bookmarkEnd w:id="10"/>
      <w:r>
        <w:rPr/>
        <w:br w:type="page"/>
      </w:r>
    </w:p>
    <w:p w14:paraId="3432137B" w14:textId="4EF171A8" w:rsidR="006B1FF0" w:rsidRDefault="00000000">
      <w:pPr>
        <w:pStyle w:val="Ttulo1"/>
      </w:pPr>
      <w:r>
        <w:rPr/>
        <w:lastRenderedPageBreak/>
        <w:t>Guía de Análisis: La Estructura de la Desigualdad Acumulada</w:t>
      </w:r>
    </w:p>
    <w:p w14:paraId="00221D65" w14:textId="77777777" w:rsidR="006B1FF0" w:rsidRDefault="00000000">
      <w:pPr>
        <w:pStyle w:val="Ttulo2"/>
      </w:pPr>
      <w:bookmarkStart w:id="12" w:name="X581265c226c0327e378380d2296ef5cb88f9096"/>
      <w:r>
        <w:rPr/>
        <w:t>Maestría en Intervención Social Gerontológica</w:t>
      </w:r>
    </w:p>
    <w:p w14:paraId="37CE58A6" w14:textId="77777777" w:rsidR="006B1FF0" w:rsidRDefault="00000000">
      <w:pPr>
        <w:pStyle w:val="FirstParagraph"/>
      </w:pPr>
      <w:r>
        <w:rPr/>
        <w:t>Docente: Dr. Jorge Enrique Bracamontes Grajeda ## Pareja 3: Los Críticos de la Estructura (Desigualdad vs. Estadística)</w:t>
      </w:r>
    </w:p>
    <w:p w14:paraId="022BB18D" w14:textId="77777777" w:rsidR="006B1FF0" w:rsidRDefault="00000000">
      <w:pPr>
        <w:pStyle w:val="Ttulo2"/>
      </w:pPr>
      <w:bookmarkStart w:id="13" w:name="X813bd466cfb2ebb6dcc112464f9094e4a3377d7"/>
      <w:bookmarkEnd w:id="12"/>
      <w:r>
        <w:rPr/>
        <w:t>Insumos de trabajo: * ENASEM 2024 (Págs. 4-9: Características sociodemográficas).</w:t>
      </w:r>
    </w:p>
    <w:p w14:paraId="61471688" w14:textId="77777777" w:rsidR="006B1FF0" w:rsidRDefault="00000000">
      <w:pPr>
        <w:pStyle w:val="Compact"/>
        <w:numPr>
          <w:ilvl w:val="0"/>
          <w:numId w:val="16"/>
        </w:numPr>
      </w:pPr>
      <w:r>
        <w:rPr/>
        <w:t>Del Popolo (Cap. III y IV: Desigualdad y vulnerabilidad en AL).</w:t>
      </w:r>
    </w:p>
    <w:p w14:paraId="7F3854F8" w14:textId="77777777" w:rsidR="006B1FF0" w:rsidRDefault="00000000">
      <w:pPr>
        <w:pStyle w:val="Ttulo2"/>
      </w:pPr>
      <w:bookmarkStart w:id="14" w:name="instrucciones-de-laboratorio-1"/>
      <w:bookmarkEnd w:id="13"/>
      <w:r>
        <w:rPr/>
        <w:t>Instrucciones de Laboratorio:</w:t>
      </w:r>
    </w:p>
    <w:p w14:paraId="2F209EB6" w14:textId="77777777" w:rsidR="006B1FF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El Dato Huérfano:</w:t>
      </w:r>
      <w:r>
        <w:rPr/>
        <w:t xml:space="preserve"> El INEGI muestra “fotografías” de la situación actual. Usando a Del Popolo, expliquen qué procesos históricos de desigualdad (educación, empleo, género) están ocultos detrás de las cifras de escolaridad y seguridad social del reporte 2024.</w:t>
      </w:r>
    </w:p>
    <w:p w14:paraId="11758642" w14:textId="77777777" w:rsidR="006B1FF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Canibalismo Social:</w:t>
      </w:r>
      <w:r>
        <w:rPr/>
        <w:t xml:space="preserve"> Analicen los datos de “Ayuda informal”. ¿Cómo se refleja en estas tablas el hecho de que el sistema económico extrae valor del cuidado que los viejos dan a otros sin pagarlo?</w:t>
      </w:r>
    </w:p>
    <w:p w14:paraId="64AC5928" w14:textId="77777777" w:rsidR="006B1FF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Propuesta:</w:t>
      </w:r>
      <w:r>
        <w:rPr/>
        <w:t xml:space="preserve"> Identifiquen un dato en el reporte de resultados que Del Popolo consideraría un “indicador de vulnerabilidad estructural” y propongan cómo intervenir sobre la estructura y no solo sobre el individuo.</w:t>
      </w:r>
      <w:bookmarkEnd w:id="11"/>
      <w:bookmarkEnd w:id="14"/>
    </w:p>
    <w:sectPr w:rsidR="006B1FF0" w:rsidSect="00B81C72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336A9" w14:textId="77777777" w:rsidR="0045476A" w:rsidRDefault="0045476A">
      <w:pPr>
        <w:spacing w:after="0"/>
      </w:pPr>
      <w:r>
        <w:separator/>
      </w:r>
    </w:p>
  </w:endnote>
  <w:endnote w:type="continuationSeparator" w:id="0">
    <w:p w14:paraId="3EF396CD" w14:textId="77777777" w:rsidR="0045476A" w:rsidRDefault="004547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1AD81" w14:textId="77777777" w:rsidR="0045476A" w:rsidRDefault="0045476A">
      <w:r>
        <w:separator/>
      </w:r>
    </w:p>
  </w:footnote>
  <w:footnote w:type="continuationSeparator" w:id="0">
    <w:p w14:paraId="3E4E521D" w14:textId="77777777" w:rsidR="0045476A" w:rsidRDefault="004547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105D8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562594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B3E9E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946493959">
    <w:abstractNumId w:val="0"/>
  </w:num>
  <w:num w:numId="2" w16cid:durableId="432432080">
    <w:abstractNumId w:val="1"/>
  </w:num>
  <w:num w:numId="3" w16cid:durableId="1685086697">
    <w:abstractNumId w:val="1"/>
  </w:num>
  <w:num w:numId="4" w16cid:durableId="5177654">
    <w:abstractNumId w:val="1"/>
  </w:num>
  <w:num w:numId="5" w16cid:durableId="490364802">
    <w:abstractNumId w:val="1"/>
  </w:num>
  <w:num w:numId="6" w16cid:durableId="1269464073">
    <w:abstractNumId w:val="0"/>
  </w:num>
  <w:num w:numId="7" w16cid:durableId="2003435740">
    <w:abstractNumId w:val="1"/>
  </w:num>
  <w:num w:numId="8" w16cid:durableId="730465356">
    <w:abstractNumId w:val="1"/>
  </w:num>
  <w:num w:numId="9" w16cid:durableId="2144998774">
    <w:abstractNumId w:val="1"/>
  </w:num>
  <w:num w:numId="10" w16cid:durableId="1686710195">
    <w:abstractNumId w:val="1"/>
  </w:num>
  <w:num w:numId="11" w16cid:durableId="454951490">
    <w:abstractNumId w:val="0"/>
  </w:num>
  <w:num w:numId="12" w16cid:durableId="30689218">
    <w:abstractNumId w:val="1"/>
  </w:num>
  <w:num w:numId="13" w16cid:durableId="12240276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93085437">
    <w:abstractNumId w:val="1"/>
  </w:num>
  <w:num w:numId="15" w16cid:durableId="1831208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58109132">
    <w:abstractNumId w:val="1"/>
  </w:num>
  <w:num w:numId="17" w16cid:durableId="208496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FF0"/>
    <w:rsid w:val="000B5BF7"/>
    <w:rsid w:val="0045476A"/>
    <w:rsid w:val="006B1FF0"/>
    <w:rsid w:val="00B8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56A8A"/>
  <w15:docId w15:val="{A5CB5328-73F6-6F4A-9883-0D4A5FE4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0" w:after="0" w:line="480" w:lineRule="auto"/>
      <w:ind w:firstLine="720"/>
      <w:jc w:val="both"/>
    </w:pPr>
    <w:rPr>
      <w:rFonts w:ascii="Arial" w:hAnsi="Arial" w:eastAsia="Arial" w:cs="Arial"/>
      <w:color w:val="000000"/>
      <w:sz w:val="24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360" w:after="120" w:line="480" w:lineRule="auto"/>
      <w:jc w:val="center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28"/>
      <w:szCs w:val="32"/>
    </w:rPr>
  </w:style>
  <w:style w:type="paragraph" w:styleId="Ttulo2">
    <w:name w:val="heading 2"/>
    <w:basedOn w:val="Normal"/>
    <w:next w:val="Textoindependiente"/>
    <w:autoRedefine/>
    <w:uiPriority w:val="9"/>
    <w:unhideWhenUsed/>
    <w:qFormat/>
    <w:rsid w:val="0025433C"/>
    <w:pPr>
      <w:keepNext/>
      <w:keepLines/>
      <w:spacing w:before="240" w:after="0" w:line="480" w:lineRule="auto"/>
      <w:jc w:val="left"/>
      <w:outlineLvl w:val="1"/>
    </w:pPr>
    <w:rPr>
      <w:rFonts w:ascii="Arial" w:eastAsiaTheme="majorEastAsia" w:hAnsi="Arial" w:cs="Arial" w:eastAsia="Arial"/>
      <w:b/>
      <w:bCs/>
      <w:i w:val="0"/>
      <w:color w:val="000000"/>
      <w:sz w:val="24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rsid w:val="0054749C"/>
    <w:pPr>
      <w:keepNext/>
      <w:keepLines/>
      <w:spacing w:before="240" w:after="0" w:line="480" w:lineRule="auto"/>
      <w:jc w:val="left"/>
      <w:outlineLvl w:val="2"/>
    </w:pPr>
    <w:rPr>
      <w:rFonts w:ascii="Arial" w:eastAsiaTheme="majorEastAsia" w:hAnsi="Arial" w:cs="Arial" w:eastAsia="Arial"/>
      <w:b/>
      <w:bCs/>
      <w:i/>
      <w:color w:val="000000"/>
      <w:sz w:val="24"/>
    </w:rPr>
  </w:style>
  <w:style w:type="paragraph" w:styleId="Ttulo4">
    <w:name w:val="heading 4"/>
    <w:basedOn w:val="Normal"/>
    <w:next w:val="Textoindependiente"/>
    <w:uiPriority w:val="9"/>
    <w:unhideWhenUsed/>
    <w:qFormat/>
    <w:rsid w:val="0054749C"/>
    <w:pPr>
      <w:keepNext/>
      <w:keepLines/>
      <w:spacing w:before="240" w:after="0" w:line="480" w:lineRule="auto"/>
      <w:jc w:val="left"/>
      <w:outlineLvl w:val="3"/>
    </w:pPr>
    <w:rPr>
      <w:rFonts w:ascii="Arial" w:eastAsiaTheme="majorEastAsia" w:hAnsi="Arial" w:cs="Arial" w:eastAsia="Arial"/>
      <w:b/>
      <w:bCs/>
      <w:i w:val="0"/>
      <w:color w:val="000000"/>
      <w:sz w:val="24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40" w:after="0" w:line="480" w:lineRule="auto"/>
      <w:jc w:val="left"/>
      <w:outlineLvl w:val="4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00000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25433C"/>
    <w:pPr>
      <w:spacing w:before="0" w:after="0" w:line="480" w:lineRule="auto"/>
      <w:ind w:firstLine="720"/>
      <w:jc w:val="both"/>
    </w:pPr>
    <w:rPr>
      <w:rFonts w:ascii="Arial" w:hAnsi="Arial" w:cs="Arial" w:eastAsia="Arial"/>
      <w:color w:val="000000"/>
      <w:sz w:val="24"/>
    </w:rPr>
  </w:style>
  <w:style w:type="paragraph" w:customStyle="1" w:styleId="FirstParagraph">
    <w:name w:val="First Paragraph"/>
    <w:basedOn w:val="Textoindependiente"/>
    <w:next w:val="Textoindependiente"/>
    <w:qFormat/>
    <w:rsid w:val="0025433C"/>
    <w:pPr>
      <w:spacing w:before="0" w:after="0" w:line="480" w:lineRule="auto"/>
      <w:jc w:val="both"/>
    </w:pPr>
    <w:rPr>
      <w:rFonts w:ascii="Arial" w:hAnsi="Arial" w:eastAsia="Arial" w:cs="Arial"/>
      <w:bCs/>
      <w:color w:val="000000"/>
      <w:sz w:val="24"/>
    </w:rPr>
  </w:style>
  <w:style w:type="paragraph" w:customStyle="1" w:styleId="Compact">
    <w:name w:val="Compact"/>
    <w:basedOn w:val="Textoindependiente"/>
    <w:qFormat/>
    <w:pPr>
      <w:spacing w:before="0" w:after="0" w:line="276" w:lineRule="auto"/>
      <w:jc w:val="both"/>
    </w:pPr>
    <w:rPr>
      <w:rFonts w:ascii="Arial" w:hAnsi="Arial" w:eastAsia="Arial" w:cs="Arial"/>
      <w:color w:val="000000"/>
      <w:sz w:val="24"/>
    </w:rPr>
  </w:style>
  <w:style w:type="paragraph" w:styleId="Ttulo">
    <w:name w:val="Title"/>
    <w:basedOn w:val="Normal"/>
    <w:next w:val="Textoindependiente"/>
    <w:qFormat/>
    <w:rsid w:val="0025433C"/>
    <w:pPr>
      <w:keepNext/>
      <w:keepLines/>
      <w:spacing w:before="0" w:after="240" w:line="480" w:lineRule="auto"/>
      <w:jc w:val="center"/>
    </w:pPr>
    <w:rPr>
      <w:rFonts w:ascii="Arial" w:eastAsiaTheme="majorEastAsia" w:hAnsi="Arial" w:cs="Arial" w:eastAsia="Arial"/>
      <w:b/>
      <w:bCs/>
      <w:i w:val="0"/>
      <w:color w:val="000000"/>
      <w:sz w:val="32"/>
      <w:szCs w:val="36"/>
    </w:rPr>
  </w:style>
  <w:style w:type="paragraph" w:styleId="Subttulo">
    <w:name w:val="Subtitle"/>
    <w:basedOn w:val="Ttulo"/>
    <w:next w:val="Textoindependiente"/>
    <w:qFormat/>
    <w:pPr>
      <w:spacing w:before="0" w:after="240" w:line="480" w:lineRule="auto"/>
      <w:jc w:val="center"/>
    </w:pPr>
    <w:rPr>
      <w:rFonts w:ascii="Arial" w:hAnsi="Arial" w:eastAsia="Arial" w:cs="Arial"/>
      <w:b w:val="0"/>
      <w:i w:val="0"/>
      <w:color w:val="000000"/>
      <w:sz w:val="24"/>
      <w:szCs w:val="30"/>
    </w:rPr>
  </w:style>
  <w:style w:type="paragraph" w:customStyle="1" w:styleId="Author">
    <w:name w:val="Author"/>
    <w:next w:val="Textoindependiente"/>
    <w:qFormat/>
    <w:pPr>
      <w:keepNext/>
      <w:keepLines/>
      <w:spacing w:before="0" w:after="0" w:line="480" w:lineRule="auto"/>
      <w:jc w:val="center"/>
    </w:pPr>
    <w:rPr>
      <w:rFonts w:ascii="Arial" w:hAnsi="Arial" w:eastAsia="Arial" w:cs="Arial"/>
      <w:b w:val="0"/>
      <w:i w:val="0"/>
      <w:color w:val="000000"/>
      <w:sz w:val="24"/>
    </w:rPr>
  </w:style>
  <w:style w:type="paragraph" w:styleId="Fecha">
    <w:name w:val="Date"/>
    <w:next w:val="Textoindependiente"/>
    <w:qFormat/>
    <w:pPr>
      <w:keepNext/>
      <w:keepLines/>
      <w:spacing w:before="0" w:after="240" w:line="480" w:lineRule="auto"/>
      <w:jc w:val="center"/>
    </w:pPr>
    <w:rPr>
      <w:rFonts w:ascii="Arial" w:hAnsi="Arial" w:eastAsia="Arial" w:cs="Arial"/>
      <w:b w:val="0"/>
      <w:i w:val="0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  <w:pPr>
      <w:spacing w:before="0" w:after="0" w:line="480" w:lineRule="auto"/>
      <w:ind w:left="720" w:hanging="720"/>
      <w:jc w:val="left"/>
    </w:pPr>
    <w:rPr>
      <w:rFonts w:ascii="Arial" w:hAnsi="Arial" w:eastAsia="Arial" w:cs="Arial"/>
      <w:color w:val="000000"/>
      <w:sz w:val="24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20" w:after="120" w:line="480" w:lineRule="auto"/>
      <w:ind w:left="720" w:right="480"/>
      <w:jc w:val="both"/>
    </w:pPr>
    <w:rPr>
      <w:rFonts w:ascii="Arial" w:hAnsi="Arial" w:eastAsia="Arial" w:cs="Arial"/>
      <w:color w:val="000000"/>
      <w:sz w:val="22"/>
    </w:r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pPr>
      <w:spacing w:before="0" w:after="0" w:line="240" w:lineRule="auto"/>
      <w:jc w:val="left"/>
    </w:pPr>
    <w:rPr>
      <w:rFonts w:ascii="Arial" w:hAnsi="Arial" w:eastAsia="Arial" w:cs="Arial"/>
      <w:color w:val="000000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 w:before="120" w:line="276" w:lineRule="auto"/>
      <w:jc w:val="left"/>
    </w:pPr>
    <w:rPr>
      <w:rFonts w:ascii="Arial" w:hAnsi="Arial" w:eastAsia="Arial" w:cs="Arial"/>
      <w:i w:val="0"/>
      <w:color w:val="000000"/>
      <w:sz w:val="22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rFonts w:ascii="Arial" w:hAnsi="Arial" w:eastAsia="Arial" w:cs="Arial"/>
      <w:color w:val="0563C1"/>
      <w:sz w:val="24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customStyle="1" w:styleId="Quote">
    <w:name w:val="Quote"/>
    <w:basedOn w:val="Normal"/>
    <w:pPr>
      <w:spacing w:before="120" w:after="120" w:line="480" w:lineRule="auto"/>
      <w:ind w:left="720"/>
      <w:jc w:val="both"/>
    </w:pPr>
    <w:rPr>
      <w:rFonts w:ascii="Arial" w:hAnsi="Arial" w:eastAsia="Arial" w:cs="Arial"/>
      <w:color w:val="000000"/>
      <w:sz w:val="22"/>
    </w:rPr>
  </w:style>
  <w:style w:type="paragraph" w:customStyle="1" w:styleId="IntenseQuote">
    <w:name w:val="Intense Quote"/>
    <w:basedOn w:val="Normal"/>
    <w:pPr>
      <w:spacing w:before="120" w:after="120" w:line="480" w:lineRule="auto"/>
      <w:ind w:left="720"/>
      <w:jc w:val="both"/>
    </w:pPr>
    <w:rPr>
      <w:rFonts w:ascii="Arial" w:hAnsi="Arial" w:eastAsia="Arial" w:cs="Arial"/>
      <w:i/>
      <w:color w:val="000000"/>
      <w:sz w:val="22"/>
    </w:rPr>
  </w:style>
  <w:style w:type="paragraph" w:customStyle="1" w:styleId="FootnoteText">
    <w:name w:val="Footnote Text"/>
    <w:basedOn w:val="Normal"/>
    <w:pPr>
      <w:spacing w:before="0" w:after="0" w:line="240" w:lineRule="auto"/>
      <w:jc w:val="left"/>
    </w:pPr>
    <w:rPr>
      <w:rFonts w:ascii="Arial" w:hAnsi="Arial" w:eastAsia="Arial" w:cs="Arial"/>
      <w:color w:val="000000"/>
      <w:sz w:val="20"/>
    </w:rPr>
  </w:style>
  <w:style w:type="paragraph" w:customStyle="1" w:styleId="TableText">
    <w:name w:val="Table Text"/>
    <w:basedOn w:val="Normal"/>
    <w:pPr>
      <w:spacing w:before="0" w:after="0" w:line="240" w:lineRule="auto"/>
      <w:jc w:val="left"/>
    </w:pPr>
    <w:rPr>
      <w:rFonts w:ascii="Arial" w:hAnsi="Arial" w:eastAsia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B23C47-C512-5D4D-A336-60E628453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450</Words>
  <Characters>2573</Characters>
  <Application>Microsoft Office Word</Application>
  <DocSecurity>0</DocSecurity>
  <Lines>38</Lines>
  <Paragraphs>33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artículo académico</dc:title>
  <dc:creator/>
  <cp:keywords>Quarto, Pandoc, artículo académico, APA 7</cp:keywords>
  <cp:lastModifiedBy>Jorge Enrique Bracamontes Grajeda</cp:lastModifiedBy>
  <cp:revision>2</cp:revision>
  <dcterms:created xsi:type="dcterms:W3CDTF">2026-05-08T23:52:00Z</dcterms:created>
  <dcterms:modified xsi:type="dcterms:W3CDTF">2026-05-08T23:55:00Z</dcterms:modified>
  <dc:language>es-MX</dc:language>
  <dc:subject>Documento de referencia para Quarto/Pandoc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Tabla de contenidos</vt:lpwstr>
  </property>
</Properties>
</file>