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6B1A7" w14:textId="77777777" w:rsidR="005C3522" w:rsidRPr="00436CB6" w:rsidRDefault="00000000" w:rsidP="00436CB6">
      <w:pPr>
        <w:pStyle w:val="Ttulo"/>
        <w:rPr>
          <w:lang w:val="es-MX"/>
        </w:rPr>
      </w:pPr>
      <w:r w:rsidRPr="00436CB6">
        <w:rPr>
          <w:lang w:val="es-MX"/>
        </w:rPr>
        <w:t>Analisis lexico de la representación social sobrela vejez y el envejecimiento en estudiantes e la FTS-UJHED</w:t>
      </w:r>
    </w:p>
    <w:p w14:paraId="073A1622" w14:textId="77777777" w:rsidR="005C3522" w:rsidRPr="00436CB6" w:rsidRDefault="00000000" w:rsidP="00436CB6">
      <w:pPr>
        <w:pStyle w:val="Ttulo2"/>
        <w:rPr>
          <w:lang w:val="es-MX"/>
        </w:rPr>
      </w:pPr>
      <w:bookmarkStart w:id="0" w:name="introducción"/>
      <w:r w:rsidRPr="00436CB6">
        <w:rPr>
          <w:lang w:val="es-MX"/>
        </w:rPr>
        <w:t>Introducción</w:t>
      </w:r>
    </w:p>
    <w:p w14:paraId="5A6FCE3F" w14:textId="77777777" w:rsidR="005C3522" w:rsidRPr="00436CB6" w:rsidRDefault="00000000" w:rsidP="00C85B2B">
      <w:pPr>
        <w:pStyle w:val="FirstParagraph"/>
      </w:pPr>
      <w:r w:rsidRPr="00436CB6">
        <w:t xml:space="preserve">El enfoque estructural de la perspectiva de representaciones sociales asume principalmente la identificación del núcleo representacional y las características estructurales e la representación (Banchs 2000). Este abordaje se realizará en primer lugar, mediante la descripción de los indicadores lexicográficos del corpus de texto elaborado a partir de los textos producto de los grupos focales aplicados a estudiantes de la </w:t>
      </w:r>
      <w:r w:rsidRPr="00436CB6">
        <w:rPr>
          <w:i/>
          <w:iCs/>
        </w:rPr>
        <w:t>Facultad de Trabajo Social</w:t>
      </w:r>
      <w:r w:rsidRPr="00436CB6">
        <w:t xml:space="preserve"> de la </w:t>
      </w:r>
      <w:r w:rsidRPr="00436CB6">
        <w:rPr>
          <w:i/>
          <w:iCs/>
        </w:rPr>
        <w:t>UJED.</w:t>
      </w:r>
      <w:r w:rsidRPr="00436CB6">
        <w:t xml:space="preserve"> Dichos indicadores tratarán la explicación acerca de las características del corpus de tezto como una representación social, ello en valoración de su calidad como un conjunto de ideas socialmente compartidas por los grupos de los estudiantes en cuestión. En segundo lugar, se buscará La identificación del núcleo de la representación mediante la presentación temática del corpus (utilizando la clasificación jerárquica de Reinet) y la delimitación del nucleo representacional mediante el análisis de similitud de las </w:t>
      </w:r>
      <w:r w:rsidRPr="00436CB6">
        <w:rPr>
          <w:i/>
          <w:iCs/>
        </w:rPr>
        <w:t>palabras</w:t>
      </w:r>
      <w:r w:rsidRPr="00436CB6">
        <w:t xml:space="preserve"> o </w:t>
      </w:r>
      <w:r w:rsidRPr="00436CB6">
        <w:rPr>
          <w:i/>
          <w:iCs/>
        </w:rPr>
        <w:t>formas activas</w:t>
      </w:r>
      <w:r w:rsidRPr="00436CB6">
        <w:t>. Esta estrategia se basa en la metodología indicada por Moliner y Lo Mónaco (2017) para asociaciones verbales y aplicable también a textos narrativos como los aquí utilizados.</w:t>
      </w:r>
    </w:p>
    <w:p w14:paraId="0E483410" w14:textId="77777777" w:rsidR="005C3522" w:rsidRPr="00436CB6" w:rsidRDefault="00000000" w:rsidP="00436CB6">
      <w:pPr>
        <w:pStyle w:val="Ttulo2"/>
        <w:rPr>
          <w:lang w:val="es-MX"/>
        </w:rPr>
      </w:pPr>
      <w:bookmarkStart w:id="1" w:name="propiedades-lexicográficas"/>
      <w:bookmarkEnd w:id="0"/>
      <w:r w:rsidRPr="00436CB6">
        <w:rPr>
          <w:lang w:val="es-MX"/>
        </w:rPr>
        <w:t>1. Propiedades lexicográficas:</w:t>
      </w:r>
    </w:p>
    <w:p w14:paraId="0301EFE1" w14:textId="77777777" w:rsidR="005C3522" w:rsidRPr="00436CB6" w:rsidRDefault="00000000" w:rsidP="00C85B2B">
      <w:pPr>
        <w:pStyle w:val="FirstParagraph"/>
      </w:pPr>
      <w:r w:rsidRPr="00436CB6">
        <w:t>En esta primera parte se analizan tres tipos de indicador, (1) Diversidad de la Representación, (2) el índice de rareza y (3) la estabilidad de la representación mediante un método gráfico.</w:t>
      </w:r>
    </w:p>
    <w:p w14:paraId="7C5C48B3" w14:textId="77777777" w:rsidR="005C3522" w:rsidRPr="00436CB6" w:rsidRDefault="00000000" w:rsidP="00436CB6">
      <w:pPr>
        <w:pStyle w:val="Ttulo3"/>
      </w:pPr>
      <w:bookmarkStart w:id="2" w:name="diversidad-la-representación-es"/>
      <w:r w:rsidRPr="00436CB6">
        <w:t>1.1 Diversidad; ¿la representación es</w:t>
      </w:r>
    </w:p>
    <w:p w14:paraId="7B5E038C" w14:textId="77777777" w:rsidR="005C3522" w:rsidRPr="00436CB6" w:rsidRDefault="00000000" w:rsidP="00C85B2B">
      <w:pPr>
        <w:pStyle w:val="FirstParagraph"/>
      </w:pPr>
      <w:r w:rsidRPr="00436CB6">
        <w:t xml:space="preserve">La homogeneidad o heterogeneidad de una representación social desde la presente perspectiva, se obtiene mediante el conteo de palabras desde distintas formas y/o condiciones. En los corpus de texto de grupos focales, de entrevistas o cualquier texto en análisis, la cantidad total de palavras utilizadas por los sujetos, incluidas las </w:t>
      </w:r>
      <w:r w:rsidRPr="00436CB6">
        <w:lastRenderedPageBreak/>
        <w:t xml:space="preserve">palabras repetidas se enomina </w:t>
      </w:r>
      <w:r w:rsidRPr="00436CB6">
        <w:rPr>
          <w:i/>
          <w:iCs/>
        </w:rPr>
        <w:t>ocurrencias.</w:t>
      </w:r>
      <w:r w:rsidRPr="00436CB6">
        <w:t xml:space="preserve"> las palabras que se utilizan para el análisis y que se extraen de </w:t>
      </w:r>
      <w:r w:rsidRPr="00436CB6">
        <w:rPr>
          <w:i/>
          <w:iCs/>
        </w:rPr>
        <w:t>las ocurrencias</w:t>
      </w:r>
      <w:r w:rsidRPr="00436CB6">
        <w:t xml:space="preserve"> son denominadas </w:t>
      </w:r>
      <w:r w:rsidRPr="00436CB6">
        <w:rPr>
          <w:i/>
          <w:iCs/>
        </w:rPr>
        <w:t>formas activas</w:t>
      </w:r>
      <w:r w:rsidRPr="00436CB6">
        <w:t xml:space="preserve"> y </w:t>
      </w:r>
      <w:r w:rsidRPr="00436CB6">
        <w:rPr>
          <w:i/>
          <w:iCs/>
        </w:rPr>
        <w:t>formas suplementarias</w:t>
      </w:r>
      <w:r w:rsidRPr="00436CB6">
        <w:t xml:space="preserve">. Finalmente las palabrasque sean cualquier tipo de las dos formas mencionadas pero que sólo fueron dichas por una sola persona y una sola vez, se designan como </w:t>
      </w:r>
      <w:r w:rsidRPr="00436CB6">
        <w:rPr>
          <w:i/>
          <w:iCs/>
        </w:rPr>
        <w:t>hapax.</w:t>
      </w:r>
      <w:r w:rsidRPr="00436CB6">
        <w:t xml:space="preserve"> En este caso, la </w:t>
      </w:r>
      <w:r w:rsidRPr="00436CB6">
        <w:rPr>
          <w:i/>
          <w:iCs/>
        </w:rPr>
        <w:t>diversidad</w:t>
      </w:r>
      <w:r w:rsidRPr="00436CB6">
        <w:t xml:space="preserve"> del corpus de texto se calcula dividiendo la totalidad de las </w:t>
      </w:r>
      <w:r w:rsidRPr="00436CB6">
        <w:rPr>
          <w:i/>
          <w:iCs/>
        </w:rPr>
        <w:t>formas activas</w:t>
      </w:r>
      <w:r w:rsidRPr="00436CB6">
        <w:t xml:space="preserve"> entre la totalidad de </w:t>
      </w:r>
      <w:r w:rsidRPr="00436CB6">
        <w:rPr>
          <w:i/>
          <w:iCs/>
        </w:rPr>
        <w:t>ocurrencias.</w:t>
      </w:r>
      <w:r w:rsidRPr="00436CB6">
        <w:t xml:space="preserve"> El resultado en un número entre 0 y 1; entre más se acerrque el resultado a 0, la representación contiene menos diversidad y por lo tanto mayor conocimiento, opiniones o creencias compartidas. Si el resultado se acerca más al 1, ello indica una representación social más difusa (Moliner and Lo Monaco 2017, 105–6). La siguiente tabla muestra los resultados de esta propiedad en los diferentes grupos de corpus.</w:t>
      </w:r>
    </w:p>
    <w:p w14:paraId="60BB00AD" w14:textId="77777777" w:rsidR="005C3522" w:rsidRPr="00436CB6" w:rsidRDefault="00000000">
      <w:pPr>
        <w:pStyle w:val="TableCaption"/>
        <w:rPr>
          <w:lang w:val="es-MX"/>
        </w:rPr>
      </w:pPr>
      <w:r w:rsidRPr="00436CB6">
        <w:rPr>
          <w:lang w:val="es-MX"/>
        </w:rPr>
        <w:t>ïndice de diversidad de la representación por grupo por grupo</w:t>
      </w:r>
    </w:p>
    <w:tbl>
      <w:tblPr>
        <w:tblStyle w:val="Table"/>
        <w:tblW w:w="0" w:type="auto"/>
        <w:tblLook w:val="0020" w:firstRow="1" w:lastRow="0" w:firstColumn="0" w:lastColumn="0" w:noHBand="0" w:noVBand="0"/>
        <w:tblCaption w:val="ïndice de diversidad de la representación por grupo por grupo"/>
      </w:tblPr>
      <w:tblGrid>
        <w:gridCol w:w="3025"/>
        <w:gridCol w:w="1307"/>
      </w:tblGrid>
      <w:tr w:rsidR="005C3522" w14:paraId="743ED0C3" w14:textId="77777777" w:rsidTr="005C3522">
        <w:trPr>
          <w:cnfStyle w:val="100000000000" w:firstRow="1" w:lastRow="0" w:firstColumn="0" w:lastColumn="0" w:oddVBand="0" w:evenVBand="0" w:oddHBand="0" w:evenHBand="0" w:firstRowFirstColumn="0" w:firstRowLastColumn="0" w:lastRowFirstColumn="0" w:lastRowLastColumn="0"/>
          <w:tblHeader/>
        </w:trPr>
        <w:tc>
          <w:tcPr>
            <w:tcW w:w="0" w:type="auto"/>
          </w:tcPr>
          <w:p w14:paraId="0115DF91" w14:textId="77777777" w:rsidR="005C3522" w:rsidRDefault="00000000" w:rsidP="00C85B2B">
            <w:pPr>
              <w:pStyle w:val="Compact"/>
            </w:pPr>
            <w:r>
              <w:t>corpus</w:t>
            </w:r>
          </w:p>
        </w:tc>
        <w:tc>
          <w:tcPr>
            <w:tcW w:w="0" w:type="auto"/>
          </w:tcPr>
          <w:p w14:paraId="3F2E74AC" w14:textId="77777777" w:rsidR="005C3522" w:rsidRDefault="00000000" w:rsidP="00C85B2B">
            <w:pPr>
              <w:pStyle w:val="Compact"/>
            </w:pPr>
            <w:r>
              <w:t>diversidad</w:t>
            </w:r>
          </w:p>
        </w:tc>
      </w:tr>
      <w:tr w:rsidR="005C3522" w14:paraId="64C51405" w14:textId="77777777">
        <w:tc>
          <w:tcPr>
            <w:tcW w:w="0" w:type="auto"/>
          </w:tcPr>
          <w:p w14:paraId="28DBABD2" w14:textId="77777777" w:rsidR="005C3522" w:rsidRDefault="00000000" w:rsidP="00C85B2B">
            <w:pPr>
              <w:pStyle w:val="Compact"/>
            </w:pPr>
            <w:r>
              <w:t>Corpus completo</w:t>
            </w:r>
          </w:p>
        </w:tc>
        <w:tc>
          <w:tcPr>
            <w:tcW w:w="0" w:type="auto"/>
          </w:tcPr>
          <w:p w14:paraId="0E5B6F2F" w14:textId="77777777" w:rsidR="005C3522" w:rsidRDefault="00000000" w:rsidP="00C85B2B">
            <w:pPr>
              <w:pStyle w:val="Compact"/>
            </w:pPr>
            <w:r>
              <w:t>0.06</w:t>
            </w:r>
          </w:p>
        </w:tc>
      </w:tr>
      <w:tr w:rsidR="005C3522" w14:paraId="43CA120C" w14:textId="77777777">
        <w:tc>
          <w:tcPr>
            <w:tcW w:w="0" w:type="auto"/>
          </w:tcPr>
          <w:p w14:paraId="779DFBA0" w14:textId="77777777" w:rsidR="005C3522" w:rsidRDefault="00000000" w:rsidP="00C85B2B">
            <w:pPr>
              <w:pStyle w:val="Compact"/>
            </w:pPr>
            <w:r>
              <w:t>Hombres</w:t>
            </w:r>
          </w:p>
        </w:tc>
        <w:tc>
          <w:tcPr>
            <w:tcW w:w="0" w:type="auto"/>
          </w:tcPr>
          <w:p w14:paraId="02CB13FA" w14:textId="77777777" w:rsidR="005C3522" w:rsidRDefault="00000000" w:rsidP="00C85B2B">
            <w:pPr>
              <w:pStyle w:val="Compact"/>
            </w:pPr>
            <w:r>
              <w:t>0.11</w:t>
            </w:r>
          </w:p>
        </w:tc>
      </w:tr>
      <w:tr w:rsidR="005C3522" w14:paraId="7CB48C68" w14:textId="77777777">
        <w:tc>
          <w:tcPr>
            <w:tcW w:w="0" w:type="auto"/>
          </w:tcPr>
          <w:p w14:paraId="3A2320FE" w14:textId="77777777" w:rsidR="005C3522" w:rsidRDefault="00000000" w:rsidP="00C85B2B">
            <w:pPr>
              <w:pStyle w:val="Compact"/>
            </w:pPr>
            <w:r>
              <w:t>Mujeres</w:t>
            </w:r>
          </w:p>
        </w:tc>
        <w:tc>
          <w:tcPr>
            <w:tcW w:w="0" w:type="auto"/>
          </w:tcPr>
          <w:p w14:paraId="70B57774" w14:textId="77777777" w:rsidR="005C3522" w:rsidRDefault="00000000" w:rsidP="00C85B2B">
            <w:pPr>
              <w:pStyle w:val="Compact"/>
            </w:pPr>
            <w:r>
              <w:t>0.07</w:t>
            </w:r>
          </w:p>
        </w:tc>
      </w:tr>
      <w:tr w:rsidR="005C3522" w14:paraId="35138A42" w14:textId="77777777">
        <w:tc>
          <w:tcPr>
            <w:tcW w:w="0" w:type="auto"/>
          </w:tcPr>
          <w:p w14:paraId="357B67F2" w14:textId="77777777" w:rsidR="005C3522" w:rsidRPr="00436CB6" w:rsidRDefault="00000000" w:rsidP="00C85B2B">
            <w:pPr>
              <w:pStyle w:val="Compact"/>
            </w:pPr>
            <w:r w:rsidRPr="00436CB6">
              <w:t>1o y 2o demestre de LTS</w:t>
            </w:r>
          </w:p>
        </w:tc>
        <w:tc>
          <w:tcPr>
            <w:tcW w:w="0" w:type="auto"/>
          </w:tcPr>
          <w:p w14:paraId="5A4F739F" w14:textId="77777777" w:rsidR="005C3522" w:rsidRDefault="00000000" w:rsidP="00C85B2B">
            <w:pPr>
              <w:pStyle w:val="Compact"/>
            </w:pPr>
            <w:r>
              <w:t>0.09</w:t>
            </w:r>
          </w:p>
        </w:tc>
      </w:tr>
      <w:tr w:rsidR="005C3522" w14:paraId="1EBB5D36" w14:textId="77777777">
        <w:tc>
          <w:tcPr>
            <w:tcW w:w="0" w:type="auto"/>
          </w:tcPr>
          <w:p w14:paraId="49ABC43E" w14:textId="77777777" w:rsidR="005C3522" w:rsidRPr="00436CB6" w:rsidRDefault="00000000" w:rsidP="00C85B2B">
            <w:pPr>
              <w:pStyle w:val="Compact"/>
            </w:pPr>
            <w:r w:rsidRPr="00436CB6">
              <w:t>3o y 4o semestre de LTS</w:t>
            </w:r>
          </w:p>
        </w:tc>
        <w:tc>
          <w:tcPr>
            <w:tcW w:w="0" w:type="auto"/>
          </w:tcPr>
          <w:p w14:paraId="5D945630" w14:textId="77777777" w:rsidR="005C3522" w:rsidRDefault="00000000" w:rsidP="00C85B2B">
            <w:pPr>
              <w:pStyle w:val="Compact"/>
            </w:pPr>
            <w:r>
              <w:t>0.11</w:t>
            </w:r>
          </w:p>
        </w:tc>
      </w:tr>
      <w:tr w:rsidR="005C3522" w14:paraId="67E577EC" w14:textId="77777777">
        <w:tc>
          <w:tcPr>
            <w:tcW w:w="0" w:type="auto"/>
          </w:tcPr>
          <w:p w14:paraId="14F39811" w14:textId="77777777" w:rsidR="005C3522" w:rsidRPr="00436CB6" w:rsidRDefault="00000000" w:rsidP="00C85B2B">
            <w:pPr>
              <w:pStyle w:val="Compact"/>
            </w:pPr>
            <w:r w:rsidRPr="00436CB6">
              <w:t>De 6o a 8o semestre de LTS</w:t>
            </w:r>
          </w:p>
        </w:tc>
        <w:tc>
          <w:tcPr>
            <w:tcW w:w="0" w:type="auto"/>
          </w:tcPr>
          <w:p w14:paraId="601D8789" w14:textId="77777777" w:rsidR="005C3522" w:rsidRDefault="00000000" w:rsidP="00C85B2B">
            <w:pPr>
              <w:pStyle w:val="Compact"/>
            </w:pPr>
            <w:r>
              <w:t>0.10</w:t>
            </w:r>
          </w:p>
        </w:tc>
      </w:tr>
    </w:tbl>
    <w:p w14:paraId="69367AD0" w14:textId="77777777" w:rsidR="005C3522" w:rsidRPr="00436CB6" w:rsidRDefault="00000000" w:rsidP="00C85B2B">
      <w:pPr>
        <w:pStyle w:val="Textodebloque"/>
      </w:pPr>
      <w:r w:rsidRPr="00436CB6">
        <w:t>Fuente: Elaboración propia con la información textual de los grupos focales implementados en el proyecto Representaciones sociales de la vejez y envejecimiento en jóvenes universitarios de la Facultad de Trabajo Social de la UJED.</w:t>
      </w:r>
    </w:p>
    <w:p w14:paraId="6A1274D9" w14:textId="77777777" w:rsidR="005C3522" w:rsidRPr="00436CB6" w:rsidRDefault="00000000" w:rsidP="00C85B2B">
      <w:pPr>
        <w:pStyle w:val="FirstParagraph"/>
      </w:pPr>
      <w:r w:rsidRPr="00436CB6">
        <w:t xml:space="preserve">En esta tabla es visible que todos los grupos obtienen un </w:t>
      </w:r>
      <w:r w:rsidRPr="00436CB6">
        <w:rPr>
          <w:i/>
          <w:iCs/>
        </w:rPr>
        <w:t>índice de diversidad</w:t>
      </w:r>
      <w:r w:rsidRPr="00436CB6">
        <w:t xml:space="preserve"> cercano a 0, por lo tanto puede decirse que la representación social en estudio es muy homogénea, es decir, hay considerable cantidad de conocimiento social compartido. Lo que debe destacarse, sin embargo, es que son visibles también diferencias entre los subgrupos del corpus de texto.</w:t>
      </w:r>
    </w:p>
    <w:p w14:paraId="61198943" w14:textId="77777777" w:rsidR="005C3522" w:rsidRPr="00436CB6" w:rsidRDefault="00000000" w:rsidP="00C85B2B">
      <w:pPr>
        <w:pStyle w:val="Textoindependiente"/>
      </w:pPr>
      <w:r w:rsidRPr="00C85B2B">
        <w:lastRenderedPageBreak/>
        <w:t>Por</w:t>
      </w:r>
      <w:r w:rsidRPr="00436CB6">
        <w:t xml:space="preserve"> un lado, en el caso de mujeres y hombres, aquellas tienen al parecer una representación social más homogenea que los hombres. Este resultado puede deberse a distintas razones, que van desde la propia representación que en las comunidades y familias en la vida cotidiana tienen hombres y mujeres, esta diferencia en el aprendizaje y asimilación de contenidos escolares relacionados con la temática, es decir, se puede conjeturar que hombres y mujeres pueden aprender de forma diferente las concepciones recientes sobre la vida y práctica social de la vejez y el envejecimiento. Finalmente, la diferencia podría vincularse tamién a que el subcorpus de texto de las mujeres es mucho más grande que el de los hombres, aunque la razón principal de comparar ambos subcorpus, es que los dos contienen individuos que han sido expuestos al material sobre la vejez y envejecimiento, y ello constituye que ambas poblaciones se encontraban en igualdad de circunstancias al momento de participar en la implementación de la técnica de grupos focales.</w:t>
      </w:r>
    </w:p>
    <w:p w14:paraId="2BB3C6C7" w14:textId="77777777" w:rsidR="005C3522" w:rsidRPr="00436CB6" w:rsidRDefault="00000000" w:rsidP="00C85B2B">
      <w:pPr>
        <w:pStyle w:val="Textoindependiente"/>
      </w:pPr>
      <w:r w:rsidRPr="00436CB6">
        <w:t>En el caso de la división por grupos de semestre, es apreciable lque los primeros semestres tienen una sutil diferencia en la homogeneidad de su discurso, Conforme se incrementan los semestres de formación en la licenciatura en trabajo social, aumenta (aunque de forma mínima) la heterogeneidad del corpus. Esto se debe con probablidad a la incorporación de nuevos conocimientos o ideas sobre el género, derehos humanos o sobre la propia vejez y envejecimiento, es decir, conforme se aprene más, el discurso es más heterogeneo, aunque cono ya se indicó, la diferencia es mínima.</w:t>
      </w:r>
    </w:p>
    <w:p w14:paraId="2ADD884D" w14:textId="77777777" w:rsidR="005C3522" w:rsidRPr="00436CB6" w:rsidRDefault="00000000" w:rsidP="00C85B2B">
      <w:pPr>
        <w:pStyle w:val="Textoindependiente"/>
      </w:pPr>
      <w:r w:rsidRPr="00436CB6">
        <w:t xml:space="preserve">Ahora bien, como lo indican Moliner y mónaco (2017, p. 106), no basta conocer si una representación es homogenea o heterogenea, sino cómo es dicha condición respecto a su origen, es decir, quénes emitieron las palabras que conforman la representación. Más propiamente, cuántas de las personas emiten el corpus tantos las </w:t>
      </w:r>
      <w:r w:rsidRPr="00436CB6">
        <w:rPr>
          <w:i/>
          <w:iCs/>
        </w:rPr>
        <w:t>formas</w:t>
      </w:r>
      <w:r w:rsidRPr="00436CB6">
        <w:t xml:space="preserve"> como los </w:t>
      </w:r>
      <w:r w:rsidRPr="00436CB6">
        <w:rPr>
          <w:i/>
          <w:iCs/>
        </w:rPr>
        <w:t>hapax.</w:t>
      </w:r>
      <w:r w:rsidRPr="00436CB6">
        <w:t xml:space="preserve"> Ello se conoce mediante el índice de rareza, que se presenta en la siguiente sección.</w:t>
      </w:r>
    </w:p>
    <w:p w14:paraId="0FC2BACE" w14:textId="77777777" w:rsidR="005C3522" w:rsidRPr="00436CB6" w:rsidRDefault="00000000" w:rsidP="00436CB6">
      <w:pPr>
        <w:pStyle w:val="Ttulo3"/>
      </w:pPr>
      <w:bookmarkStart w:id="3" w:name="Xc3d27646e92cc9f2e9ff82c42fb6f56893b4ce7"/>
      <w:bookmarkEnd w:id="2"/>
      <w:r w:rsidRPr="00436CB6">
        <w:lastRenderedPageBreak/>
        <w:t>1.2 Índice de rareza; ¿quien vuelve homogenea/heterogenea la representación, los individuos o el colectivo?</w:t>
      </w:r>
    </w:p>
    <w:p w14:paraId="3C853998" w14:textId="77777777" w:rsidR="005C3522" w:rsidRPr="00436CB6" w:rsidRDefault="00000000" w:rsidP="00C85B2B">
      <w:pPr>
        <w:pStyle w:val="FirstParagraph"/>
      </w:pPr>
      <w:r w:rsidRPr="00436CB6">
        <w:t xml:space="preserve">El denominado </w:t>
      </w:r>
      <w:r w:rsidRPr="00436CB6">
        <w:rPr>
          <w:i/>
          <w:iCs/>
        </w:rPr>
        <w:t>índice de rareza</w:t>
      </w:r>
      <w:r w:rsidRPr="00436CB6">
        <w:t xml:space="preserve"> inica la relación entre las formas activas </w:t>
      </w:r>
      <w:r w:rsidRPr="00436CB6">
        <w:rPr>
          <w:i/>
          <w:iCs/>
        </w:rPr>
        <w:t>y los hapax</w:t>
      </w:r>
      <w:r w:rsidRPr="00436CB6">
        <w:t xml:space="preserve">, de tal modo que al dividir la totalidad de </w:t>
      </w:r>
      <w:r w:rsidRPr="00436CB6">
        <w:rPr>
          <w:i/>
          <w:iCs/>
        </w:rPr>
        <w:t>hapax</w:t>
      </w:r>
      <w:r w:rsidRPr="00436CB6">
        <w:t xml:space="preserve"> entre las totalidad de </w:t>
      </w:r>
      <w:r w:rsidRPr="00436CB6">
        <w:rPr>
          <w:i/>
          <w:iCs/>
        </w:rPr>
        <w:t>formas activas</w:t>
      </w:r>
      <w:r w:rsidRPr="00436CB6">
        <w:t xml:space="preserve"> se obtiene la **Tabla 2**:</w:t>
      </w:r>
    </w:p>
    <w:p w14:paraId="5DFF3E01" w14:textId="77777777" w:rsidR="005C3522" w:rsidRPr="00436CB6" w:rsidRDefault="00000000">
      <w:pPr>
        <w:pStyle w:val="TableCaption"/>
        <w:rPr>
          <w:lang w:val="es-MX"/>
        </w:rPr>
      </w:pPr>
      <w:r w:rsidRPr="00436CB6">
        <w:rPr>
          <w:lang w:val="es-MX"/>
        </w:rPr>
        <w:t>Ínice de rareza en el corpus representacional por subgrupos</w:t>
      </w:r>
    </w:p>
    <w:tbl>
      <w:tblPr>
        <w:tblStyle w:val="Table"/>
        <w:tblW w:w="0" w:type="auto"/>
        <w:tblLook w:val="0020" w:firstRow="1" w:lastRow="0" w:firstColumn="0" w:lastColumn="0" w:noHBand="0" w:noVBand="0"/>
        <w:tblCaption w:val="Ínice de rareza en el corpus representacional por subgrupos"/>
      </w:tblPr>
      <w:tblGrid>
        <w:gridCol w:w="3025"/>
        <w:gridCol w:w="876"/>
      </w:tblGrid>
      <w:tr w:rsidR="005C3522" w14:paraId="271210CF" w14:textId="77777777" w:rsidTr="005C3522">
        <w:trPr>
          <w:cnfStyle w:val="100000000000" w:firstRow="1" w:lastRow="0" w:firstColumn="0" w:lastColumn="0" w:oddVBand="0" w:evenVBand="0" w:oddHBand="0" w:evenHBand="0" w:firstRowFirstColumn="0" w:firstRowLastColumn="0" w:lastRowFirstColumn="0" w:lastRowLastColumn="0"/>
          <w:tblHeader/>
        </w:trPr>
        <w:tc>
          <w:tcPr>
            <w:tcW w:w="0" w:type="auto"/>
          </w:tcPr>
          <w:p w14:paraId="23FA98A3" w14:textId="77777777" w:rsidR="005C3522" w:rsidRDefault="00000000" w:rsidP="00C85B2B">
            <w:pPr>
              <w:pStyle w:val="Compact"/>
            </w:pPr>
            <w:r>
              <w:t>corpus</w:t>
            </w:r>
          </w:p>
        </w:tc>
        <w:tc>
          <w:tcPr>
            <w:tcW w:w="0" w:type="auto"/>
          </w:tcPr>
          <w:p w14:paraId="5FBE6ABF" w14:textId="77777777" w:rsidR="005C3522" w:rsidRDefault="00000000" w:rsidP="00C85B2B">
            <w:pPr>
              <w:pStyle w:val="Compact"/>
            </w:pPr>
            <w:r>
              <w:t>rareza</w:t>
            </w:r>
          </w:p>
        </w:tc>
      </w:tr>
      <w:tr w:rsidR="005C3522" w14:paraId="2474AE35" w14:textId="77777777">
        <w:tc>
          <w:tcPr>
            <w:tcW w:w="0" w:type="auto"/>
          </w:tcPr>
          <w:p w14:paraId="7B1B8C7E" w14:textId="77777777" w:rsidR="005C3522" w:rsidRDefault="00000000" w:rsidP="00C85B2B">
            <w:pPr>
              <w:pStyle w:val="Compact"/>
            </w:pPr>
            <w:r>
              <w:t>Corpus completo</w:t>
            </w:r>
          </w:p>
        </w:tc>
        <w:tc>
          <w:tcPr>
            <w:tcW w:w="0" w:type="auto"/>
          </w:tcPr>
          <w:p w14:paraId="6AE9BFEC" w14:textId="77777777" w:rsidR="005C3522" w:rsidRDefault="00000000" w:rsidP="00C85B2B">
            <w:pPr>
              <w:pStyle w:val="Compact"/>
            </w:pPr>
            <w:r>
              <w:t>0.40</w:t>
            </w:r>
          </w:p>
        </w:tc>
      </w:tr>
      <w:tr w:rsidR="005C3522" w14:paraId="3EC0977D" w14:textId="77777777">
        <w:tc>
          <w:tcPr>
            <w:tcW w:w="0" w:type="auto"/>
          </w:tcPr>
          <w:p w14:paraId="2B4BE944" w14:textId="77777777" w:rsidR="005C3522" w:rsidRDefault="00000000" w:rsidP="00C85B2B">
            <w:pPr>
              <w:pStyle w:val="Compact"/>
            </w:pPr>
            <w:r>
              <w:t>Hombres</w:t>
            </w:r>
          </w:p>
        </w:tc>
        <w:tc>
          <w:tcPr>
            <w:tcW w:w="0" w:type="auto"/>
          </w:tcPr>
          <w:p w14:paraId="1A40B085" w14:textId="77777777" w:rsidR="005C3522" w:rsidRDefault="00000000" w:rsidP="00C85B2B">
            <w:pPr>
              <w:pStyle w:val="Compact"/>
            </w:pPr>
            <w:r>
              <w:t>0.48</w:t>
            </w:r>
          </w:p>
        </w:tc>
      </w:tr>
      <w:tr w:rsidR="005C3522" w14:paraId="2ACF7C0D" w14:textId="77777777">
        <w:tc>
          <w:tcPr>
            <w:tcW w:w="0" w:type="auto"/>
          </w:tcPr>
          <w:p w14:paraId="7D806096" w14:textId="77777777" w:rsidR="005C3522" w:rsidRDefault="00000000" w:rsidP="00C85B2B">
            <w:pPr>
              <w:pStyle w:val="Compact"/>
            </w:pPr>
            <w:r>
              <w:t>Mujeres</w:t>
            </w:r>
          </w:p>
        </w:tc>
        <w:tc>
          <w:tcPr>
            <w:tcW w:w="0" w:type="auto"/>
          </w:tcPr>
          <w:p w14:paraId="410653F4" w14:textId="77777777" w:rsidR="005C3522" w:rsidRDefault="00000000" w:rsidP="00C85B2B">
            <w:pPr>
              <w:pStyle w:val="Compact"/>
            </w:pPr>
            <w:r>
              <w:t>0.41</w:t>
            </w:r>
          </w:p>
        </w:tc>
      </w:tr>
      <w:tr w:rsidR="005C3522" w14:paraId="53029116" w14:textId="77777777">
        <w:tc>
          <w:tcPr>
            <w:tcW w:w="0" w:type="auto"/>
          </w:tcPr>
          <w:p w14:paraId="74D6D257" w14:textId="77777777" w:rsidR="005C3522" w:rsidRPr="00436CB6" w:rsidRDefault="00000000" w:rsidP="00C85B2B">
            <w:pPr>
              <w:pStyle w:val="Compact"/>
            </w:pPr>
            <w:r w:rsidRPr="00436CB6">
              <w:t>1o y 2o demestre de LTS</w:t>
            </w:r>
          </w:p>
        </w:tc>
        <w:tc>
          <w:tcPr>
            <w:tcW w:w="0" w:type="auto"/>
          </w:tcPr>
          <w:p w14:paraId="705048B7" w14:textId="77777777" w:rsidR="005C3522" w:rsidRDefault="00000000" w:rsidP="00C85B2B">
            <w:pPr>
              <w:pStyle w:val="Compact"/>
            </w:pPr>
            <w:r>
              <w:t>0.44</w:t>
            </w:r>
          </w:p>
        </w:tc>
      </w:tr>
      <w:tr w:rsidR="005C3522" w14:paraId="09973B2E" w14:textId="77777777">
        <w:tc>
          <w:tcPr>
            <w:tcW w:w="0" w:type="auto"/>
          </w:tcPr>
          <w:p w14:paraId="2484D588" w14:textId="77777777" w:rsidR="005C3522" w:rsidRPr="00436CB6" w:rsidRDefault="00000000" w:rsidP="00C85B2B">
            <w:pPr>
              <w:pStyle w:val="Compact"/>
            </w:pPr>
            <w:r w:rsidRPr="00436CB6">
              <w:t>3o y 4o semestre de LTS</w:t>
            </w:r>
          </w:p>
        </w:tc>
        <w:tc>
          <w:tcPr>
            <w:tcW w:w="0" w:type="auto"/>
          </w:tcPr>
          <w:p w14:paraId="17008266" w14:textId="77777777" w:rsidR="005C3522" w:rsidRDefault="00000000" w:rsidP="00C85B2B">
            <w:pPr>
              <w:pStyle w:val="Compact"/>
            </w:pPr>
            <w:r>
              <w:t>0.47</w:t>
            </w:r>
          </w:p>
        </w:tc>
      </w:tr>
      <w:tr w:rsidR="005C3522" w14:paraId="474EF8D4" w14:textId="77777777">
        <w:tc>
          <w:tcPr>
            <w:tcW w:w="0" w:type="auto"/>
          </w:tcPr>
          <w:p w14:paraId="09C60910" w14:textId="77777777" w:rsidR="005C3522" w:rsidRPr="00436CB6" w:rsidRDefault="00000000" w:rsidP="00C85B2B">
            <w:pPr>
              <w:pStyle w:val="Compact"/>
            </w:pPr>
            <w:r w:rsidRPr="00436CB6">
              <w:t>De 6o a 8o semestre de LTS</w:t>
            </w:r>
          </w:p>
        </w:tc>
        <w:tc>
          <w:tcPr>
            <w:tcW w:w="0" w:type="auto"/>
          </w:tcPr>
          <w:p w14:paraId="0D566AE1" w14:textId="77777777" w:rsidR="005C3522" w:rsidRDefault="00000000" w:rsidP="00C85B2B">
            <w:pPr>
              <w:pStyle w:val="Compact"/>
            </w:pPr>
            <w:r>
              <w:t>0.50</w:t>
            </w:r>
          </w:p>
        </w:tc>
      </w:tr>
    </w:tbl>
    <w:p w14:paraId="3BACB49B" w14:textId="77777777" w:rsidR="005C3522" w:rsidRDefault="00000000" w:rsidP="00436CB6">
      <w:pPr>
        <w:pStyle w:val="Ttulo2"/>
      </w:pPr>
      <w:bookmarkStart w:id="4" w:name="referencias"/>
      <w:bookmarkEnd w:id="1"/>
      <w:bookmarkEnd w:id="3"/>
      <w:r>
        <w:t>Referencias</w:t>
      </w:r>
    </w:p>
    <w:p w14:paraId="6B99851C" w14:textId="77777777" w:rsidR="005C3522" w:rsidRDefault="005C3522" w:rsidP="00436CB6">
      <w:pPr>
        <w:pStyle w:val="Ttulo3"/>
      </w:pPr>
      <w:bookmarkStart w:id="5" w:name="section"/>
    </w:p>
    <w:p w14:paraId="7B94651A" w14:textId="77777777" w:rsidR="005C3522" w:rsidRDefault="00000000">
      <w:pPr>
        <w:pStyle w:val="Bibliografa"/>
      </w:pPr>
      <w:bookmarkStart w:id="6" w:name="ref-banchs2000aproximaciones"/>
      <w:bookmarkStart w:id="7" w:name="refs"/>
      <w:r w:rsidRPr="00436CB6">
        <w:rPr>
          <w:lang w:val="es-MX"/>
        </w:rPr>
        <w:t xml:space="preserve">Banchs, María A. 2000. “Aproximaciones Procesuales y Estructurales Al Estudio de Las Representaciones Sociales.” </w:t>
      </w:r>
      <w:r>
        <w:rPr>
          <w:i/>
          <w:iCs/>
        </w:rPr>
        <w:t>Papers on Social Representations</w:t>
      </w:r>
      <w:r>
        <w:t xml:space="preserve"> 9: 31.</w:t>
      </w:r>
    </w:p>
    <w:p w14:paraId="06F77FE0" w14:textId="77777777" w:rsidR="005C3522" w:rsidRDefault="00000000">
      <w:pPr>
        <w:pStyle w:val="Bibliografa"/>
      </w:pPr>
      <w:bookmarkStart w:id="8" w:name="ref-moliner2017"/>
      <w:bookmarkEnd w:id="6"/>
      <w:r>
        <w:t xml:space="preserve">Moliner, Pascal, and Grégory Lo Monaco. 2017. </w:t>
      </w:r>
      <w:r>
        <w:rPr>
          <w:i/>
          <w:iCs/>
        </w:rPr>
        <w:t>Méthodes d’association verbale pour les sciences humaines et sociales: fondements conceptuels et aspects pratiques</w:t>
      </w:r>
      <w:r>
        <w:t>. Vies sociales. Fontaine: Presses universitaires de Grenoble.</w:t>
      </w:r>
      <w:bookmarkEnd w:id="4"/>
      <w:bookmarkEnd w:id="5"/>
      <w:bookmarkEnd w:id="7"/>
      <w:bookmarkEnd w:id="8"/>
    </w:p>
    <w:sectPr w:rsidR="005C352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4AC7C" w14:textId="77777777" w:rsidR="00532603" w:rsidRDefault="00532603">
      <w:pPr>
        <w:spacing w:after="0"/>
      </w:pPr>
      <w:r>
        <w:separator/>
      </w:r>
    </w:p>
  </w:endnote>
  <w:endnote w:type="continuationSeparator" w:id="0">
    <w:p w14:paraId="409823D5" w14:textId="77777777" w:rsidR="00532603" w:rsidRDefault="005326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6C3B4" w14:textId="77777777" w:rsidR="00532603" w:rsidRDefault="00532603">
      <w:r>
        <w:separator/>
      </w:r>
    </w:p>
  </w:footnote>
  <w:footnote w:type="continuationSeparator" w:id="0">
    <w:p w14:paraId="614F28D5" w14:textId="77777777" w:rsidR="00532603" w:rsidRDefault="005326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2C6D7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46978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3522"/>
    <w:rsid w:val="00436CB6"/>
    <w:rsid w:val="00532603"/>
    <w:rsid w:val="005C3522"/>
    <w:rsid w:val="00C85B2B"/>
    <w:rsid w:val="00CD6EA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C18222"/>
  <w15:docId w15:val="{140EC843-E605-4840-B7BA-985004B50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rsid w:val="00436CB6"/>
    <w:pPr>
      <w:keepNext/>
      <w:keepLines/>
      <w:spacing w:before="200" w:after="0"/>
      <w:outlineLvl w:val="1"/>
    </w:pPr>
    <w:rPr>
      <w:rFonts w:asciiTheme="majorHAnsi" w:eastAsiaTheme="majorEastAsia" w:hAnsiTheme="majorHAnsi" w:cstheme="majorBidi"/>
      <w:b/>
      <w:bCs/>
      <w:sz w:val="28"/>
      <w:szCs w:val="28"/>
    </w:rPr>
  </w:style>
  <w:style w:type="paragraph" w:styleId="Ttulo3">
    <w:name w:val="heading 3"/>
    <w:basedOn w:val="Normal"/>
    <w:next w:val="Textoindependiente"/>
    <w:uiPriority w:val="9"/>
    <w:unhideWhenUsed/>
    <w:qFormat/>
    <w:rsid w:val="00436CB6"/>
    <w:pPr>
      <w:keepNext/>
      <w:keepLines/>
      <w:spacing w:before="200" w:after="0"/>
      <w:outlineLvl w:val="2"/>
    </w:pPr>
    <w:rPr>
      <w:rFonts w:asciiTheme="majorHAnsi" w:eastAsiaTheme="majorEastAsia" w:hAnsiTheme="majorHAnsi" w:cstheme="majorBidi"/>
      <w:b/>
      <w:bCs/>
      <w:i/>
      <w:iCs/>
      <w:lang w:val="es-MX"/>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C85B2B"/>
    <w:pPr>
      <w:spacing w:before="180" w:after="180" w:line="360" w:lineRule="auto"/>
      <w:jc w:val="both"/>
    </w:pPr>
    <w:rPr>
      <w:lang w:val="es-MX"/>
    </w:rPr>
  </w:style>
  <w:style w:type="paragraph" w:customStyle="1" w:styleId="FirstParagraph">
    <w:name w:val="First Paragraph"/>
    <w:basedOn w:val="Textoindependiente"/>
    <w:next w:val="Textoindependiente"/>
    <w:qFormat/>
    <w:rsid w:val="00436CB6"/>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436CB6"/>
    <w:pPr>
      <w:keepNext/>
      <w:keepLines/>
      <w:spacing w:before="480" w:after="240"/>
      <w:jc w:val="center"/>
    </w:pPr>
    <w:rPr>
      <w:rFonts w:asciiTheme="majorHAnsi" w:eastAsiaTheme="majorEastAsia" w:hAnsiTheme="majorHAnsi" w:cstheme="majorBidi"/>
      <w:b/>
      <w:bCs/>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1012</Words>
  <Characters>5570</Characters>
  <Application>Microsoft Office Word</Application>
  <DocSecurity>0</DocSecurity>
  <Lines>46</Lines>
  <Paragraphs>13</Paragraphs>
  <ScaleCrop>false</ScaleCrop>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lexico de la representación social sobrela vejez y el envejecimiento en estudiantes e la FTS-UJHED</dc:title>
  <dc:creator/>
  <cp:keywords/>
  <cp:lastModifiedBy>Jorge Enrique Bracamontes Grajeda</cp:lastModifiedBy>
  <cp:revision>3</cp:revision>
  <dcterms:created xsi:type="dcterms:W3CDTF">2024-04-16T21:03:00Z</dcterms:created>
  <dcterms:modified xsi:type="dcterms:W3CDTF">2024-04-17T02:36:00Z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