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7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E7E6E6" w:themeFill="background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7"/>
      </w:tblGrid>
      <w:tr w:rsidR="00CA0049" w:rsidRPr="007062EE" w:rsidTr="00C414F3">
        <w:trPr>
          <w:trHeight w:val="345"/>
          <w:jc w:val="center"/>
        </w:trPr>
        <w:tc>
          <w:tcPr>
            <w:tcW w:w="9107" w:type="dxa"/>
            <w:shd w:val="clear" w:color="auto" w:fill="E7E6E6" w:themeFill="background2"/>
          </w:tcPr>
          <w:p w:rsidR="00CA0049" w:rsidRPr="007062EE" w:rsidRDefault="00CA0049" w:rsidP="00C414F3">
            <w:pPr>
              <w:wordWrap w:val="0"/>
              <w:adjustRightInd w:val="0"/>
              <w:snapToGrid w:val="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bookmarkStart w:id="0" w:name="_GoBack"/>
            <w:r w:rsidRPr="007062EE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“教育开始”</w:t>
            </w:r>
          </w:p>
          <w:tbl>
            <w:tblPr>
              <w:tblStyle w:val="TableGrid"/>
              <w:tblW w:w="0" w:type="auto"/>
              <w:jc w:val="center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967"/>
              <w:gridCol w:w="3119"/>
              <w:gridCol w:w="2976"/>
            </w:tblGrid>
            <w:tr w:rsidR="00CA0049" w:rsidRPr="007062EE" w:rsidTr="00C414F3">
              <w:trPr>
                <w:jc w:val="center"/>
              </w:trPr>
              <w:tc>
                <w:tcPr>
                  <w:tcW w:w="9062" w:type="dxa"/>
                  <w:gridSpan w:val="3"/>
                  <w:shd w:val="clear" w:color="auto" w:fill="FFFFFF" w:themeFill="background1"/>
                </w:tcPr>
                <w:p w:rsidR="00CA0049" w:rsidRPr="00CA0049" w:rsidRDefault="00CA0049" w:rsidP="00C414F3">
                  <w:pPr>
                    <w:wordWrap w:val="0"/>
                    <w:adjustRightInd w:val="0"/>
                    <w:snapToGrid w:val="0"/>
                    <w:ind w:firstLine="0"/>
                    <w:jc w:val="center"/>
                    <w:rPr>
                      <w:rFonts w:asciiTheme="minorEastAsia" w:eastAsiaTheme="minorEastAsia" w:hAnsiTheme="minorEastAsia"/>
                      <w:sz w:val="4"/>
                      <w:szCs w:val="4"/>
                    </w:rPr>
                  </w:pPr>
                </w:p>
                <w:tbl>
                  <w:tblPr>
                    <w:tblW w:w="8382" w:type="dxa"/>
                    <w:jc w:val="center"/>
                    <w:tblBorders>
                      <w:top w:val="single" w:sz="8" w:space="0" w:color="auto"/>
                      <w:left w:val="single" w:sz="8" w:space="0" w:color="auto"/>
                      <w:bottom w:val="single" w:sz="8" w:space="0" w:color="auto"/>
                      <w:right w:val="single" w:sz="8" w:space="0" w:color="auto"/>
                      <w:insideV w:val="single" w:sz="8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82"/>
                  </w:tblGrid>
                  <w:tr w:rsidR="00CA0049" w:rsidRPr="007062EE" w:rsidTr="00C414F3">
                    <w:trPr>
                      <w:jc w:val="center"/>
                    </w:trPr>
                    <w:tc>
                      <w:tcPr>
                        <w:tcW w:w="8382" w:type="dxa"/>
                      </w:tcPr>
                      <w:p w:rsidR="00CA0049" w:rsidRPr="007062EE" w:rsidRDefault="00CA0049" w:rsidP="00C414F3">
                        <w:pPr>
                          <w:shd w:val="clear" w:color="auto" w:fill="E7E6E6" w:themeFill="background2"/>
                          <w:wordWrap w:val="0"/>
                          <w:adjustRightInd w:val="0"/>
                          <w:snapToGrid w:val="0"/>
                          <w:spacing w:before="120" w:after="120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三.“客户端MVC、互动MVC、服务端MVC的”视图V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（一平台的五种类）</w:t>
                        </w:r>
                      </w:p>
                      <w:p w:rsidR="00CA0049" w:rsidRPr="007062EE" w:rsidRDefault="00CA0049" w:rsidP="00C414F3">
                        <w:pPr>
                          <w:pBdr>
                            <w:top w:val="dashed" w:sz="4" w:space="0" w:color="auto"/>
                            <w:left w:val="dashed" w:sz="4" w:space="0" w:color="auto"/>
                            <w:bottom w:val="dashed" w:sz="4" w:space="0" w:color="auto"/>
                            <w:right w:val="dashed" w:sz="4" w:space="0" w:color="auto"/>
                          </w:pBdr>
                          <w:adjustRightInd w:val="0"/>
                          <w:snapToGrid w:val="0"/>
                          <w:spacing w:after="120"/>
                          <w:ind w:firstLine="48"/>
                          <w:jc w:val="center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（1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）视媒【</w:t>
                        </w:r>
                        <w:r>
                          <w:rPr>
                            <w:rFonts w:hint="eastAsia"/>
                          </w:rPr>
                          <w:t>字符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/图像/视频/2D/3D】（2）听媒（3）触媒（4）嗅媒（5）味媒</w:t>
                        </w:r>
                      </w:p>
                    </w:tc>
                  </w:tr>
                  <w:tr w:rsidR="00CA0049" w:rsidRPr="007062EE" w:rsidTr="00C414F3">
                    <w:trPr>
                      <w:jc w:val="center"/>
                    </w:trPr>
                    <w:tc>
                      <w:tcPr>
                        <w:tcW w:w="8382" w:type="dxa"/>
                      </w:tcPr>
                      <w:p w:rsidR="00CA0049" w:rsidRPr="007062EE" w:rsidRDefault="00CA0049" w:rsidP="00C414F3">
                        <w:pPr>
                          <w:shd w:val="clear" w:color="auto" w:fill="E7E6E6" w:themeFill="background2"/>
                          <w:wordWrap w:val="0"/>
                          <w:adjustRightInd w:val="0"/>
                          <w:snapToGrid w:val="0"/>
                          <w:spacing w:before="120" w:after="120"/>
                          <w:ind w:firstLine="48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二. “客户端MVC、互动MVC、服务端MVC的”控制C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一平台的二种类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）</w:t>
                        </w:r>
                      </w:p>
                      <w:p w:rsidR="00CA0049" w:rsidRPr="007062EE" w:rsidRDefault="00CA0049" w:rsidP="00C414F3">
                        <w:pPr>
                          <w:pBdr>
                            <w:top w:val="dashed" w:sz="4" w:space="0" w:color="auto"/>
                            <w:left w:val="dashed" w:sz="4" w:space="0" w:color="auto"/>
                            <w:bottom w:val="dashed" w:sz="4" w:space="0" w:color="auto"/>
                            <w:right w:val="dashed" w:sz="4" w:space="0" w:color="auto"/>
                          </w:pBdr>
                          <w:adjustRightInd w:val="0"/>
                          <w:snapToGrid w:val="0"/>
                          <w:spacing w:after="120"/>
                          <w:jc w:val="center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（1）一对一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的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推送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与接受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（2）一对多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的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推送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与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接受</w:t>
                        </w:r>
                      </w:p>
                    </w:tc>
                  </w:tr>
                  <w:tr w:rsidR="00CA0049" w:rsidRPr="007062EE" w:rsidTr="00C414F3">
                    <w:trPr>
                      <w:jc w:val="center"/>
                    </w:trPr>
                    <w:tc>
                      <w:tcPr>
                        <w:tcW w:w="8382" w:type="dxa"/>
                      </w:tcPr>
                      <w:p w:rsidR="00CA0049" w:rsidRPr="007062EE" w:rsidRDefault="00CA0049" w:rsidP="00C414F3">
                        <w:pPr>
                          <w:shd w:val="clear" w:color="auto" w:fill="E7E6E6" w:themeFill="background2"/>
                          <w:wordWrap w:val="0"/>
                          <w:adjustRightInd w:val="0"/>
                          <w:snapToGrid w:val="0"/>
                          <w:spacing w:before="120" w:after="120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 xml:space="preserve">一. “客户端MVC、互动MVC、服务端MVC的”模型M 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(五平台)</w:t>
                        </w:r>
                      </w:p>
                    </w:tc>
                  </w:tr>
                  <w:tr w:rsidR="00CA0049" w:rsidRPr="007062EE" w:rsidTr="00C414F3">
                    <w:trPr>
                      <w:jc w:val="center"/>
                    </w:trPr>
                    <w:tc>
                      <w:tcPr>
                        <w:tcW w:w="8382" w:type="dxa"/>
                      </w:tcPr>
                      <w:p w:rsidR="00CA0049" w:rsidRPr="007062EE" w:rsidRDefault="00CA0049" w:rsidP="00CA0049">
                        <w:pPr>
                          <w:pBdr>
                            <w:top w:val="dashed" w:sz="4" w:space="1" w:color="auto"/>
                            <w:left w:val="dashed" w:sz="4" w:space="4" w:color="auto"/>
                            <w:bottom w:val="dashed" w:sz="4" w:space="1" w:color="auto"/>
                            <w:right w:val="dashed" w:sz="4" w:space="4" w:color="auto"/>
                          </w:pBdr>
                          <w:adjustRightInd w:val="0"/>
                          <w:snapToGrid w:val="0"/>
                          <w:spacing w:after="120"/>
                          <w:ind w:left="57" w:right="57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</w:t>
                        </w:r>
                        <w:r w:rsidRPr="007062EE"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  <w:t>5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）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哲学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(智能建构)</w:t>
                        </w:r>
                        <w:r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  <w:t xml:space="preserve"> </w:t>
                        </w:r>
                        <w:r w:rsidRPr="007062EE"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CA0049" w:rsidRPr="007062EE" w:rsidRDefault="00CA0049" w:rsidP="00CA0049">
                        <w:pPr>
                          <w:pBdr>
                            <w:top w:val="dashed" w:sz="4" w:space="1" w:color="auto"/>
                            <w:left w:val="dashed" w:sz="4" w:space="4" w:color="auto"/>
                            <w:bottom w:val="dashed" w:sz="4" w:space="1" w:color="auto"/>
                            <w:right w:val="dashed" w:sz="4" w:space="4" w:color="auto"/>
                          </w:pBdr>
                          <w:adjustRightInd w:val="0"/>
                          <w:snapToGrid w:val="0"/>
                          <w:spacing w:after="120"/>
                          <w:ind w:left="57" w:right="57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（4）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人文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(情感交流)</w:t>
                        </w:r>
                        <w:r w:rsidRPr="007062EE"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  <w:t xml:space="preserve">  </w:t>
                        </w:r>
                      </w:p>
                      <w:p w:rsidR="00CA0049" w:rsidRPr="007062EE" w:rsidRDefault="00CA0049" w:rsidP="00CA0049">
                        <w:pPr>
                          <w:pBdr>
                            <w:top w:val="dashed" w:sz="4" w:space="1" w:color="auto"/>
                            <w:left w:val="dashed" w:sz="4" w:space="4" w:color="auto"/>
                            <w:bottom w:val="dashed" w:sz="4" w:space="1" w:color="auto"/>
                            <w:right w:val="dashed" w:sz="4" w:space="4" w:color="auto"/>
                          </w:pBdr>
                          <w:adjustRightInd w:val="0"/>
                          <w:snapToGrid w:val="0"/>
                          <w:spacing w:after="120"/>
                          <w:ind w:left="57" w:right="57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（3）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科学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(规律探究)</w:t>
                        </w:r>
                      </w:p>
                      <w:p w:rsidR="00CA0049" w:rsidRPr="007062EE" w:rsidRDefault="00CA0049" w:rsidP="00CA0049">
                        <w:pPr>
                          <w:pBdr>
                            <w:top w:val="dashed" w:sz="4" w:space="1" w:color="auto"/>
                            <w:left w:val="dashed" w:sz="4" w:space="4" w:color="auto"/>
                            <w:bottom w:val="dashed" w:sz="4" w:space="1" w:color="auto"/>
                            <w:right w:val="dashed" w:sz="4" w:space="4" w:color="auto"/>
                          </w:pBdr>
                          <w:adjustRightInd w:val="0"/>
                          <w:snapToGrid w:val="0"/>
                          <w:spacing w:after="120"/>
                          <w:ind w:left="57" w:right="57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（2）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</w:rPr>
                          <w:t>技术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(信息运用) </w:t>
                        </w:r>
                        <w:r w:rsidRPr="007062EE"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CA0049" w:rsidRPr="007062EE" w:rsidRDefault="00CA0049" w:rsidP="00C414F3">
                        <w:pPr>
                          <w:pBdr>
                            <w:top w:val="dashed" w:sz="4" w:space="1" w:color="auto"/>
                            <w:left w:val="dashed" w:sz="4" w:space="4" w:color="auto"/>
                            <w:bottom w:val="dashed" w:sz="4" w:space="1" w:color="auto"/>
                            <w:right w:val="dashed" w:sz="4" w:space="4" w:color="auto"/>
                          </w:pBdr>
                          <w:adjustRightInd w:val="0"/>
                          <w:snapToGrid w:val="0"/>
                          <w:spacing w:after="120"/>
                          <w:ind w:left="57" w:right="57"/>
                          <w:rPr>
                            <w:rFonts w:asciiTheme="minorEastAsia" w:eastAsiaTheme="minorEastAsia" w:hAnsiTheme="minorEastAsia"/>
                            <w:sz w:val="20"/>
                            <w:szCs w:val="20"/>
                            <w:u w:val="single"/>
                          </w:rPr>
                        </w:pP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（1）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b/>
                            <w:sz w:val="20"/>
                            <w:szCs w:val="20"/>
                            <w:u w:val="single"/>
                          </w:rPr>
                          <w:t>实践</w:t>
                        </w:r>
                        <w:r w:rsidRPr="007062EE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  <w:u w:val="single"/>
                          </w:rPr>
                          <w:t>(数据读写)</w:t>
                        </w:r>
                      </w:p>
                      <w:p w:rsidR="00CA0049" w:rsidRPr="00122E8B" w:rsidRDefault="00CA0049" w:rsidP="00C414F3">
                        <w:pPr>
                          <w:adjustRightInd w:val="0"/>
                          <w:snapToGrid w:val="0"/>
                          <w:ind w:rightChars="17" w:right="36"/>
                          <w:rPr>
                            <w:rFonts w:asciiTheme="minorEastAsia" w:eastAsiaTheme="minorEastAsia" w:hAnsiTheme="minorEastAsia"/>
                            <w:sz w:val="4"/>
                            <w:szCs w:val="4"/>
                          </w:rPr>
                        </w:pPr>
                        <w:r w:rsidRPr="00122E8B">
                          <w:rPr>
                            <w:rFonts w:asciiTheme="minorEastAsia" w:eastAsiaTheme="minorEastAsia" w:hAnsiTheme="minorEastAsia"/>
                            <w:sz w:val="4"/>
                            <w:szCs w:val="4"/>
                          </w:rPr>
                          <w:t xml:space="preserve">  </w:t>
                        </w:r>
                      </w:p>
                    </w:tc>
                  </w:tr>
                </w:tbl>
                <w:p w:rsidR="00CA0049" w:rsidRPr="00CA0049" w:rsidRDefault="00CA0049" w:rsidP="00C414F3">
                  <w:pPr>
                    <w:wordWrap w:val="0"/>
                    <w:adjustRightInd w:val="0"/>
                    <w:snapToGrid w:val="0"/>
                    <w:ind w:firstLine="0"/>
                    <w:jc w:val="center"/>
                    <w:rPr>
                      <w:rFonts w:asciiTheme="minorEastAsia" w:eastAsiaTheme="minorEastAsia" w:hAnsiTheme="minorEastAsia"/>
                      <w:sz w:val="4"/>
                      <w:szCs w:val="4"/>
                    </w:rPr>
                  </w:pPr>
                  <w:r w:rsidRPr="00CA0049">
                    <w:rPr>
                      <w:rFonts w:asciiTheme="minorEastAsia" w:eastAsiaTheme="minorEastAsia" w:hAnsiTheme="minorEastAsia"/>
                      <w:sz w:val="4"/>
                      <w:szCs w:val="4"/>
                    </w:rPr>
                    <w:t xml:space="preserve">        </w:t>
                  </w:r>
                </w:p>
              </w:tc>
            </w:tr>
            <w:tr w:rsidR="00CA0049" w:rsidRPr="007062EE" w:rsidTr="00C414F3">
              <w:trPr>
                <w:jc w:val="center"/>
              </w:trPr>
              <w:tc>
                <w:tcPr>
                  <w:tcW w:w="2967" w:type="dxa"/>
                  <w:tcBorders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before="120" w:after="120"/>
                    <w:ind w:firstLine="0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bookmarkStart w:id="1" w:name="四（客户端MVC的实现可以选用的）客户端的软件第二平台语言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四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bookmarkStart w:id="2" w:name="（MVC选用）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（客户端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bookmarkEnd w:id="2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客户端的软件第二平台语言：</w:t>
                  </w:r>
                  <w:bookmarkEnd w:id="1"/>
                </w:p>
              </w:tc>
              <w:tc>
                <w:tcPr>
                  <w:tcW w:w="3119" w:type="dxa"/>
                  <w:tcBorders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before="120"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3" w:name="四（互动MVC的实现可以选用的）互动的软件第二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四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bookmarkStart w:id="4" w:name="（互动MVC选用）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（互动MVC的实现可以选用的）</w:t>
                  </w:r>
                  <w:bookmarkEnd w:id="4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互动的软件第二平台语言：</w:t>
                  </w:r>
                  <w:bookmarkEnd w:id="3"/>
                </w:p>
              </w:tc>
              <w:tc>
                <w:tcPr>
                  <w:tcW w:w="2976" w:type="dxa"/>
                  <w:tcBorders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before="120"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5" w:name="四（服务端MVC的实现可以选用的）服务端的软件第二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四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bookmarkStart w:id="6" w:name="（服务端MVC选用）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（服务端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bookmarkEnd w:id="6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服务端的软件第二平台语言：</w:t>
                  </w:r>
                  <w:bookmarkEnd w:id="5"/>
                </w:p>
              </w:tc>
            </w:tr>
            <w:tr w:rsidR="00CA0049" w:rsidRPr="007062EE" w:rsidTr="00C414F3">
              <w:trPr>
                <w:jc w:val="center"/>
              </w:trPr>
              <w:tc>
                <w:tcPr>
                  <w:tcW w:w="2967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bookmarkStart w:id="7" w:name="三（客户端MVC的实现可以选用的）客户端的软件第一平台语言：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三.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（客户端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客户端的软件第一平台语言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：</w:t>
                  </w:r>
                  <w:bookmarkEnd w:id="7"/>
                </w:p>
              </w:tc>
              <w:tc>
                <w:tcPr>
                  <w:tcW w:w="3119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8" w:name="三（互动MVC的实现可以选用的）互动的软件第一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三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（互动MVC选用）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（互动MVC的实现可以选用的）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互动的软件第一平台语言：</w:t>
                  </w:r>
                  <w:bookmarkEnd w:id="8"/>
                </w:p>
              </w:tc>
              <w:tc>
                <w:tcPr>
                  <w:tcW w:w="2976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9" w:name="三（服务端MVC的实现可以选用的）服务端的软件第一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三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（服务端MVC选用）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（服务端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服务端的软件第一平台语言：</w:t>
                  </w:r>
                  <w:bookmarkEnd w:id="9"/>
                </w:p>
              </w:tc>
            </w:tr>
            <w:tr w:rsidR="00CA0049" w:rsidRPr="007062EE" w:rsidTr="00C414F3">
              <w:trPr>
                <w:jc w:val="center"/>
              </w:trPr>
              <w:tc>
                <w:tcPr>
                  <w:tcW w:w="2967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10" w:name="二（客户端MVC的实现可以选用的）客户端的硬件第二平台语言：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二.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（客户端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客户端的硬件第二平台语言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：</w:t>
                  </w:r>
                  <w:bookmarkEnd w:id="10"/>
                </w:p>
              </w:tc>
              <w:tc>
                <w:tcPr>
                  <w:tcW w:w="3119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11" w:name="二（互动MVC的实现可以选用的）互动的硬件第二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二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（互动MVC选用）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（互动MVC的实现可以选用的）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互动的硬件第二平台语言：</w:t>
                  </w:r>
                  <w:bookmarkEnd w:id="11"/>
                </w:p>
              </w:tc>
              <w:tc>
                <w:tcPr>
                  <w:tcW w:w="2976" w:type="dxa"/>
                  <w:tcBorders>
                    <w:top w:val="nil"/>
                    <w:bottom w:val="nil"/>
                  </w:tcBorders>
                  <w:shd w:val="clear" w:color="auto" w:fill="FFFFFF" w:themeFill="background1"/>
                </w:tcPr>
                <w:p w:rsidR="00CA0049" w:rsidRPr="007062EE" w:rsidRDefault="00CA0049" w:rsidP="00CA0049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  <w:bookmarkStart w:id="12" w:name="二（服务端MVC的实现可以选用的）服务端的硬件第二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二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（服务端MVC选用）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（服务端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服务端的硬件第二平台语言：</w:t>
                  </w:r>
                  <w:bookmarkEnd w:id="12"/>
                </w:p>
              </w:tc>
            </w:tr>
            <w:tr w:rsidR="00CA0049" w:rsidRPr="007062EE" w:rsidTr="00C414F3">
              <w:trPr>
                <w:jc w:val="center"/>
              </w:trPr>
              <w:tc>
                <w:tcPr>
                  <w:tcW w:w="2967" w:type="dxa"/>
                  <w:tcBorders>
                    <w:top w:val="nil"/>
                  </w:tcBorders>
                  <w:shd w:val="clear" w:color="auto" w:fill="FFFFFF" w:themeFill="background1"/>
                </w:tcPr>
                <w:p w:rsidR="00CA0049" w:rsidRPr="007062EE" w:rsidRDefault="00CA0049" w:rsidP="00C414F3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bookmarkStart w:id="13" w:name="一（客户端MVC的实现可以选用的）客户端的硬件第一平台语言："/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一.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（客户端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客户端的硬件第一平台语言【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  <w:u w:val="single"/>
                    </w:rPr>
                    <w:t>计算思维的本质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】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：</w:t>
                  </w:r>
                  <w:bookmarkEnd w:id="13"/>
                </w:p>
                <w:p w:rsidR="00CA0049" w:rsidRPr="007062EE" w:rsidRDefault="00CA0049" w:rsidP="00CA0049">
                  <w:pPr>
                    <w:pBdr>
                      <w:top w:val="dashed" w:sz="4" w:space="0" w:color="auto"/>
                      <w:left w:val="dashed" w:sz="4" w:space="0" w:color="auto"/>
                      <w:bottom w:val="dashed" w:sz="4" w:space="0" w:color="auto"/>
                      <w:right w:val="dashed" w:sz="4" w:space="0" w:color="auto"/>
                    </w:pBdr>
                    <w:wordWrap w:val="0"/>
                    <w:adjustRightInd w:val="0"/>
                    <w:snapToGrid w:val="0"/>
                    <w:spacing w:before="120" w:after="120"/>
                    <w:ind w:firstLine="422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例如：“客户端人的人脑的字符/非字符平台的语言”←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  <w:shd w:val="pct15" w:color="auto" w:fill="FFFFFF"/>
                    </w:rPr>
                    <w:t>（原型与隐喻、领域与工具、DDD）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→“客户端计算机的CPU的0/1平台的语言”</w:t>
                  </w:r>
                </w:p>
              </w:tc>
              <w:tc>
                <w:tcPr>
                  <w:tcW w:w="3119" w:type="dxa"/>
                  <w:tcBorders>
                    <w:top w:val="nil"/>
                  </w:tcBorders>
                  <w:shd w:val="clear" w:color="auto" w:fill="FFFFFF" w:themeFill="background1"/>
                </w:tcPr>
                <w:p w:rsidR="00CA0049" w:rsidRPr="007062EE" w:rsidRDefault="00CA0049" w:rsidP="00C414F3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bookmarkStart w:id="14" w:name="一（互动MVC的实现可以选用的）互动的硬件第一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一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（互动MVC选用）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（互动MVC的实现可以选用的）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互动的硬件第一平台语言【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  <w:u w:val="single"/>
                    </w:rPr>
                    <w:t>计算思维的本质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】：</w:t>
                  </w:r>
                  <w:bookmarkEnd w:id="14"/>
                </w:p>
                <w:p w:rsidR="00CA0049" w:rsidRPr="007062EE" w:rsidRDefault="00CA0049" w:rsidP="00CA0049">
                  <w:pPr>
                    <w:pBdr>
                      <w:top w:val="dashed" w:sz="4" w:space="0" w:color="auto"/>
                      <w:left w:val="dashed" w:sz="4" w:space="0" w:color="auto"/>
                      <w:bottom w:val="dashed" w:sz="4" w:space="0" w:color="auto"/>
                      <w:right w:val="dashed" w:sz="4" w:space="0" w:color="auto"/>
                    </w:pBdr>
                    <w:wordWrap w:val="0"/>
                    <w:adjustRightInd w:val="0"/>
                    <w:snapToGrid w:val="0"/>
                    <w:spacing w:before="120"/>
                    <w:ind w:firstLine="361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例如：“互动的人局域网的字符/非字符平台的媒介链路层协议语言”←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  <w:shd w:val="pct15" w:color="auto" w:fill="FFFFFF"/>
                    </w:rPr>
                    <w:t>（原型与隐喻、领域与工具、DDD）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→“互动的计算机局域网的0/1平台的媒介链路层协议语言”</w:t>
                  </w:r>
                </w:p>
              </w:tc>
              <w:tc>
                <w:tcPr>
                  <w:tcW w:w="2976" w:type="dxa"/>
                  <w:tcBorders>
                    <w:top w:val="nil"/>
                  </w:tcBorders>
                  <w:shd w:val="clear" w:color="auto" w:fill="FFFFFF" w:themeFill="background1"/>
                </w:tcPr>
                <w:p w:rsidR="00CA0049" w:rsidRPr="007062EE" w:rsidRDefault="00CA0049" w:rsidP="00C414F3">
                  <w:pPr>
                    <w:shd w:val="clear" w:color="auto" w:fill="E7E6E6" w:themeFill="background2"/>
                    <w:wordWrap w:val="0"/>
                    <w:adjustRightInd w:val="0"/>
                    <w:snapToGrid w:val="0"/>
                    <w:spacing w:after="120"/>
                    <w:ind w:firstLine="0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bookmarkStart w:id="15" w:name="一（服务端MVC的实现可以选用的）服务端的硬件第一平台语言："/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一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.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begin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</w:instrTex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instrText>REF （服务端MVC选用） \h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instrText xml:space="preserve">  \* MERGEFORMAT </w:instrTex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separate"/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（服务端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MVC</w:t>
                  </w:r>
                  <w:r w:rsidRPr="007062EE">
                    <w:rPr>
                      <w:rFonts w:asciiTheme="minorEastAsia" w:eastAsiaTheme="minorEastAsia" w:hAnsiTheme="minorEastAsia" w:hint="eastAsia"/>
                      <w:szCs w:val="20"/>
                    </w:rPr>
                    <w:t>的实现可以选用的）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fldChar w:fldCharType="end"/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服务端的硬件第一平台语言【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  <w:u w:val="single"/>
                    </w:rPr>
                    <w:t>计算思维的本质</w:t>
                  </w:r>
                  <w:r w:rsidRPr="007062EE">
                    <w:rPr>
                      <w:rFonts w:asciiTheme="minorEastAsia" w:eastAsiaTheme="minorEastAsia" w:hAnsiTheme="minorEastAsia"/>
                      <w:szCs w:val="20"/>
                    </w:rPr>
                    <w:t>】：</w:t>
                  </w:r>
                  <w:bookmarkEnd w:id="15"/>
                </w:p>
                <w:p w:rsidR="00CA0049" w:rsidRPr="007062EE" w:rsidRDefault="00CA0049" w:rsidP="00C414F3">
                  <w:pPr>
                    <w:pBdr>
                      <w:top w:val="dashed" w:sz="4" w:space="0" w:color="auto"/>
                      <w:left w:val="dashed" w:sz="4" w:space="0" w:color="auto"/>
                      <w:bottom w:val="dashed" w:sz="4" w:space="0" w:color="auto"/>
                      <w:right w:val="dashed" w:sz="4" w:space="0" w:color="auto"/>
                    </w:pBdr>
                    <w:wordWrap w:val="0"/>
                    <w:adjustRightInd w:val="0"/>
                    <w:snapToGrid w:val="0"/>
                    <w:spacing w:before="120" w:after="120"/>
                    <w:ind w:firstLine="422"/>
                    <w:jc w:val="left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例如：“服务端人的人脑的字符/非字符平台的语言”←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  <w:shd w:val="pct15" w:color="auto" w:fill="FFFFFF"/>
                    </w:rPr>
                    <w:t>（原型与隐喻、领域与工具、DDD）</w:t>
                  </w:r>
                  <w:r w:rsidRPr="00CA0049">
                    <w:rPr>
                      <w:rFonts w:asciiTheme="minorEastAsia" w:eastAsiaTheme="minorEastAsia" w:hAnsiTheme="minorEastAsia" w:hint="eastAsia"/>
                      <w:szCs w:val="20"/>
                    </w:rPr>
                    <w:t>→“服务端计算机的CPU的0/1平台的语言”</w:t>
                  </w:r>
                </w:p>
              </w:tc>
            </w:tr>
          </w:tbl>
          <w:p w:rsidR="00CA0049" w:rsidRPr="00CA0049" w:rsidRDefault="00CA0049" w:rsidP="00C414F3">
            <w:pPr>
              <w:wordWrap w:val="0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4"/>
                <w:szCs w:val="4"/>
              </w:rPr>
            </w:pPr>
            <w:r w:rsidRPr="00CA0049">
              <w:rPr>
                <w:rFonts w:asciiTheme="minorEastAsia" w:eastAsiaTheme="minorEastAsia" w:hAnsiTheme="minorEastAsia"/>
                <w:sz w:val="4"/>
                <w:szCs w:val="4"/>
              </w:rPr>
              <w:t xml:space="preserve">  </w:t>
            </w:r>
          </w:p>
        </w:tc>
      </w:tr>
      <w:tr w:rsidR="00CA0049" w:rsidRPr="007062EE" w:rsidTr="00C414F3">
        <w:trPr>
          <w:trHeight w:val="345"/>
          <w:jc w:val="center"/>
        </w:trPr>
        <w:tc>
          <w:tcPr>
            <w:tcW w:w="9107" w:type="dxa"/>
            <w:shd w:val="clear" w:color="auto" w:fill="E7E6E6" w:themeFill="background2"/>
            <w:vAlign w:val="center"/>
          </w:tcPr>
          <w:p w:rsidR="00CA0049" w:rsidRPr="005511E6" w:rsidRDefault="00CA0049" w:rsidP="00CA0049">
            <w:pPr>
              <w:wordWrap w:val="0"/>
              <w:adjustRightInd w:val="0"/>
              <w:snapToGrid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511E6">
              <w:rPr>
                <w:rFonts w:asciiTheme="minorEastAsia" w:eastAsiaTheme="minorEastAsia" w:hAnsiTheme="minorEastAsia" w:hint="eastAsia"/>
                <w:sz w:val="18"/>
                <w:szCs w:val="18"/>
              </w:rPr>
              <w:t>“</w:t>
            </w:r>
            <w:r w:rsidRPr="00CA0049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教育中途”</w:t>
            </w:r>
          </w:p>
          <w:tbl>
            <w:tblPr>
              <w:tblStyle w:val="TableGrid"/>
              <w:tblW w:w="0" w:type="auto"/>
              <w:jc w:val="center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967"/>
              <w:gridCol w:w="3119"/>
              <w:gridCol w:w="2976"/>
            </w:tblGrid>
            <w:tr w:rsidR="00CA0049" w:rsidRPr="005511E6" w:rsidTr="00C414F3">
              <w:trPr>
                <w:trHeight w:val="260"/>
                <w:jc w:val="center"/>
              </w:trPr>
              <w:tc>
                <w:tcPr>
                  <w:tcW w:w="2967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bookmarkStart w:id="16" w:name="【注：同上。省略以免大量重复排版】"/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bookmarkEnd w:id="16"/>
                </w:p>
              </w:tc>
              <w:tc>
                <w:tcPr>
                  <w:tcW w:w="3119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begin"/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instrText xml:space="preserve"> REF 【注：同上。省略以免大量重复排版】 \h  \* MERGEFORMAT </w:instrTex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separate"/>
                  </w:r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976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begin"/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instrText xml:space="preserve"> REF 【注：同上。省略以免大量重复排版】 \h  \* MERGEFORMAT </w:instrTex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separate"/>
                  </w:r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CA0049" w:rsidRPr="00CA0049" w:rsidRDefault="00CA0049" w:rsidP="00CA0049">
            <w:pPr>
              <w:wordWrap w:val="0"/>
              <w:adjustRightInd w:val="0"/>
              <w:snapToGrid w:val="0"/>
              <w:ind w:right="-215" w:hanging="119"/>
              <w:jc w:val="center"/>
              <w:rPr>
                <w:rFonts w:asciiTheme="minorEastAsia" w:eastAsiaTheme="minorEastAsia" w:hAnsiTheme="minorEastAsia"/>
                <w:sz w:val="4"/>
                <w:szCs w:val="4"/>
              </w:rPr>
            </w:pPr>
            <w:r w:rsidRPr="00CA0049">
              <w:rPr>
                <w:rFonts w:asciiTheme="minorEastAsia" w:eastAsiaTheme="minorEastAsia" w:hAnsiTheme="minorEastAsia"/>
                <w:sz w:val="4"/>
                <w:szCs w:val="4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4"/>
                <w:szCs w:val="4"/>
              </w:rPr>
              <w:t xml:space="preserve">  </w:t>
            </w:r>
          </w:p>
        </w:tc>
      </w:tr>
      <w:tr w:rsidR="00CA0049" w:rsidRPr="007062EE" w:rsidTr="00C414F3">
        <w:trPr>
          <w:trHeight w:val="345"/>
          <w:jc w:val="center"/>
        </w:trPr>
        <w:tc>
          <w:tcPr>
            <w:tcW w:w="9107" w:type="dxa"/>
            <w:shd w:val="clear" w:color="auto" w:fill="E7E6E6" w:themeFill="background2"/>
          </w:tcPr>
          <w:p w:rsidR="00CA0049" w:rsidRPr="005511E6" w:rsidRDefault="00CA0049" w:rsidP="00CA0049">
            <w:pPr>
              <w:wordWrap w:val="0"/>
              <w:adjustRightInd w:val="0"/>
              <w:snapToGrid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511E6">
              <w:rPr>
                <w:rFonts w:asciiTheme="minorEastAsia" w:eastAsiaTheme="minorEastAsia" w:hAnsiTheme="minorEastAsia" w:hint="eastAsia"/>
                <w:sz w:val="18"/>
                <w:szCs w:val="18"/>
              </w:rPr>
              <w:t>“</w:t>
            </w:r>
            <w:r w:rsidRPr="00CA0049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教育结束”</w:t>
            </w:r>
          </w:p>
          <w:tbl>
            <w:tblPr>
              <w:tblStyle w:val="TableGrid"/>
              <w:tblW w:w="0" w:type="auto"/>
              <w:jc w:val="center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967"/>
              <w:gridCol w:w="3119"/>
              <w:gridCol w:w="2976"/>
            </w:tblGrid>
            <w:tr w:rsidR="00CA0049" w:rsidRPr="005511E6" w:rsidTr="00C414F3">
              <w:trPr>
                <w:trHeight w:val="260"/>
                <w:jc w:val="center"/>
              </w:trPr>
              <w:tc>
                <w:tcPr>
                  <w:tcW w:w="2967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begin"/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instrText xml:space="preserve"> REF 【注：同上。省略以免大量重复排版】 \h  \* MERGEFORMAT </w:instrTex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separate"/>
                  </w:r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119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begin"/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instrText xml:space="preserve"> REF 【注：同上。省略以免大量重复排版】 \h  \* MERGEFORMAT </w:instrTex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separate"/>
                  </w:r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976" w:type="dxa"/>
                  <w:shd w:val="clear" w:color="auto" w:fill="FFFFFF" w:themeFill="background1"/>
                </w:tcPr>
                <w:p w:rsidR="00CA0049" w:rsidRPr="00C66AAA" w:rsidRDefault="00CA0049" w:rsidP="00C414F3">
                  <w:pPr>
                    <w:wordWrap w:val="0"/>
                    <w:adjustRightInd w:val="0"/>
                    <w:snapToGrid w:val="0"/>
                    <w:spacing w:before="120"/>
                    <w:ind w:right="-216" w:hanging="118"/>
                    <w:jc w:val="center"/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pP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begin"/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instrText xml:space="preserve"> REF 【注：同上。省略以免大量重复排版】 \h  \* MERGEFORMAT </w:instrTex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separate"/>
                  </w:r>
                  <w:r w:rsidRPr="00C66AAA">
                    <w:rPr>
                      <w:rFonts w:asciiTheme="minorEastAsia" w:eastAsiaTheme="minorEastAsia" w:hAnsiTheme="minorEastAsia" w:hint="eastAsia"/>
                      <w:sz w:val="18"/>
                      <w:szCs w:val="18"/>
                    </w:rPr>
                    <w:t>[注：同上。省略以免重复排版…]</w:t>
                  </w:r>
                  <w:r w:rsidRPr="00C66AAA">
                    <w:rPr>
                      <w:rFonts w:asciiTheme="minorEastAsia" w:eastAsiaTheme="minorEastAsia" w:hAnsiTheme="minorEastAsia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CA0049" w:rsidRPr="00CA0049" w:rsidRDefault="00CA0049" w:rsidP="00CA0049">
            <w:pPr>
              <w:wordWrap w:val="0"/>
              <w:adjustRightInd w:val="0"/>
              <w:snapToGrid w:val="0"/>
              <w:ind w:right="-215" w:hanging="119"/>
              <w:jc w:val="center"/>
              <w:rPr>
                <w:rFonts w:asciiTheme="minorEastAsia" w:eastAsiaTheme="minorEastAsia" w:hAnsiTheme="minorEastAsia"/>
                <w:sz w:val="4"/>
                <w:szCs w:val="4"/>
              </w:rPr>
            </w:pPr>
            <w:r w:rsidRPr="00CA0049">
              <w:rPr>
                <w:rFonts w:asciiTheme="minorEastAsia" w:eastAsiaTheme="minorEastAsia" w:hAnsiTheme="minorEastAsia"/>
                <w:sz w:val="4"/>
                <w:szCs w:val="4"/>
              </w:rPr>
              <w:t xml:space="preserve">  </w:t>
            </w:r>
          </w:p>
        </w:tc>
      </w:tr>
      <w:bookmarkEnd w:id="0"/>
    </w:tbl>
    <w:p w:rsidR="00E10FA5" w:rsidRDefault="004D1C40" w:rsidP="00CA0049">
      <w:pPr>
        <w:ind w:firstLine="0"/>
      </w:pPr>
    </w:p>
    <w:sectPr w:rsidR="00E10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C40" w:rsidRDefault="004D1C40" w:rsidP="00CA0049">
      <w:r>
        <w:separator/>
      </w:r>
    </w:p>
  </w:endnote>
  <w:endnote w:type="continuationSeparator" w:id="0">
    <w:p w:rsidR="004D1C40" w:rsidRDefault="004D1C40" w:rsidP="00CA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C40" w:rsidRDefault="004D1C40" w:rsidP="00CA0049">
      <w:r>
        <w:separator/>
      </w:r>
    </w:p>
  </w:footnote>
  <w:footnote w:type="continuationSeparator" w:id="0">
    <w:p w:rsidR="004D1C40" w:rsidRDefault="004D1C40" w:rsidP="00CA0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49"/>
    <w:rsid w:val="00012FF4"/>
    <w:rsid w:val="0004488B"/>
    <w:rsid w:val="001B6C4B"/>
    <w:rsid w:val="004D1C40"/>
    <w:rsid w:val="00541D28"/>
    <w:rsid w:val="005516D0"/>
    <w:rsid w:val="00646570"/>
    <w:rsid w:val="00672B8A"/>
    <w:rsid w:val="00674C71"/>
    <w:rsid w:val="007B51E1"/>
    <w:rsid w:val="007F5258"/>
    <w:rsid w:val="00CA0049"/>
    <w:rsid w:val="00D4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4EBE4-1ADF-439C-9528-94D055EC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049"/>
    <w:pPr>
      <w:widowControl w:val="0"/>
      <w:ind w:firstLine="42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rsid w:val="00CA0049"/>
    <w:rPr>
      <w:vertAlign w:val="superscript"/>
    </w:rPr>
  </w:style>
  <w:style w:type="table" w:styleId="TableGrid">
    <w:name w:val="Table Grid"/>
    <w:basedOn w:val="TableNormal"/>
    <w:uiPriority w:val="39"/>
    <w:rsid w:val="00CA0049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2022-12-11T01:30:00Z</dcterms:created>
  <dcterms:modified xsi:type="dcterms:W3CDTF">2022-12-11T01:38:00Z</dcterms:modified>
</cp:coreProperties>
</file>