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LoRa — Bandes de fréquences, choix et performances</w:t>
      </w:r>
    </w:p>
    <w:p>
      <w:pPr>
        <w:spacing w:after="120"/>
      </w:pPr>
      <w:r>
        <w:t xml:space="preserve">Version du 2026-10-29. Liaison LoRa point à point (sans LoRaWAN) entre le </w:t>
      </w:r>
      <w:r>
        <w:rPr>
          <w:b/>
          <w:bCs/>
        </w:rPr>
        <w:t xml:space="preserve">Relais-Lora</w:t>
      </w:r>
      <w:r>
        <w:t xml:space="preserve"> (XIAO ESP32-S3 + Wio-SX1262, passerelle LoRa ↔ MQTT) et les </w:t>
      </w:r>
      <w:r>
        <w:rPr>
          <w:b/>
          <w:bCs/>
        </w:rPr>
        <w:t xml:space="preserve">capteurs LoRa</w:t>
      </w:r>
      <w:r>
        <w:t xml:space="preserve"> (même kit), aujourd'hui ThRemise et ThCave.</w:t>
      </w:r>
    </w:p>
    <w:p>
      <w:pPr>
        <w:pStyle w:val="Heading1"/>
        <w:keepNext/>
      </w:pPr>
      <w:r>
        <w:t xml:space="preserve">1. Rappels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7845"/>
      </w:tblGrid>
      <w:tr>
        <w:trPr>
          <w:tblHeader/>
        </w:trPr>
        <w:tc>
          <w:tcPr>
            <w:tcW w:type="dxa" w:w="17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Terme</w:t>
            </w:r>
          </w:p>
        </w:tc>
        <w:tc>
          <w:tcPr>
            <w:tcW w:type="dxa" w:w="78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Sens</w:t>
            </w:r>
          </w:p>
        </w:tc>
      </w:tr>
      <w:tr>
        <w:trPr>
          <w:tblHeader w:val="off"/>
        </w:trPr>
        <w:tc>
          <w:tcPr>
            <w:tcW w:type="dxa" w:w="17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SF (facteur d'étalement)</w:t>
            </w:r>
          </w:p>
        </w:tc>
        <w:tc>
          <w:tcPr>
            <w:tcW w:type="dxa" w:w="78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 à 12 : chaque cran de plus gagne ≈ 2,5 dB de sensibilité mais </w:t>
            </w:r>
            <w:r>
              <w:rPr>
                <w:b/>
                <w:bCs/>
              </w:rPr>
              <w:t xml:space="preserve">double</w:t>
            </w:r>
            <w:r>
              <w:t xml:space="preserve"> le temps d'émission</w:t>
            </w:r>
          </w:p>
        </w:tc>
      </w:tr>
      <w:tr>
        <w:trPr>
          <w:tblHeader w:val="off"/>
        </w:trPr>
        <w:tc>
          <w:tcPr>
            <w:tcW w:type="dxa" w:w="17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BW (largeur de bande)</w:t>
            </w:r>
          </w:p>
        </w:tc>
        <w:tc>
          <w:tcPr>
            <w:tcW w:type="dxa" w:w="78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125 kHz ici ; plus étroit = plus sensible mais plus lent</w:t>
            </w:r>
          </w:p>
        </w:tc>
      </w:tr>
      <w:tr>
        <w:trPr>
          <w:tblHeader w:val="off"/>
        </w:trPr>
        <w:tc>
          <w:tcPr>
            <w:tcW w:type="dxa" w:w="17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RSSI</w:t>
            </w:r>
          </w:p>
        </w:tc>
        <w:tc>
          <w:tcPr>
            <w:tcW w:type="dxa" w:w="78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puissance reçue (dBm) : -30 = très fort, -120 = limite</w:t>
            </w:r>
          </w:p>
        </w:tc>
      </w:tr>
      <w:tr>
        <w:trPr>
          <w:tblHeader w:val="off"/>
        </w:trPr>
        <w:tc>
          <w:tcPr>
            <w:tcW w:type="dxa" w:w="17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SNR</w:t>
            </w:r>
          </w:p>
        </w:tc>
        <w:tc>
          <w:tcPr>
            <w:tcW w:type="dxa" w:w="78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rapport signal / bruit (dB) : LoRa décode </w:t>
            </w:r>
            <w:r>
              <w:rPr>
                <w:b/>
                <w:bCs/>
              </w:rPr>
              <w:t xml:space="preserve">sous</w:t>
            </w:r>
            <w:r>
              <w:t xml:space="preserve"> le bruit, jusqu'à -7,5 dB en SF7, -20 dB en SF12</w:t>
            </w:r>
          </w:p>
        </w:tc>
      </w:tr>
      <w:tr>
        <w:trPr>
          <w:tblHeader w:val="off"/>
        </w:trPr>
        <w:tc>
          <w:tcPr>
            <w:tcW w:type="dxa" w:w="17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Cycle d'utilisation</w:t>
            </w:r>
          </w:p>
        </w:tc>
        <w:tc>
          <w:tcPr>
            <w:tcW w:type="dxa" w:w="78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part du temps pendant laquelle un émetteur a le droit d'émettre, </w:t>
            </w:r>
            <w:r>
              <w:rPr>
                <w:b/>
                <w:bCs/>
              </w:rPr>
              <w:t xml:space="preserve">par heure glissante</w:t>
            </w:r>
            <w:r>
              <w:t xml:space="preserve"> (1 % = 36 s / h)</w:t>
            </w:r>
          </w:p>
        </w:tc>
      </w:tr>
      <w:tr>
        <w:trPr>
          <w:tblHeader w:val="off"/>
        </w:trPr>
        <w:tc>
          <w:tcPr>
            <w:tcW w:type="dxa" w:w="17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ERP / EIRP</w:t>
            </w:r>
          </w:p>
        </w:tc>
        <w:tc>
          <w:tcPr>
            <w:tcW w:type="dxa" w:w="78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puissance rayonnée, rapportée à un dipôle (ERP) ou à une antenne isotrope (EIRP = ERP + 2,15 dB)</w:t>
            </w:r>
          </w:p>
        </w:tc>
      </w:tr>
    </w:tbl>
    <w:p/>
    <w:p>
      <w:pPr>
        <w:pStyle w:val="Heading1"/>
        <w:keepNext/>
      </w:pPr>
      <w:r>
        <w:t xml:space="preserve">2. Bandes possibles</w:t>
      </w:r>
    </w:p>
    <w:p>
      <w:pPr>
        <w:spacing w:after="120"/>
      </w:pPr>
      <w:r>
        <w:t xml:space="preserve">Cadre européen : recommandation </w:t>
      </w:r>
      <w:r>
        <w:rPr>
          <w:b/>
          <w:bCs/>
        </w:rPr>
        <w:t xml:space="preserve">ERC/REC 70-03</w:t>
      </w:r>
      <w:r>
        <w:t xml:space="preserve"> (annexe 1, appareils à courte portée) et norme </w:t>
      </w:r>
      <w:r>
        <w:rPr>
          <w:b/>
          <w:bCs/>
        </w:rPr>
        <w:t xml:space="preserve">ETSI EN 300 220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694"/>
        <w:gridCol w:w="173"/>
        <w:gridCol w:w="2853"/>
        <w:gridCol w:w="5398"/>
      </w:tblGrid>
      <w:tr>
        <w:trPr>
          <w:tblHeader/>
        </w:trPr>
        <w:tc>
          <w:tcPr>
            <w:tcW w:type="dxa" w:w="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Bande</w:t>
            </w:r>
          </w:p>
        </w:tc>
        <w:tc>
          <w:tcPr>
            <w:tcW w:type="dxa" w:w="6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Puissance max</w:t>
            </w:r>
          </w:p>
        </w:tc>
        <w:tc>
          <w:tcPr>
            <w:tcW w:type="dxa" w:w="1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Cycle max</w:t>
            </w:r>
          </w:p>
        </w:tc>
        <w:tc>
          <w:tcPr>
            <w:tcW w:type="dxa" w:w="28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Avantages</w:t>
            </w:r>
          </w:p>
        </w:tc>
        <w:tc>
          <w:tcPr>
            <w:tcW w:type="dxa" w:w="53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Inconvénients</w:t>
            </w:r>
          </w:p>
        </w:tc>
      </w:tr>
      <w:tr>
        <w:trPr>
          <w:tblHeader w:val="off"/>
        </w:trPr>
        <w:tc>
          <w:tcPr>
            <w:tcW w:type="dxa" w:w="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433,05 – 434,79 MHz</w:t>
            </w:r>
          </w:p>
        </w:tc>
        <w:tc>
          <w:tcPr>
            <w:tcW w:type="dxa" w:w="6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 mW ERP (10 dBm)</w:t>
            </w:r>
          </w:p>
        </w:tc>
        <w:tc>
          <w:tcPr>
            <w:tcW w:type="dxa" w:w="1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10 %</w:t>
            </w:r>
          </w:p>
        </w:tc>
        <w:tc>
          <w:tcPr>
            <w:tcW w:type="dxa" w:w="28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traverse mieux murs et dalles ; portée un peu meilleure à puissance égale</w:t>
            </w:r>
          </w:p>
        </w:tc>
        <w:tc>
          <w:tcPr>
            <w:tcW w:type="dxa" w:w="53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impossible avec le Wio-SX1262</w:t>
            </w:r>
            <w:r>
              <w:t xml:space="preserve"> (adapté 862 – 930 MHz : il faudrait d'autres modules et antennes) ; antennes plus grandes ; bande </w:t>
            </w:r>
            <w:r>
              <w:rPr>
                <w:b/>
                <w:bCs/>
              </w:rPr>
              <w:t xml:space="preserve">encombrée</w:t>
            </w:r>
            <w:r>
              <w:t xml:space="preserve"> (télécommandes, sondes météo) et </w:t>
            </w:r>
            <w:r>
              <w:rPr>
                <w:b/>
                <w:bCs/>
              </w:rPr>
              <w:t xml:space="preserve">déjà utilisée chez nous</w:t>
            </w:r>
            <w:r>
              <w:t xml:space="preserve"> par le CC1101 du contrôleur et les prises 433 MHz ; puissance plus faible</w:t>
            </w:r>
          </w:p>
        </w:tc>
      </w:tr>
      <w:tr>
        <w:trPr>
          <w:tblHeader w:val="off"/>
        </w:trPr>
        <w:tc>
          <w:tcPr>
            <w:tcW w:type="dxa" w:w="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863,0 – 865,0 MHz</w:t>
            </w:r>
          </w:p>
        </w:tc>
        <w:tc>
          <w:tcPr>
            <w:tcW w:type="dxa" w:w="6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 mW ERP (14 dBm)</w:t>
            </w:r>
          </w:p>
        </w:tc>
        <w:tc>
          <w:tcPr>
            <w:tcW w:type="dxa" w:w="1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0,1 %</w:t>
            </w:r>
          </w:p>
        </w:tc>
        <w:tc>
          <w:tcPr>
            <w:tcW w:type="dxa" w:w="28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peu fréquentée</w:t>
            </w:r>
          </w:p>
        </w:tc>
        <w:tc>
          <w:tcPr>
            <w:tcW w:type="dxa" w:w="53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0,1 % très contraignant (3,6 s / h)</w:t>
            </w:r>
          </w:p>
        </w:tc>
      </w:tr>
      <w:tr>
        <w:trPr>
          <w:tblHeader w:val="off"/>
        </w:trPr>
        <w:tc>
          <w:tcPr>
            <w:tcW w:type="dxa" w:w="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865,0 – 868,0 MHz</w:t>
            </w:r>
          </w:p>
        </w:tc>
        <w:tc>
          <w:tcPr>
            <w:tcW w:type="dxa" w:w="6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 mW ERP</w:t>
            </w:r>
          </w:p>
        </w:tc>
        <w:tc>
          <w:tcPr>
            <w:tcW w:type="dxa" w:w="1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1 %</w:t>
            </w:r>
          </w:p>
        </w:tc>
        <w:tc>
          <w:tcPr>
            <w:tcW w:type="dxa" w:w="28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53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partagée avec le RFID UHF (forte puissance) : brouillage possible</w:t>
            </w:r>
          </w:p>
        </w:tc>
      </w:tr>
      <w:tr>
        <w:trPr>
          <w:tblHeader w:val="off"/>
        </w:trPr>
        <w:tc>
          <w:tcPr>
            <w:tcW w:type="dxa" w:w="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868,0 – 868,6 MHz (g1)</w:t>
            </w:r>
          </w:p>
        </w:tc>
        <w:tc>
          <w:tcPr>
            <w:tcW w:type="dxa" w:w="6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25 mW ERP</w:t>
            </w:r>
          </w:p>
        </w:tc>
        <w:tc>
          <w:tcPr>
            <w:tcW w:type="dxa" w:w="1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1 %</w:t>
            </w:r>
          </w:p>
        </w:tc>
        <w:tc>
          <w:tcPr>
            <w:tcW w:type="dxa" w:w="28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bande LoRa de référence</w:t>
            </w:r>
            <w:r>
              <w:t xml:space="preserve"> (canaux LoRaWAN 868,1 / 868,3 / 868,5) ; matériel et antennes prévus pour elle ; 1 % largement suffisant pour nos trames</w:t>
            </w:r>
          </w:p>
        </w:tc>
        <w:tc>
          <w:tcPr>
            <w:tcW w:type="dxa" w:w="53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bande la plus utilisée par LoRa (réseaux LoRaWAN voisins, compteurs) ; puissance limitée à 14 dBm</w:t>
            </w:r>
          </w:p>
        </w:tc>
      </w:tr>
      <w:tr>
        <w:trPr>
          <w:tblHeader w:val="off"/>
        </w:trPr>
        <w:tc>
          <w:tcPr>
            <w:tcW w:type="dxa" w:w="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868,7 – 869,2 MHz (g2)</w:t>
            </w:r>
          </w:p>
        </w:tc>
        <w:tc>
          <w:tcPr>
            <w:tcW w:type="dxa" w:w="6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 mW ERP</w:t>
            </w:r>
          </w:p>
        </w:tc>
        <w:tc>
          <w:tcPr>
            <w:tcW w:type="dxa" w:w="1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0,1 %</w:t>
            </w:r>
          </w:p>
        </w:tc>
        <w:tc>
          <w:tcPr>
            <w:tcW w:type="dxa" w:w="28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53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0,1 %</w:t>
            </w:r>
          </w:p>
        </w:tc>
      </w:tr>
      <w:tr>
        <w:trPr>
          <w:tblHeader w:val="off"/>
        </w:trPr>
        <w:tc>
          <w:tcPr>
            <w:tcW w:type="dxa" w:w="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869,4 – 869,65 MHz (g3)</w:t>
            </w:r>
          </w:p>
        </w:tc>
        <w:tc>
          <w:tcPr>
            <w:tcW w:type="dxa" w:w="6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500 mW ERP (27 dBm)</w:t>
            </w:r>
          </w:p>
        </w:tc>
        <w:tc>
          <w:tcPr>
            <w:tcW w:type="dxa" w:w="1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10 %</w:t>
            </w:r>
          </w:p>
        </w:tc>
        <w:tc>
          <w:tcPr>
            <w:tcW w:type="dxa" w:w="28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 plus généreuse : jusqu'à 22 dBm avec le SX1262 (+ 8 dB de bilan) et 10 % de cycle</w:t>
            </w:r>
          </w:p>
        </w:tc>
        <w:tc>
          <w:tcPr>
            <w:tcW w:type="dxa" w:w="53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bande étroite (250 kHz) ; plus de consommation à 22 dBm ; souvent réservée aux liaisons descendantes LoRaWAN</w:t>
            </w:r>
          </w:p>
        </w:tc>
      </w:tr>
      <w:tr>
        <w:trPr>
          <w:tblHeader w:val="off"/>
        </w:trPr>
        <w:tc>
          <w:tcPr>
            <w:tcW w:type="dxa" w:w="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869,7 – 870,0 MHz (g4)</w:t>
            </w:r>
          </w:p>
        </w:tc>
        <w:tc>
          <w:tcPr>
            <w:tcW w:type="dxa" w:w="6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 mW ERP sans limite, ou 25 mW à 1 %</w:t>
            </w:r>
          </w:p>
        </w:tc>
        <w:tc>
          <w:tcPr>
            <w:tcW w:type="dxa" w:w="1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 / 1 %</w:t>
            </w:r>
          </w:p>
        </w:tc>
        <w:tc>
          <w:tcPr>
            <w:tcW w:type="dxa" w:w="28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53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très faible puissance sans contrainte de temps</w:t>
            </w:r>
          </w:p>
        </w:tc>
      </w:tr>
      <w:tr>
        <w:trPr>
          <w:tblHeader w:val="off"/>
        </w:trPr>
        <w:tc>
          <w:tcPr>
            <w:tcW w:type="dxa" w:w="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902 – 928 MHz</w:t>
            </w:r>
          </w:p>
        </w:tc>
        <w:tc>
          <w:tcPr>
            <w:tcW w:type="dxa" w:w="6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1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28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bande LoRa des Amériques</w:t>
            </w:r>
          </w:p>
        </w:tc>
        <w:tc>
          <w:tcPr>
            <w:tcW w:type="dxa" w:w="53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interdite en Europe</w:t>
            </w:r>
            <w:r>
              <w:t xml:space="preserve"> (c'était notre réglage d'origine, 915 MHz)</w:t>
            </w:r>
          </w:p>
        </w:tc>
      </w:tr>
      <w:tr>
        <w:trPr>
          <w:tblHeader w:val="off"/>
        </w:trPr>
        <w:tc>
          <w:tcPr>
            <w:tcW w:type="dxa" w:w="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2,4 GHz (SX1280)</w:t>
            </w:r>
          </w:p>
        </w:tc>
        <w:tc>
          <w:tcPr>
            <w:tcW w:type="dxa" w:w="6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 mW EIRP</w:t>
            </w:r>
          </w:p>
        </w:tc>
        <w:tc>
          <w:tcPr>
            <w:tcW w:type="dxa" w:w="1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28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mondiale, débit plus élevé</w:t>
            </w:r>
          </w:p>
        </w:tc>
        <w:tc>
          <w:tcPr>
            <w:tcW w:type="dxa" w:w="53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autre puce ; portée bien plus faible à travers les murs ; partagée avec le Wi-Fi</w:t>
            </w:r>
          </w:p>
        </w:tc>
      </w:tr>
    </w:tbl>
    <w:p/>
    <w:p>
      <w:pPr>
        <w:pStyle w:val="Heading1"/>
        <w:keepNext/>
      </w:pPr>
      <w:r>
        <w:t xml:space="preserve">3. Choix retenu : 868,1 MHz</w:t>
      </w:r>
    </w:p>
    <w:p>
      <w:pPr>
        <w:spacing w:after="120"/>
      </w:pPr>
      <w:r>
        <w:t xml:space="preserve">Décidé le 2026-10-29 (migration depuis 915 MHz, commit f37c91b ; Capteur 3.0, Relais-Lora 2.0).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3005"/>
        <w:gridCol w:w="4353"/>
      </w:tblGrid>
      <w:tr>
        <w:trPr>
          <w:tblHeader/>
        </w:trPr>
        <w:tc>
          <w:tcPr>
            <w:tcW w:type="dxa" w:w="2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Paramètre</w:t>
            </w:r>
          </w:p>
        </w:tc>
        <w:tc>
          <w:tcPr>
            <w:tcW w:type="dxa" w:w="30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Valeur</w:t>
            </w:r>
          </w:p>
        </w:tc>
        <w:tc>
          <w:tcPr>
            <w:tcW w:type="dxa" w:w="43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Macro (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</w:rPr>
              <w:t xml:space="preserve">global.h</w:t>
            </w:r>
            <w:r>
              <w:rPr>
                <w:b/>
                <w:bCs/>
              </w:rPr>
              <w:t xml:space="preserve"> du capteur et du relais)</w:t>
            </w:r>
          </w:p>
        </w:tc>
      </w:tr>
      <w:tr>
        <w:trPr>
          <w:tblHeader w:val="off"/>
        </w:trPr>
        <w:tc>
          <w:tcPr>
            <w:tcW w:type="dxa" w:w="2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Fréquence</w:t>
            </w:r>
          </w:p>
        </w:tc>
        <w:tc>
          <w:tcPr>
            <w:tcW w:type="dxa" w:w="30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868,1 MHz</w:t>
            </w:r>
            <w:r>
              <w:t xml:space="preserve"> (sous-bande g1)</w:t>
            </w:r>
          </w:p>
        </w:tc>
        <w:tc>
          <w:tcPr>
            <w:tcW w:type="dxa" w:w="43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LORA_FREQUENCE</w:t>
            </w:r>
          </w:p>
        </w:tc>
      </w:tr>
      <w:tr>
        <w:trPr>
          <w:tblHeader w:val="off"/>
        </w:trPr>
        <w:tc>
          <w:tcPr>
            <w:tcW w:type="dxa" w:w="2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Largeur de bande</w:t>
            </w:r>
          </w:p>
        </w:tc>
        <w:tc>
          <w:tcPr>
            <w:tcW w:type="dxa" w:w="30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125 kHz</w:t>
            </w:r>
          </w:p>
        </w:tc>
        <w:tc>
          <w:tcPr>
            <w:tcW w:type="dxa" w:w="43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LORA_BANDWIDTH</w:t>
            </w:r>
          </w:p>
        </w:tc>
      </w:tr>
      <w:tr>
        <w:trPr>
          <w:tblHeader w:val="off"/>
        </w:trPr>
        <w:tc>
          <w:tcPr>
            <w:tcW w:type="dxa" w:w="2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Facteur d'étalement</w:t>
            </w:r>
          </w:p>
        </w:tc>
        <w:tc>
          <w:tcPr>
            <w:tcW w:type="dxa" w:w="30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SF7</w:t>
            </w:r>
          </w:p>
        </w:tc>
        <w:tc>
          <w:tcPr>
            <w:tcW w:type="dxa" w:w="43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LORA_SPREADING_FACTOR</w:t>
            </w:r>
          </w:p>
        </w:tc>
      </w:tr>
      <w:tr>
        <w:trPr>
          <w:tblHeader w:val="off"/>
        </w:trPr>
        <w:tc>
          <w:tcPr>
            <w:tcW w:type="dxa" w:w="2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Taux de codage</w:t>
            </w:r>
          </w:p>
        </w:tc>
        <w:tc>
          <w:tcPr>
            <w:tcW w:type="dxa" w:w="30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4/5</w:t>
            </w:r>
          </w:p>
        </w:tc>
        <w:tc>
          <w:tcPr>
            <w:tcW w:type="dxa" w:w="43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LORA_CODING_RATE</w:t>
            </w:r>
          </w:p>
        </w:tc>
      </w:tr>
      <w:tr>
        <w:trPr>
          <w:tblHeader w:val="off"/>
        </w:trPr>
        <w:tc>
          <w:tcPr>
            <w:tcW w:type="dxa" w:w="2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Mot de synchronisation</w:t>
            </w:r>
          </w:p>
        </w:tc>
        <w:tc>
          <w:tcPr>
            <w:tcW w:type="dxa" w:w="30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0x12 (privé)</w:t>
            </w:r>
          </w:p>
        </w:tc>
        <w:tc>
          <w:tcPr>
            <w:tcW w:type="dxa" w:w="43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LORA_SYNC_WORD</w:t>
            </w:r>
          </w:p>
        </w:tc>
      </w:tr>
      <w:tr>
        <w:trPr>
          <w:tblHeader w:val="off"/>
        </w:trPr>
        <w:tc>
          <w:tcPr>
            <w:tcW w:type="dxa" w:w="2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Puissance</w:t>
            </w:r>
          </w:p>
        </w:tc>
        <w:tc>
          <w:tcPr>
            <w:tcW w:type="dxa" w:w="30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14 dBm</w:t>
            </w:r>
          </w:p>
        </w:tc>
        <w:tc>
          <w:tcPr>
            <w:tcW w:type="dxa" w:w="43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LORA_OUTPUT_POWER</w:t>
            </w:r>
          </w:p>
        </w:tc>
      </w:tr>
      <w:tr>
        <w:trPr>
          <w:tblHeader w:val="off"/>
        </w:trPr>
        <w:tc>
          <w:tcPr>
            <w:tcW w:type="dxa" w:w="2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Préambule</w:t>
            </w:r>
          </w:p>
        </w:tc>
        <w:tc>
          <w:tcPr>
            <w:tcW w:type="dxa" w:w="30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 symboles</w:t>
            </w:r>
          </w:p>
        </w:tc>
        <w:tc>
          <w:tcPr>
            <w:tcW w:type="dxa" w:w="43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LORA_PREAMBLE_LENGTH</w:t>
            </w:r>
          </w:p>
        </w:tc>
      </w:tr>
      <w:tr>
        <w:trPr>
          <w:tblHeader w:val="off"/>
        </w:trPr>
        <w:tc>
          <w:tcPr>
            <w:tcW w:type="dxa" w:w="2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TCXO</w:t>
            </w:r>
          </w:p>
        </w:tc>
        <w:tc>
          <w:tcPr>
            <w:tcW w:type="dxa" w:w="30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1,8 V (Wio-SX1262)</w:t>
            </w:r>
          </w:p>
        </w:tc>
        <w:tc>
          <w:tcPr>
            <w:tcW w:type="dxa" w:w="43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LORA_TCXO_VOLTAGE</w:t>
            </w:r>
          </w:p>
        </w:tc>
      </w:tr>
    </w:tbl>
    <w:p/>
    <w:p>
      <w:pPr>
        <w:spacing w:after="120"/>
      </w:pPr>
      <w:r>
        <w:t xml:space="preserve">Pourquoi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Seule bande légale compatible avec le matériel</w:t>
      </w:r>
      <w:r>
        <w:t xml:space="preserve"> (Wio-SX1262 adapté 862 – 930 MHz) sans changer de module.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 cycle de 1 % est très loin d'être atteint.</w:t>
      </w:r>
      <w:r>
        <w:t xml:space="preserve"> Une trame de 30 à 40 octets dure ≈ 90 à 110 ms en SF7 / 125 kHz. Un capteur en veille profonde se réveille toutes les </w:t>
      </w:r>
      <w:r>
        <w:rPr>
          <w:b/>
          <w:bCs/>
        </w:rPr>
        <w:t xml:space="preserve">600 s</w:t>
      </w:r>
      <w:r>
        <w:t xml:space="preserve"> et envoie ≈ 4 à 5 trames (température, humidité, batterie, jour / nuit…) : ≈ 0,5 s toutes les 10 min, soit </w:t>
      </w:r>
      <w:r>
        <w:rPr>
          <w:b/>
          <w:bCs/>
        </w:rPr>
        <w:t xml:space="preserve">≈ 0,08 %</w:t>
      </w:r>
      <w:r>
        <w:t xml:space="preserve"> du temps (≈ 3 s / h pour 36 s permises). Le relais émet encore moins (commandes et accusés seulement).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14 dBm</w:t>
      </w:r>
      <w:r>
        <w:t xml:space="preserve"> à la sortie du SX1262 + antenne souple (≈ 2 dBi) ≈ 16 dBm EIRP = la limite de 25 mW ERP : on est au maximum autorisé, sans le dépasser.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SF7</w:t>
      </w:r>
      <w:r>
        <w:t xml:space="preserve"> = trames les plus courtes (moins de consommation, moins de collisions) ; suffisant vu les mesures (§ 4).</w:t>
      </w:r>
    </w:p>
    <w:p>
      <w:pPr>
        <w:pStyle w:val="ListParagraph"/>
        <w:numPr>
          <w:ilvl w:val="0"/>
          <w:numId w:val="2"/>
        </w:numPr>
      </w:pPr>
      <w:r>
        <w:t xml:space="preserve">Le passage par 869,525 MHz (g3) reste la réserve si la portée manquait un jour (§ 5).</w:t>
      </w:r>
    </w:p>
    <w:p>
      <w:pPr>
        <w:spacing w:after="120"/>
      </w:pPr>
      <w:r>
        <w:t xml:space="preserve">Contrainte : </w:t>
      </w:r>
      <w:r>
        <w:rPr>
          <w:b/>
          <w:bCs/>
        </w:rPr>
        <w:t xml:space="preserve">tous les nœuds LoRa changent ensemble</w:t>
      </w:r>
      <w:r>
        <w:t xml:space="preserve"> (fréquence en dur dans </w:t>
      </w:r>
      <w:r>
        <w:rPr>
          <w:rFonts w:ascii="Consolas" w:cs="Consolas" w:eastAsia="Consolas" w:hAnsi="Consolas"/>
          <w:sz w:val="19"/>
          <w:szCs w:val="19"/>
        </w:rPr>
        <w:t xml:space="preserve">global.h</w:t>
      </w:r>
      <w:r>
        <w:t xml:space="preserve">, pas en NVS) ; un nœud resté en 915 MHz n'est plus entendu. Firmwares 915 MHz de secours : </w:t>
      </w:r>
      <w:r>
        <w:rPr>
          <w:rFonts w:ascii="Consolas" w:cs="Consolas" w:eastAsia="Consolas" w:hAnsi="Consolas"/>
          <w:sz w:val="19"/>
          <w:szCs w:val="19"/>
        </w:rPr>
        <w:t xml:space="preserve">Firmwares/firmware-Relais-Lora-1.3.bin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Firmwares/firmware-Capteur-S3-LoRa-flotteur-915-2.1.bin</w:t>
      </w:r>
      <w:r>
        <w:t xml:space="preserve">.</w:t>
      </w:r>
    </w:p>
    <w:p>
      <w:pPr>
        <w:pStyle w:val="Heading1"/>
        <w:keepNext/>
      </w:pPr>
      <w:r>
        <w:t xml:space="preserve">4. Performances mesurées (2026-10-29, 868,1 MHz, SF7)</w:t>
      </w:r>
    </w:p>
    <w:p>
      <w:pPr>
        <w:spacing w:after="120"/>
      </w:pPr>
      <w:r>
        <w:t xml:space="preserve">Mesures lues sur le relais (journal </w:t>
      </w:r>
      <w:r>
        <w:rPr>
          <w:rFonts w:ascii="Consolas" w:cs="Consolas" w:eastAsia="Consolas" w:hAnsi="Consolas"/>
          <w:sz w:val="19"/>
          <w:szCs w:val="19"/>
        </w:rPr>
        <w:t xml:space="preserve">/logs</w:t>
      </w:r>
      <w:r>
        <w:t xml:space="preserve">). Limites du SX1262 en SF7 / 125 kHz : sensibilité ≈ </w:t>
      </w:r>
      <w:r>
        <w:rPr>
          <w:b/>
          <w:bCs/>
        </w:rPr>
        <w:t xml:space="preserve">-124 dBm</w:t>
      </w:r>
      <w:r>
        <w:t xml:space="preserve">, SNR minimal ≈ </w:t>
      </w:r>
      <w:r>
        <w:rPr>
          <w:b/>
          <w:bCs/>
        </w:rPr>
        <w:t xml:space="preserve">-7,5 dB</w:t>
      </w:r>
      <w:r>
        <w:t xml:space="preserve">. La </w:t>
      </w:r>
      <w:r>
        <w:rPr>
          <w:b/>
          <w:bCs/>
        </w:rPr>
        <w:t xml:space="preserve">marge de SNR</w:t>
      </w:r>
      <w:r>
        <w:t xml:space="preserve"> (SNR mesuré + 7,5) est l'indicateur le plus parlant.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7"/>
        <w:gridCol w:w="2939"/>
        <w:gridCol w:w="1162"/>
        <w:gridCol w:w="1094"/>
        <w:gridCol w:w="820"/>
        <w:gridCol w:w="3076"/>
      </w:tblGrid>
      <w:tr>
        <w:trPr>
          <w:tblHeader/>
        </w:trPr>
        <w:tc>
          <w:tcPr>
            <w:tcW w:type="dxa" w:w="5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Nœud</w:t>
            </w:r>
          </w:p>
        </w:tc>
        <w:tc>
          <w:tcPr>
            <w:tcW w:type="dxa" w:w="29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dxa" w:w="11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RSSI</w:t>
            </w:r>
          </w:p>
        </w:tc>
        <w:tc>
          <w:tcPr>
            <w:tcW w:type="dxa" w:w="10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SNR</w:t>
            </w:r>
          </w:p>
        </w:tc>
        <w:tc>
          <w:tcPr>
            <w:tcW w:type="dxa" w:w="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Marge de SNR</w:t>
            </w:r>
          </w:p>
        </w:tc>
        <w:tc>
          <w:tcPr>
            <w:tcW w:type="dxa" w:w="3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Verdict</w:t>
            </w:r>
          </w:p>
        </w:tc>
      </w:tr>
      <w:tr>
        <w:trPr>
          <w:tblHeader w:val="off"/>
        </w:trPr>
        <w:tc>
          <w:tcPr>
            <w:tcW w:type="dxa" w:w="5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ThRemise</w:t>
            </w:r>
          </w:p>
        </w:tc>
        <w:tc>
          <w:tcPr>
            <w:tcW w:type="dxa" w:w="29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sur la table, à côté du relais</w:t>
            </w:r>
          </w:p>
        </w:tc>
        <w:tc>
          <w:tcPr>
            <w:tcW w:type="dxa" w:w="11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-29 dBm</w:t>
            </w:r>
          </w:p>
        </w:tc>
        <w:tc>
          <w:tcPr>
            <w:tcW w:type="dxa" w:w="10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12,5 dB</w:t>
            </w:r>
          </w:p>
        </w:tc>
        <w:tc>
          <w:tcPr>
            <w:tcW w:type="dxa" w:w="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3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essai de fonctionnement (aller-retour GET OK)</w:t>
            </w:r>
          </w:p>
        </w:tc>
      </w:tr>
      <w:tr>
        <w:trPr>
          <w:tblHeader w:val="off"/>
        </w:trPr>
        <w:tc>
          <w:tcPr>
            <w:tcW w:type="dxa" w:w="5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ThRemise</w:t>
            </w:r>
          </w:p>
        </w:tc>
        <w:tc>
          <w:tcPr>
            <w:tcW w:type="dxa" w:w="29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 place, </w:t>
            </w:r>
            <w:r>
              <w:rPr>
                <w:b/>
                <w:bCs/>
              </w:rPr>
              <w:t xml:space="preserve">relais loin</w:t>
            </w:r>
            <w:r>
              <w:t xml:space="preserve"> (provisoire)</w:t>
            </w:r>
          </w:p>
        </w:tc>
        <w:tc>
          <w:tcPr>
            <w:tcW w:type="dxa" w:w="11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-94 à -100 dBm</w:t>
            </w:r>
          </w:p>
        </w:tc>
        <w:tc>
          <w:tcPr>
            <w:tcW w:type="dxa" w:w="10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-4,25 à +7 dB</w:t>
            </w:r>
          </w:p>
        </w:tc>
        <w:tc>
          <w:tcPr>
            <w:tcW w:type="dxa" w:w="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à 14 dB</w:t>
            </w:r>
          </w:p>
        </w:tc>
        <w:tc>
          <w:tcPr>
            <w:tcW w:type="dxa" w:w="3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faible</w:t>
            </w:r>
            <w:r>
              <w:t xml:space="preserve"> : pertes probables</w:t>
            </w:r>
          </w:p>
        </w:tc>
      </w:tr>
      <w:tr>
        <w:trPr>
          <w:tblHeader w:val="off"/>
        </w:trPr>
        <w:tc>
          <w:tcPr>
            <w:tcW w:type="dxa" w:w="5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ThRemise</w:t>
            </w:r>
          </w:p>
        </w:tc>
        <w:tc>
          <w:tcPr>
            <w:tcW w:type="dxa" w:w="29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 place, </w:t>
            </w:r>
            <w:r>
              <w:rPr>
                <w:b/>
                <w:bCs/>
              </w:rPr>
              <w:t xml:space="preserve">relais au centre de la maison</w:t>
            </w:r>
          </w:p>
        </w:tc>
        <w:tc>
          <w:tcPr>
            <w:tcW w:type="dxa" w:w="11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-86 / -87 dBm</w:t>
            </w:r>
          </w:p>
        </w:tc>
        <w:tc>
          <w:tcPr>
            <w:tcW w:type="dxa" w:w="10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7 à 12,75 dB</w:t>
            </w:r>
          </w:p>
        </w:tc>
        <w:tc>
          <w:tcPr>
            <w:tcW w:type="dxa" w:w="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≥ 14 dB</w:t>
            </w:r>
          </w:p>
        </w:tc>
        <w:tc>
          <w:tcPr>
            <w:tcW w:type="dxa" w:w="3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bon</w:t>
            </w:r>
          </w:p>
        </w:tc>
      </w:tr>
      <w:tr>
        <w:trPr>
          <w:tblHeader w:val="off"/>
        </w:trPr>
        <w:tc>
          <w:tcPr>
            <w:tcW w:type="dxa" w:w="5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ThCave</w:t>
            </w:r>
          </w:p>
        </w:tc>
        <w:tc>
          <w:tcPr>
            <w:tcW w:type="dxa" w:w="29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sur la table (relais au centre)</w:t>
            </w:r>
          </w:p>
        </w:tc>
        <w:tc>
          <w:tcPr>
            <w:tcW w:type="dxa" w:w="11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-68 à -76 dBm</w:t>
            </w:r>
          </w:p>
        </w:tc>
        <w:tc>
          <w:tcPr>
            <w:tcW w:type="dxa" w:w="10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 à 13 dB</w:t>
            </w:r>
          </w:p>
        </w:tc>
        <w:tc>
          <w:tcPr>
            <w:tcW w:type="dxa" w:w="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3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trames et SET reçus, acquittés</w:t>
            </w:r>
          </w:p>
        </w:tc>
      </w:tr>
      <w:tr>
        <w:trPr>
          <w:tblHeader w:val="off"/>
        </w:trPr>
        <w:tc>
          <w:tcPr>
            <w:tcW w:type="dxa" w:w="5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ThCave</w:t>
            </w:r>
          </w:p>
        </w:tc>
        <w:tc>
          <w:tcPr>
            <w:tcW w:type="dxa" w:w="29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en place à la cave</w:t>
            </w:r>
            <w:r>
              <w:t xml:space="preserve"> (relais au centre)</w:t>
            </w:r>
          </w:p>
        </w:tc>
        <w:tc>
          <w:tcPr>
            <w:tcW w:type="dxa" w:w="11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-73 / -74 dBm</w:t>
            </w:r>
          </w:p>
        </w:tc>
        <w:tc>
          <w:tcPr>
            <w:tcW w:type="dxa" w:w="10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12,5 dB</w:t>
            </w:r>
          </w:p>
        </w:tc>
        <w:tc>
          <w:tcPr>
            <w:tcW w:type="dxa" w:w="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≈ 20 dB</w:t>
            </w:r>
          </w:p>
        </w:tc>
        <w:tc>
          <w:tcPr>
            <w:tcW w:type="dxa" w:w="3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très bon</w:t>
            </w:r>
          </w:p>
        </w:tc>
      </w:tr>
    </w:tbl>
    <w:p/>
    <w:p>
      <w:pPr>
        <w:spacing w:after="120"/>
      </w:pPr>
      <w:r>
        <w:t xml:space="preserve">Constats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L'emplacement du relais compte plus que la fréquence</w:t>
      </w:r>
      <w:r>
        <w:t xml:space="preserve"> : ThRemise gagne ≈ 10 dB de RSSI et ≈ 8 dB de SNR quand le relais passe au centre de la maison. Le relais doit rester au centre.</w:t>
      </w:r>
    </w:p>
    <w:p>
      <w:pPr>
        <w:pStyle w:val="ListParagraph"/>
        <w:numPr>
          <w:ilvl w:val="0"/>
          <w:numId w:val="2"/>
        </w:numPr>
      </w:pPr>
      <w:r>
        <w:t xml:space="preserve">Avec le relais au centre, </w:t>
      </w:r>
      <w:r>
        <w:rPr>
          <w:b/>
          <w:bCs/>
        </w:rPr>
        <w:t xml:space="preserve">SF7 suffit pour les deux nœuds</w:t>
      </w:r>
      <w:r>
        <w:t xml:space="preserve">, avec au moins 14 dB de marge.</w:t>
      </w:r>
    </w:p>
    <w:p>
      <w:pPr>
        <w:pStyle w:val="ListParagraph"/>
        <w:numPr>
          <w:ilvl w:val="0"/>
          <w:numId w:val="2"/>
        </w:numPr>
      </w:pPr>
      <w:r>
        <w:t xml:space="preserve">Pas de comparaison avec 915 MHz possible : la mesure de référence (T0) n'a pas été faite avant la migration.</w:t>
      </w:r>
    </w:p>
    <w:p>
      <w:pPr>
        <w:pStyle w:val="ListParagraph"/>
        <w:numPr>
          <w:ilvl w:val="0"/>
          <w:numId w:val="2"/>
        </w:numPr>
      </w:pPr>
      <w:r>
        <w:t xml:space="preserve">Au-delà du SNR de 10 dB environ, le SNR plafonne : c'est alors le RSSI qui renseigne sur la marge (ThCave).</w:t>
      </w:r>
    </w:p>
    <w:p>
      <w:pPr>
        <w:pStyle w:val="Heading1"/>
        <w:keepNext/>
      </w:pPr>
      <w:r>
        <w:t xml:space="preserve">5. Suite et pistes</w:t>
      </w:r>
    </w:p>
    <w:p>
      <w:pPr>
        <w:spacing w:after="120"/>
      </w:pPr>
      <w:r>
        <w:t xml:space="preserve">À faire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Compter les pertes sur 24 h</w:t>
      </w:r>
      <w:r>
        <w:t xml:space="preserve"> (T7) : trames manquantes par nœud dans HA ou dans le journal du relais.</w:t>
      </w:r>
    </w:p>
    <w:p>
      <w:pPr>
        <w:pStyle w:val="ListParagraph"/>
        <w:numPr>
          <w:ilvl w:val="0"/>
          <w:numId w:val="2"/>
        </w:numPr>
      </w:pPr>
      <w:r>
        <w:t xml:space="preserve">Remettre la </w:t>
      </w:r>
      <w:r>
        <w:rPr>
          <w:b/>
          <w:bCs/>
        </w:rPr>
        <w:t xml:space="preserve">veille profonde</w:t>
      </w:r>
      <w:r>
        <w:t xml:space="preserve"> sur ThRemise et ThCave (actuellement désactivée pour les essais) quand ils passeront sur piles, puis vérifier la tension de batterie de ThCave (≈ 3 V attendus).</w:t>
      </w:r>
    </w:p>
    <w:p>
      <w:pPr>
        <w:pStyle w:val="ListParagraph"/>
        <w:numPr>
          <w:ilvl w:val="0"/>
          <w:numId w:val="2"/>
        </w:numPr>
      </w:pPr>
      <w:r>
        <w:t xml:space="preserve">Refaire les mesures si un nouveau capteur LoRa est posé loin du centre.</w:t>
      </w:r>
    </w:p>
    <w:p>
      <w:pPr>
        <w:spacing w:after="120"/>
      </w:pPr>
      <w:r>
        <w:t xml:space="preserve">Si la portée manquait (marge de SNR &lt; 5 dB, pertes régulières), dans cet ordre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8"/>
        <w:gridCol w:w="1181"/>
        <w:gridCol w:w="5099"/>
      </w:tblGrid>
      <w:tr>
        <w:trPr>
          <w:tblHeader/>
        </w:trPr>
        <w:tc>
          <w:tcPr>
            <w:tcW w:type="dxa" w:w="33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Piste</w:t>
            </w:r>
          </w:p>
        </w:tc>
        <w:tc>
          <w:tcPr>
            <w:tcW w:type="dxa" w:w="11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Gain</w:t>
            </w:r>
          </w:p>
        </w:tc>
        <w:tc>
          <w:tcPr>
            <w:tcW w:type="dxa" w:w="50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Prix</w:t>
            </w:r>
          </w:p>
        </w:tc>
      </w:tr>
      <w:tr>
        <w:trPr>
          <w:tblHeader w:val="off"/>
        </w:trPr>
        <w:tc>
          <w:tcPr>
            <w:tcW w:type="dxa" w:w="33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Déplacer / surélever l'antenne du relais ou du capteur</w:t>
            </w:r>
          </w:p>
        </w:tc>
        <w:tc>
          <w:tcPr>
            <w:tcW w:type="dxa" w:w="11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quelques dB à 10 dB</w:t>
            </w:r>
          </w:p>
        </w:tc>
        <w:tc>
          <w:tcPr>
            <w:tcW w:type="dxa" w:w="50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aucun</w:t>
            </w:r>
          </w:p>
        </w:tc>
      </w:tr>
      <w:tr>
        <w:trPr>
          <w:tblHeader w:val="off"/>
        </w:trPr>
        <w:tc>
          <w:tcPr>
            <w:tcW w:type="dxa" w:w="33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SF9</w:t>
            </w:r>
          </w:p>
        </w:tc>
        <w:tc>
          <w:tcPr>
            <w:tcW w:type="dxa" w:w="11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≈ +5 dB</w:t>
            </w:r>
          </w:p>
        </w:tc>
        <w:tc>
          <w:tcPr>
            <w:tcW w:type="dxa" w:w="50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temps d'émission × 4 (≈ 0,3 % de cycle : encore loin de 1 %), plus de consommation</w:t>
            </w:r>
          </w:p>
        </w:tc>
      </w:tr>
      <w:tr>
        <w:trPr>
          <w:tblHeader w:val="off"/>
        </w:trPr>
        <w:tc>
          <w:tcPr>
            <w:tcW w:type="dxa" w:w="33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869,525 MHz (g3)</w:t>
            </w:r>
            <w:r>
              <w:t xml:space="preserve"> jusqu'à 22 dBm</w:t>
            </w:r>
          </w:p>
        </w:tc>
        <w:tc>
          <w:tcPr>
            <w:tcW w:type="dxa" w:w="11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≈ +8 dB</w:t>
            </w:r>
          </w:p>
        </w:tc>
        <w:tc>
          <w:tcPr>
            <w:tcW w:type="dxa" w:w="50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consommation à l'émission plus forte ; changer tous les nœuds ensemble</w:t>
            </w:r>
          </w:p>
        </w:tc>
      </w:tr>
      <w:tr>
        <w:trPr>
          <w:tblHeader w:val="off"/>
        </w:trPr>
        <w:tc>
          <w:tcPr>
            <w:tcW w:type="dxa" w:w="33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SF12</w:t>
            </w:r>
          </w:p>
        </w:tc>
        <w:tc>
          <w:tcPr>
            <w:tcW w:type="dxa" w:w="11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≈ +12 dB</w:t>
            </w:r>
          </w:p>
        </w:tc>
        <w:tc>
          <w:tcPr>
            <w:tcW w:type="dxa" w:w="50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temps × 32 : à éviter (cycle et piles)</w:t>
            </w:r>
          </w:p>
        </w:tc>
      </w:tr>
    </w:tbl>
    <w:p/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2F549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2026-10-29T22:32:14.221Z</dcterms:created>
  <dcterms:modified xsi:type="dcterms:W3CDTF">2026-10-29T22:32:14.224Z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