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Request for Proposal — ERP Implementation Services for Northwind Regional Health</w:t>
      </w:r>
    </w:p>
    <w:p>
      <w:pPr>
        <w:pStyle w:val="Heading1"/>
      </w:pPr>
      <w:r>
        <w:t>Background</w:t>
      </w:r>
    </w:p>
    <w:p>
      <w:r>
        <w:t>Northwind Regional Health operates a regional network of care facilities and is replacing its legacy ERP environment. This solicitation seeks an implementation partner for the selected platform.</w:t>
      </w:r>
    </w:p>
    <w:p>
      <w:r>
        <w:t>The anticipated project phases and their planned quarters are shown below for reference.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Planned quarter</w:t>
            </w:r>
          </w:p>
        </w:tc>
      </w:tr>
      <w:tr>
        <w:tc>
          <w:tcPr>
            <w:tcW w:type="dxa" w:w="4320"/>
          </w:tcPr>
          <w:p>
            <w:r>
              <w:t>Discovery</w:t>
            </w:r>
          </w:p>
        </w:tc>
        <w:tc>
          <w:tcPr>
            <w:tcW w:type="dxa" w:w="4320"/>
          </w:tcPr>
          <w:p>
            <w:r>
              <w:t>Q1</w:t>
            </w:r>
          </w:p>
        </w:tc>
      </w:tr>
      <w:tr>
        <w:tc>
          <w:tcPr>
            <w:tcW w:type="dxa" w:w="4320"/>
          </w:tcPr>
          <w:p>
            <w:r>
              <w:t>Configuration</w:t>
            </w:r>
          </w:p>
        </w:tc>
        <w:tc>
          <w:tcPr>
            <w:tcW w:type="dxa" w:w="4320"/>
          </w:tcPr>
          <w:p>
            <w:r>
              <w:t>Q2</w:t>
            </w:r>
          </w:p>
        </w:tc>
      </w:tr>
      <w:tr>
        <w:tc>
          <w:tcPr>
            <w:tcW w:type="dxa" w:w="4320"/>
          </w:tcPr>
          <w:p>
            <w:r>
              <w:t>Go-live</w:t>
            </w:r>
          </w:p>
        </w:tc>
        <w:tc>
          <w:tcPr>
            <w:tcW w:type="dxa" w:w="4320"/>
          </w:tcPr>
          <w:p>
            <w:r>
              <w:t>Q4</w:t>
            </w:r>
          </w:p>
        </w:tc>
      </w:tr>
    </w:tbl>
    <w:p>
      <w:pPr>
        <w:pStyle w:val="Heading1"/>
      </w:pPr>
      <w:r>
        <w:t>Response Format</w:t>
      </w:r>
    </w:p>
    <w:p>
      <w:r>
        <w:t>Responses must address the following sections using the section numbering below.</w:t>
      </w:r>
    </w:p>
    <w:p>
      <w:pPr>
        <w:pStyle w:val="Heading2"/>
      </w:pPr>
      <w:r>
        <w:t>1. Technical Approach</w:t>
      </w:r>
    </w:p>
    <w:p>
      <w:r>
        <w:t>Describe the proposed technical approach and architecture.</w:t>
      </w:r>
    </w:p>
    <w:p>
      <w:pPr>
        <w:pStyle w:val="Heading2"/>
      </w:pPr>
      <w:r>
        <w:t>2. Support Model</w:t>
      </w:r>
    </w:p>
    <w:p>
      <w:r>
        <w:t>Describe the post-go-live support model, including tiers and response times.</w:t>
      </w:r>
    </w:p>
    <w:p>
      <w:pPr>
        <w:pStyle w:val="Heading1"/>
      </w:pPr>
      <w:r>
        <w:t>Resource Commitments</w:t>
      </w:r>
    </w:p>
    <w:p>
      <w:r>
        <w:t>Bidders shall complete the resource allocation table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% Allocation</w:t>
            </w:r>
          </w:p>
        </w:tc>
      </w:tr>
      <w:tr>
        <w:tc>
          <w:tcPr>
            <w:tcW w:type="dxa" w:w="2880"/>
          </w:tcPr>
          <w:p>
            <w:r>
              <w:t>Project Manager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Solution Architect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Change Lead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