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2dkgt4zp0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Memo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mc3eotgmd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Subject: Customer Churn Risk Assessment and Retention Priorities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exploratory analysis identified several important drivers of customer churn.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80r2dy0bb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with high recency values are significantly more likely to churn.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with low purchase frequency demonstrate elevated churn risk.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monetary-value customers churn at substantially higher rates than high-value customers.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Silver-tier customers exhibit higher churn rates compared to Platinum-tier customers.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acquired through Instagram and Google Search channels show relatively higher churn rates than customers acquired through Organic and Referral channels.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with lower engagement metrics, including sessions, product views, and campaign interactions, are more likely to churn.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646xhvmep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Business Actions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re-engagement campaigns targeting customers with high recency.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loyalty upgrade programs for Silver-tier customers.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personalized offers for low-frequency purchasers.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onboarding quality for customers acquired through high-risk acquisition channels.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proactive retention programs for customers showing declining website engagement.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9zfx7tktp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Investigation Areas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Causes of declining customer engagement.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Effectiveness of previous retention campaigns.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experience issues leading to inactivity.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between support interactions and churn.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actions should be investigated before launching large-scale retention initiatives.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