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360"/>
      </w:tblGrid>
      <w:tr w:rsidR="00FA345A" w14:paraId="4FF4DABF" w14:textId="77777777">
        <w:tc>
          <w:tcPr>
            <w:tcW w:w="9360" w:type="dxa"/>
            <w:shd w:val="clear" w:color="auto" w:fill="1A375E"/>
          </w:tcPr>
          <w:p w14:paraId="6FB6B96F" w14:textId="77777777" w:rsidR="00FA345A" w:rsidRDefault="00FA345A">
            <w:pPr>
              <w:spacing w:before="240" w:after="240"/>
            </w:pPr>
          </w:p>
        </w:tc>
      </w:tr>
    </w:tbl>
    <w:p w14:paraId="7F78C226" w14:textId="77777777" w:rsidR="00FA345A" w:rsidRDefault="00FA345A"/>
    <w:p w14:paraId="56BD3A2B" w14:textId="77777777" w:rsidR="00FA345A" w:rsidRDefault="00000000">
      <w:pPr>
        <w:spacing w:before="480" w:after="80"/>
      </w:pPr>
      <w:r>
        <w:rPr>
          <w:b/>
          <w:color w:val="1A375E"/>
          <w:sz w:val="56"/>
        </w:rPr>
        <w:t>Nuclear Capacity Dashboard</w:t>
      </w:r>
    </w:p>
    <w:p w14:paraId="346D61F5" w14:textId="77777777" w:rsidR="00FA345A" w:rsidRDefault="00000000">
      <w:pPr>
        <w:spacing w:after="240"/>
      </w:pPr>
      <w:r>
        <w:rPr>
          <w:b/>
          <w:color w:val="2E75B6"/>
          <w:sz w:val="36"/>
        </w:rPr>
        <w:t>Methodology &amp; User Guide</w:t>
      </w:r>
    </w:p>
    <w:p w14:paraId="6353C1C7" w14:textId="77777777" w:rsidR="00FA345A" w:rsidRDefault="00FA345A">
      <w:pPr>
        <w:pBdr>
          <w:bottom w:val="single" w:sz="4" w:space="1" w:color="2E75B6"/>
        </w:pBdr>
        <w:spacing w:after="0"/>
      </w:pPr>
    </w:p>
    <w:p w14:paraId="1F3DDDF7" w14:textId="77777777" w:rsidR="00FA345A" w:rsidRDefault="00FA345A"/>
    <w:tbl>
      <w:tblPr>
        <w:tblW w:w="0" w:type="auto"/>
        <w:tblLook w:val="04A0" w:firstRow="1" w:lastRow="0" w:firstColumn="1" w:lastColumn="0" w:noHBand="0" w:noVBand="1"/>
      </w:tblPr>
      <w:tblGrid>
        <w:gridCol w:w="4680"/>
        <w:gridCol w:w="4680"/>
      </w:tblGrid>
      <w:tr w:rsidR="00FA345A" w14:paraId="2B69D1A3" w14:textId="77777777">
        <w:tc>
          <w:tcPr>
            <w:tcW w:w="4680" w:type="dxa"/>
            <w:shd w:val="clear" w:color="auto" w:fill="F0F4F8"/>
          </w:tcPr>
          <w:p w14:paraId="23790B13" w14:textId="77777777" w:rsidR="00FA345A" w:rsidRDefault="00000000">
            <w:r>
              <w:rPr>
                <w:b/>
                <w:color w:val="1A375E"/>
              </w:rPr>
              <w:t>Version</w:t>
            </w:r>
          </w:p>
        </w:tc>
        <w:tc>
          <w:tcPr>
            <w:tcW w:w="4680" w:type="dxa"/>
          </w:tcPr>
          <w:p w14:paraId="75AA902C" w14:textId="77777777" w:rsidR="00FA345A" w:rsidRDefault="00000000">
            <w:r>
              <w:t>1.0  |  April 2026</w:t>
            </w:r>
          </w:p>
        </w:tc>
      </w:tr>
      <w:tr w:rsidR="00FA345A" w14:paraId="2B79F782" w14:textId="77777777">
        <w:tc>
          <w:tcPr>
            <w:tcW w:w="4680" w:type="dxa"/>
            <w:shd w:val="clear" w:color="auto" w:fill="F0F4F8"/>
          </w:tcPr>
          <w:p w14:paraId="159C120A" w14:textId="77777777" w:rsidR="00FA345A" w:rsidRDefault="00000000">
            <w:r>
              <w:rPr>
                <w:b/>
                <w:color w:val="1A375E"/>
              </w:rPr>
              <w:t>Baseline Year</w:t>
            </w:r>
          </w:p>
        </w:tc>
        <w:tc>
          <w:tcPr>
            <w:tcW w:w="4680" w:type="dxa"/>
          </w:tcPr>
          <w:p w14:paraId="1F6CC979" w14:textId="77777777" w:rsidR="00FA345A" w:rsidRDefault="00000000">
            <w:r>
              <w:t>2024 (last full IAEA PRIS vintage)</w:t>
            </w:r>
          </w:p>
        </w:tc>
      </w:tr>
      <w:tr w:rsidR="00FA345A" w14:paraId="1F5BC672" w14:textId="77777777">
        <w:tc>
          <w:tcPr>
            <w:tcW w:w="4680" w:type="dxa"/>
            <w:shd w:val="clear" w:color="auto" w:fill="F0F4F8"/>
          </w:tcPr>
          <w:p w14:paraId="0118F3D2" w14:textId="77777777" w:rsidR="00FA345A" w:rsidRDefault="00000000">
            <w:r>
              <w:rPr>
                <w:b/>
                <w:color w:val="1A375E"/>
              </w:rPr>
              <w:t>Projection Horizon</w:t>
            </w:r>
          </w:p>
        </w:tc>
        <w:tc>
          <w:tcPr>
            <w:tcW w:w="4680" w:type="dxa"/>
          </w:tcPr>
          <w:p w14:paraId="354E7E9B" w14:textId="77777777" w:rsidR="00FA345A" w:rsidRDefault="00000000">
            <w:r>
              <w:t>2024 – 2050</w:t>
            </w:r>
          </w:p>
        </w:tc>
      </w:tr>
      <w:tr w:rsidR="00FA345A" w14:paraId="068A473C" w14:textId="77777777">
        <w:tc>
          <w:tcPr>
            <w:tcW w:w="4680" w:type="dxa"/>
            <w:shd w:val="clear" w:color="auto" w:fill="F0F4F8"/>
          </w:tcPr>
          <w:p w14:paraId="1ED8C2FE" w14:textId="77777777" w:rsidR="00FA345A" w:rsidRDefault="00000000">
            <w:r>
              <w:rPr>
                <w:b/>
                <w:color w:val="1A375E"/>
              </w:rPr>
              <w:t>Primary Data Sources</w:t>
            </w:r>
          </w:p>
        </w:tc>
        <w:tc>
          <w:tcPr>
            <w:tcW w:w="4680" w:type="dxa"/>
          </w:tcPr>
          <w:p w14:paraId="7CBD559C" w14:textId="77777777" w:rsidR="00FA345A" w:rsidRDefault="00000000">
            <w:r>
              <w:t>IAEA PRIS · IAEA RDS-1/2 · IEA WEO 2024 · WNA Reactor Database</w:t>
            </w:r>
          </w:p>
        </w:tc>
      </w:tr>
    </w:tbl>
    <w:p w14:paraId="01DB86C4" w14:textId="77777777" w:rsidR="00FA345A" w:rsidRDefault="00FA345A"/>
    <w:p w14:paraId="5DCDC8FF" w14:textId="77777777" w:rsidR="00FA345A" w:rsidRDefault="00FA345A">
      <w:pPr>
        <w:pBdr>
          <w:bottom w:val="single" w:sz="4" w:space="1" w:color="F0F4F8"/>
        </w:pBdr>
        <w:spacing w:after="0"/>
      </w:pPr>
    </w:p>
    <w:p w14:paraId="3AA4B688" w14:textId="77777777" w:rsidR="00FA345A" w:rsidRDefault="00000000">
      <w:r>
        <w:rPr>
          <w:b/>
        </w:rPr>
        <w:t xml:space="preserve">Scenarios covered: </w:t>
      </w:r>
      <w:r>
        <w:rPr>
          <w:b/>
          <w:color w:val="C0392B"/>
        </w:rPr>
        <w:t xml:space="preserve">  ■ Decline</w:t>
      </w:r>
      <w:r>
        <w:rPr>
          <w:b/>
          <w:color w:val="E67E22"/>
        </w:rPr>
        <w:t xml:space="preserve">  ■ Conservative</w:t>
      </w:r>
      <w:r>
        <w:rPr>
          <w:b/>
          <w:color w:val="276FBF"/>
        </w:rPr>
        <w:t xml:space="preserve">  ■ Base</w:t>
      </w:r>
      <w:r>
        <w:rPr>
          <w:b/>
          <w:color w:val="1E8B4C"/>
        </w:rPr>
        <w:t xml:space="preserve">  ■ Optimistic</w:t>
      </w:r>
    </w:p>
    <w:p w14:paraId="5BFB4C5B" w14:textId="77777777" w:rsidR="00FA345A" w:rsidRDefault="00000000">
      <w:pPr>
        <w:spacing w:after="0"/>
      </w:pPr>
      <w:r>
        <w:br w:type="page"/>
      </w:r>
    </w:p>
    <w:p w14:paraId="52AD2DCD" w14:textId="77777777" w:rsidR="00FA345A" w:rsidRDefault="00000000">
      <w:pPr>
        <w:pBdr>
          <w:bottom w:val="single" w:sz="6" w:space="4" w:color="2E75B6"/>
        </w:pBdr>
        <w:spacing w:before="360"/>
      </w:pPr>
      <w:r>
        <w:rPr>
          <w:b/>
          <w:color w:val="1A375E"/>
          <w:sz w:val="40"/>
        </w:rPr>
        <w:lastRenderedPageBreak/>
        <w:t>Executive Summary</w:t>
      </w:r>
    </w:p>
    <w:p w14:paraId="58C2FD25" w14:textId="77777777" w:rsidR="00FA345A" w:rsidRDefault="00000000">
      <w:pPr>
        <w:spacing w:before="80" w:after="80"/>
      </w:pPr>
      <w:r>
        <w:t>The Nuclear Capacity Dashboard is an interactive, scenario-based projection tool that tracks and forecasts global nuclear electricity generating capacity from 2024 to 2050. It is designed for energy analysts, policy professionals, and senior nuclear industry audiences who require a rigorous, transparent, and fully auditable view of how nuclear capacity may evolve under different policy and market conditions.</w:t>
      </w:r>
    </w:p>
    <w:p w14:paraId="4B764EF4" w14:textId="77777777" w:rsidR="00FA345A" w:rsidRDefault="00000000">
      <w:pPr>
        <w:spacing w:before="280" w:after="80"/>
      </w:pPr>
      <w:r>
        <w:rPr>
          <w:b/>
          <w:color w:val="1A375E"/>
          <w:sz w:val="30"/>
        </w:rPr>
        <w:t>What the dashboard does</w:t>
      </w:r>
    </w:p>
    <w:p w14:paraId="14BFD0AB" w14:textId="77777777" w:rsidR="00FA345A" w:rsidRDefault="00000000">
      <w:pPr>
        <w:spacing w:before="80" w:after="80"/>
      </w:pPr>
      <w:r>
        <w:t>This dashboard provides a bottom-up model of global nuclear capacity from 2024 through 2040, with a top-down projection of 2040–2050 installed capacity. Projections through 2040 are fully customizable based on retirement policy changes, assumptions about the likelihood of reactors in the nuclear pipeline being constructed, construction delays and more. In addition, the model can be customized down to the reactor level with direct overrides on reactor retirement and construction date, restarts, and uprates/downrates. These customizations can be made manually or using plain-English requests to an embedded Claude agent, which translates user hypotheticals into modelable assumptions.</w:t>
      </w:r>
    </w:p>
    <w:p w14:paraId="1DB4E46C" w14:textId="77777777" w:rsidR="00FA345A" w:rsidRDefault="00000000">
      <w:pPr>
        <w:spacing w:before="80" w:after="80"/>
      </w:pPr>
      <w:r>
        <w:t>This means that the dashboard:</w:t>
      </w:r>
    </w:p>
    <w:p w14:paraId="3FABD4D5" w14:textId="77777777" w:rsidR="00FA345A" w:rsidRDefault="00000000">
      <w:pPr>
        <w:pStyle w:val="ListBullet"/>
        <w:spacing w:before="40" w:after="40"/>
      </w:pPr>
      <w:r>
        <w:t>Tracks 400+ individual reactor units by country, status, age, and capacity</w:t>
      </w:r>
    </w:p>
    <w:p w14:paraId="3E10C1CD" w14:textId="77777777" w:rsidR="00FA345A" w:rsidRDefault="00000000">
      <w:pPr>
        <w:pStyle w:val="ListBullet"/>
        <w:spacing w:before="40" w:after="40"/>
      </w:pPr>
      <w:r>
        <w:t>Projects retirements unit-by-unit using regulator-specific license renewal rules for 30+ countries</w:t>
      </w:r>
    </w:p>
    <w:p w14:paraId="23E7A7D2" w14:textId="77777777" w:rsidR="00FA345A" w:rsidRDefault="00000000">
      <w:pPr>
        <w:pStyle w:val="ListBullet"/>
        <w:spacing w:before="40" w:after="40"/>
      </w:pPr>
      <w:r>
        <w:t>Applies pipeline realization rates to Under Construction, Planned, and Proposed reactors</w:t>
      </w:r>
    </w:p>
    <w:p w14:paraId="091DEEAC" w14:textId="77777777" w:rsidR="00FA345A" w:rsidRDefault="00000000">
      <w:pPr>
        <w:pStyle w:val="ListBullet"/>
        <w:spacing w:before="40" w:after="40"/>
      </w:pPr>
      <w:r>
        <w:t>Bridges to a top-down post-2040 growth assumption anchored to leading external benchmarks</w:t>
      </w:r>
    </w:p>
    <w:p w14:paraId="5C59E59E" w14:textId="77777777" w:rsidR="00FA345A" w:rsidRDefault="00000000">
      <w:pPr>
        <w:pStyle w:val="ListBullet"/>
        <w:spacing w:before="40" w:after="40"/>
      </w:pPr>
      <w:r>
        <w:t>Provides four pre-defined scenarios plus full user customization via the Scenario Lab</w:t>
      </w:r>
    </w:p>
    <w:p w14:paraId="7FCAD3E2" w14:textId="77777777" w:rsidR="00FA345A" w:rsidRDefault="00000000">
      <w:pPr>
        <w:spacing w:before="280" w:after="80"/>
      </w:pPr>
      <w:r>
        <w:rPr>
          <w:b/>
          <w:color w:val="1A375E"/>
          <w:sz w:val="30"/>
        </w:rPr>
        <w:t>The four scenarios at a glance</w:t>
      </w:r>
    </w:p>
    <w:p w14:paraId="232F7E1D" w14:textId="77777777" w:rsidR="00FA345A" w:rsidRDefault="00000000">
      <w:pPr>
        <w:spacing w:before="80" w:after="80"/>
      </w:pPr>
      <w:r>
        <w:t>The model includes four default scenarios that consider a range of assumptions about the future of nuclear power, based on life extension policies and pipeline realization. Users can select a given scenario and then layer on additional customizations if they so choose.</w:t>
      </w:r>
    </w:p>
    <w:tbl>
      <w:tblPr>
        <w:tblStyle w:val="TableGrid"/>
        <w:tblW w:w="0" w:type="auto"/>
        <w:tblLook w:val="04A0" w:firstRow="1" w:lastRow="0" w:firstColumn="1" w:lastColumn="0" w:noHBand="0" w:noVBand="1"/>
      </w:tblPr>
      <w:tblGrid>
        <w:gridCol w:w="1059"/>
        <w:gridCol w:w="1727"/>
        <w:gridCol w:w="1416"/>
        <w:gridCol w:w="1196"/>
        <w:gridCol w:w="997"/>
        <w:gridCol w:w="1348"/>
        <w:gridCol w:w="1833"/>
      </w:tblGrid>
      <w:tr w:rsidR="00FA345A" w14:paraId="19BEEAD0" w14:textId="77777777">
        <w:tc>
          <w:tcPr>
            <w:tcW w:w="1008" w:type="dxa"/>
            <w:shd w:val="clear" w:color="auto" w:fill="1A375E"/>
          </w:tcPr>
          <w:p w14:paraId="7005DF7F" w14:textId="77777777" w:rsidR="00FA345A" w:rsidRDefault="00000000">
            <w:pPr>
              <w:spacing w:before="40" w:after="40"/>
            </w:pPr>
            <w:r>
              <w:rPr>
                <w:b/>
                <w:color w:val="FFFFFF"/>
                <w:sz w:val="16"/>
              </w:rPr>
              <w:t>Scenario</w:t>
            </w:r>
          </w:p>
        </w:tc>
        <w:tc>
          <w:tcPr>
            <w:tcW w:w="1440" w:type="dxa"/>
            <w:shd w:val="clear" w:color="auto" w:fill="1A375E"/>
          </w:tcPr>
          <w:p w14:paraId="2C5BF77C" w14:textId="77777777" w:rsidR="00FA345A" w:rsidRDefault="00000000">
            <w:pPr>
              <w:spacing w:before="40" w:after="40"/>
            </w:pPr>
            <w:r>
              <w:rPr>
                <w:b/>
                <w:color w:val="FFFFFF"/>
                <w:sz w:val="16"/>
              </w:rPr>
              <w:t>Life Extension Policy</w:t>
            </w:r>
          </w:p>
        </w:tc>
        <w:tc>
          <w:tcPr>
            <w:tcW w:w="1440" w:type="dxa"/>
            <w:shd w:val="clear" w:color="auto" w:fill="1A375E"/>
          </w:tcPr>
          <w:p w14:paraId="5F321C8C" w14:textId="77777777" w:rsidR="00FA345A" w:rsidRDefault="00000000">
            <w:pPr>
              <w:spacing w:before="40" w:after="40"/>
            </w:pPr>
            <w:r>
              <w:rPr>
                <w:b/>
                <w:color w:val="FFFFFF"/>
                <w:sz w:val="16"/>
              </w:rPr>
              <w:t>Pipeline Realization</w:t>
            </w:r>
          </w:p>
        </w:tc>
        <w:tc>
          <w:tcPr>
            <w:tcW w:w="1224" w:type="dxa"/>
            <w:shd w:val="clear" w:color="auto" w:fill="1A375E"/>
          </w:tcPr>
          <w:p w14:paraId="207E1229" w14:textId="77777777" w:rsidR="00FA345A" w:rsidRDefault="00000000">
            <w:pPr>
              <w:spacing w:before="40" w:after="40"/>
            </w:pPr>
            <w:r>
              <w:rPr>
                <w:b/>
                <w:color w:val="FFFFFF"/>
                <w:sz w:val="16"/>
              </w:rPr>
              <w:t>Post-2040 New Build</w:t>
            </w:r>
          </w:p>
        </w:tc>
        <w:tc>
          <w:tcPr>
            <w:tcW w:w="1008" w:type="dxa"/>
            <w:shd w:val="clear" w:color="auto" w:fill="1A375E"/>
          </w:tcPr>
          <w:p w14:paraId="1F8B6692" w14:textId="77777777" w:rsidR="00FA345A" w:rsidRDefault="00000000">
            <w:pPr>
              <w:spacing w:before="40" w:after="40"/>
            </w:pPr>
            <w:r>
              <w:rPr>
                <w:b/>
                <w:color w:val="FFFFFF"/>
                <w:sz w:val="16"/>
              </w:rPr>
              <w:t>2050 Capacity</w:t>
            </w:r>
          </w:p>
        </w:tc>
        <w:tc>
          <w:tcPr>
            <w:tcW w:w="1368" w:type="dxa"/>
            <w:shd w:val="clear" w:color="auto" w:fill="1A375E"/>
          </w:tcPr>
          <w:p w14:paraId="41EAA0F1" w14:textId="77777777" w:rsidR="00FA345A" w:rsidRDefault="00000000">
            <w:pPr>
              <w:spacing w:before="40" w:after="40"/>
            </w:pPr>
            <w:r>
              <w:rPr>
                <w:b/>
                <w:color w:val="FFFFFF"/>
                <w:sz w:val="16"/>
              </w:rPr>
              <w:t>Benchmark</w:t>
            </w:r>
          </w:p>
        </w:tc>
        <w:tc>
          <w:tcPr>
            <w:tcW w:w="1872" w:type="dxa"/>
            <w:shd w:val="clear" w:color="auto" w:fill="1A375E"/>
          </w:tcPr>
          <w:p w14:paraId="612D1657" w14:textId="77777777" w:rsidR="00FA345A" w:rsidRDefault="00000000">
            <w:pPr>
              <w:spacing w:before="40" w:after="40"/>
            </w:pPr>
            <w:r>
              <w:rPr>
                <w:b/>
                <w:color w:val="FFFFFF"/>
                <w:sz w:val="16"/>
              </w:rPr>
              <w:t>Why this benchmark?</w:t>
            </w:r>
          </w:p>
        </w:tc>
      </w:tr>
      <w:tr w:rsidR="00FA345A" w14:paraId="414CF1D9" w14:textId="77777777">
        <w:tc>
          <w:tcPr>
            <w:tcW w:w="1008" w:type="dxa"/>
            <w:shd w:val="clear" w:color="auto" w:fill="F2F7FD"/>
          </w:tcPr>
          <w:p w14:paraId="4C42F3EB" w14:textId="77777777" w:rsidR="00FA345A" w:rsidRDefault="00000000">
            <w:pPr>
              <w:spacing w:before="40" w:after="40"/>
            </w:pPr>
            <w:r>
              <w:rPr>
                <w:sz w:val="16"/>
              </w:rPr>
              <w:t>Decline</w:t>
            </w:r>
          </w:p>
        </w:tc>
        <w:tc>
          <w:tcPr>
            <w:tcW w:w="1440" w:type="dxa"/>
            <w:shd w:val="clear" w:color="auto" w:fill="F2F7FD"/>
          </w:tcPr>
          <w:p w14:paraId="3F946DB7" w14:textId="77777777" w:rsidR="00FA345A" w:rsidRDefault="00000000">
            <w:pPr>
              <w:spacing w:before="40" w:after="40"/>
            </w:pPr>
            <w:r>
              <w:rPr>
                <w:sz w:val="16"/>
              </w:rPr>
              <w:t>AcceleratedRetirement</w:t>
            </w:r>
          </w:p>
        </w:tc>
        <w:tc>
          <w:tcPr>
            <w:tcW w:w="1440" w:type="dxa"/>
            <w:shd w:val="clear" w:color="auto" w:fill="F2F7FD"/>
          </w:tcPr>
          <w:p w14:paraId="3C41DC2C" w14:textId="77777777" w:rsidR="00FA345A" w:rsidRDefault="00000000">
            <w:pPr>
              <w:spacing w:before="40" w:after="40"/>
            </w:pPr>
            <w:r>
              <w:rPr>
                <w:sz w:val="16"/>
              </w:rPr>
              <w:t>Low (UC only)</w:t>
            </w:r>
          </w:p>
        </w:tc>
        <w:tc>
          <w:tcPr>
            <w:tcW w:w="1224" w:type="dxa"/>
            <w:shd w:val="clear" w:color="auto" w:fill="F2F7FD"/>
          </w:tcPr>
          <w:p w14:paraId="45A863E4" w14:textId="77777777" w:rsidR="00FA345A" w:rsidRDefault="00000000">
            <w:pPr>
              <w:spacing w:before="40" w:after="40"/>
            </w:pPr>
            <w:r>
              <w:rPr>
                <w:sz w:val="16"/>
              </w:rPr>
              <w:t>~10 GW/yr</w:t>
            </w:r>
          </w:p>
        </w:tc>
        <w:tc>
          <w:tcPr>
            <w:tcW w:w="1008" w:type="dxa"/>
            <w:shd w:val="clear" w:color="auto" w:fill="F2F7FD"/>
          </w:tcPr>
          <w:p w14:paraId="680D0ED9" w14:textId="77777777" w:rsidR="00FA345A" w:rsidRDefault="00000000">
            <w:pPr>
              <w:spacing w:before="40" w:after="40"/>
            </w:pPr>
            <w:r>
              <w:rPr>
                <w:sz w:val="16"/>
              </w:rPr>
              <w:t>~250 GW</w:t>
            </w:r>
          </w:p>
        </w:tc>
        <w:tc>
          <w:tcPr>
            <w:tcW w:w="1368" w:type="dxa"/>
            <w:shd w:val="clear" w:color="auto" w:fill="F2F7FD"/>
          </w:tcPr>
          <w:p w14:paraId="57FF7FAF" w14:textId="77777777" w:rsidR="00FA345A" w:rsidRDefault="00000000">
            <w:pPr>
              <w:spacing w:before="40" w:after="40"/>
            </w:pPr>
            <w:r>
              <w:rPr>
                <w:sz w:val="16"/>
              </w:rPr>
              <w:t>IEA Low Nuclear Case</w:t>
            </w:r>
          </w:p>
        </w:tc>
        <w:tc>
          <w:tcPr>
            <w:tcW w:w="1872" w:type="dxa"/>
            <w:shd w:val="clear" w:color="auto" w:fill="F2F7FD"/>
          </w:tcPr>
          <w:p w14:paraId="7FD24924" w14:textId="77777777" w:rsidR="00FA345A" w:rsidRDefault="00000000">
            <w:pPr>
              <w:spacing w:before="40" w:after="40"/>
            </w:pPr>
            <w:r>
              <w:rPr>
                <w:sz w:val="16"/>
              </w:rPr>
              <w:t>IEA's 'severe headwinds' case — a credible lower bound for a world where policy support fades.</w:t>
            </w:r>
          </w:p>
        </w:tc>
      </w:tr>
      <w:tr w:rsidR="00FA345A" w14:paraId="2CC5854A" w14:textId="77777777">
        <w:tc>
          <w:tcPr>
            <w:tcW w:w="1008" w:type="dxa"/>
            <w:shd w:val="clear" w:color="auto" w:fill="FFFFFF"/>
          </w:tcPr>
          <w:p w14:paraId="3FE6F0C4" w14:textId="77777777" w:rsidR="00FA345A" w:rsidRDefault="00000000">
            <w:pPr>
              <w:spacing w:before="40" w:after="40"/>
            </w:pPr>
            <w:r>
              <w:rPr>
                <w:sz w:val="16"/>
              </w:rPr>
              <w:t>Conservative</w:t>
            </w:r>
          </w:p>
        </w:tc>
        <w:tc>
          <w:tcPr>
            <w:tcW w:w="1440" w:type="dxa"/>
            <w:shd w:val="clear" w:color="auto" w:fill="FFFFFF"/>
          </w:tcPr>
          <w:p w14:paraId="19AF6E5D" w14:textId="77777777" w:rsidR="00FA345A" w:rsidRDefault="00000000">
            <w:pPr>
              <w:spacing w:before="40" w:after="40"/>
            </w:pPr>
            <w:r>
              <w:rPr>
                <w:sz w:val="16"/>
              </w:rPr>
              <w:t>CurrentPolicy (~50%)</w:t>
            </w:r>
          </w:p>
        </w:tc>
        <w:tc>
          <w:tcPr>
            <w:tcW w:w="1440" w:type="dxa"/>
            <w:shd w:val="clear" w:color="auto" w:fill="FFFFFF"/>
          </w:tcPr>
          <w:p w14:paraId="7A29B37C" w14:textId="77777777" w:rsidR="00FA345A" w:rsidRDefault="00000000">
            <w:pPr>
              <w:spacing w:before="40" w:after="40"/>
            </w:pPr>
            <w:r>
              <w:rPr>
                <w:sz w:val="16"/>
              </w:rPr>
              <w:t>Medium (UC + Planned)</w:t>
            </w:r>
          </w:p>
        </w:tc>
        <w:tc>
          <w:tcPr>
            <w:tcW w:w="1224" w:type="dxa"/>
            <w:shd w:val="clear" w:color="auto" w:fill="FFFFFF"/>
          </w:tcPr>
          <w:p w14:paraId="2CD783C0" w14:textId="77777777" w:rsidR="00FA345A" w:rsidRDefault="00000000">
            <w:pPr>
              <w:spacing w:before="40" w:after="40"/>
            </w:pPr>
            <w:r>
              <w:rPr>
                <w:sz w:val="16"/>
              </w:rPr>
              <w:t>~35 GW/yr</w:t>
            </w:r>
          </w:p>
        </w:tc>
        <w:tc>
          <w:tcPr>
            <w:tcW w:w="1008" w:type="dxa"/>
            <w:shd w:val="clear" w:color="auto" w:fill="FFFFFF"/>
          </w:tcPr>
          <w:p w14:paraId="62E61F36" w14:textId="77777777" w:rsidR="00FA345A" w:rsidRDefault="00000000">
            <w:pPr>
              <w:spacing w:before="40" w:after="40"/>
            </w:pPr>
            <w:r>
              <w:rPr>
                <w:sz w:val="16"/>
              </w:rPr>
              <w:t>~561 GW</w:t>
            </w:r>
          </w:p>
        </w:tc>
        <w:tc>
          <w:tcPr>
            <w:tcW w:w="1368" w:type="dxa"/>
            <w:shd w:val="clear" w:color="auto" w:fill="FFFFFF"/>
          </w:tcPr>
          <w:p w14:paraId="314838E1" w14:textId="77777777" w:rsidR="00FA345A" w:rsidRDefault="00000000">
            <w:pPr>
              <w:spacing w:before="40" w:after="40"/>
            </w:pPr>
            <w:r>
              <w:rPr>
                <w:sz w:val="16"/>
              </w:rPr>
              <w:t>IAEA Low Case (RDS-1)</w:t>
            </w:r>
          </w:p>
        </w:tc>
        <w:tc>
          <w:tcPr>
            <w:tcW w:w="1872" w:type="dxa"/>
            <w:shd w:val="clear" w:color="auto" w:fill="FFFFFF"/>
          </w:tcPr>
          <w:p w14:paraId="3ABAD68C" w14:textId="77777777" w:rsidR="00FA345A" w:rsidRDefault="00000000">
            <w:pPr>
              <w:spacing w:before="40" w:after="40"/>
            </w:pPr>
            <w:r>
              <w:rPr>
                <w:sz w:val="16"/>
              </w:rPr>
              <w:t>IAEA's cautious-but-realistic view; widely cited by policymakers as a plausible floor.</w:t>
            </w:r>
          </w:p>
        </w:tc>
      </w:tr>
      <w:tr w:rsidR="00FA345A" w14:paraId="70140D45" w14:textId="77777777">
        <w:tc>
          <w:tcPr>
            <w:tcW w:w="1008" w:type="dxa"/>
            <w:shd w:val="clear" w:color="auto" w:fill="F2F7FD"/>
          </w:tcPr>
          <w:p w14:paraId="309725DA" w14:textId="77777777" w:rsidR="00FA345A" w:rsidRDefault="00000000">
            <w:pPr>
              <w:spacing w:before="40" w:after="40"/>
            </w:pPr>
            <w:r>
              <w:rPr>
                <w:sz w:val="16"/>
              </w:rPr>
              <w:t>Base</w:t>
            </w:r>
          </w:p>
        </w:tc>
        <w:tc>
          <w:tcPr>
            <w:tcW w:w="1440" w:type="dxa"/>
            <w:shd w:val="clear" w:color="auto" w:fill="F2F7FD"/>
          </w:tcPr>
          <w:p w14:paraId="3193D7FD" w14:textId="77777777" w:rsidR="00FA345A" w:rsidRDefault="00000000">
            <w:pPr>
              <w:spacing w:before="40" w:after="40"/>
            </w:pPr>
            <w:r>
              <w:rPr>
                <w:sz w:val="16"/>
              </w:rPr>
              <w:t>CurrentPolicy (~50%)</w:t>
            </w:r>
          </w:p>
        </w:tc>
        <w:tc>
          <w:tcPr>
            <w:tcW w:w="1440" w:type="dxa"/>
            <w:shd w:val="clear" w:color="auto" w:fill="F2F7FD"/>
          </w:tcPr>
          <w:p w14:paraId="0FD1DCCE" w14:textId="77777777" w:rsidR="00FA345A" w:rsidRDefault="00000000">
            <w:pPr>
              <w:spacing w:before="40" w:after="40"/>
            </w:pPr>
            <w:r>
              <w:rPr>
                <w:sz w:val="16"/>
              </w:rPr>
              <w:t>Medium (UC + Planned)</w:t>
            </w:r>
          </w:p>
        </w:tc>
        <w:tc>
          <w:tcPr>
            <w:tcW w:w="1224" w:type="dxa"/>
            <w:shd w:val="clear" w:color="auto" w:fill="F2F7FD"/>
          </w:tcPr>
          <w:p w14:paraId="011080CA" w14:textId="77777777" w:rsidR="00FA345A" w:rsidRDefault="00000000">
            <w:pPr>
              <w:spacing w:before="40" w:after="40"/>
            </w:pPr>
            <w:r>
              <w:rPr>
                <w:sz w:val="16"/>
              </w:rPr>
              <w:t>~30 GW/yr</w:t>
            </w:r>
          </w:p>
        </w:tc>
        <w:tc>
          <w:tcPr>
            <w:tcW w:w="1008" w:type="dxa"/>
            <w:shd w:val="clear" w:color="auto" w:fill="F2F7FD"/>
          </w:tcPr>
          <w:p w14:paraId="71297077" w14:textId="77777777" w:rsidR="00FA345A" w:rsidRDefault="00000000">
            <w:pPr>
              <w:spacing w:before="40" w:after="40"/>
            </w:pPr>
            <w:r>
              <w:rPr>
                <w:sz w:val="16"/>
              </w:rPr>
              <w:t>~647 GW</w:t>
            </w:r>
          </w:p>
        </w:tc>
        <w:tc>
          <w:tcPr>
            <w:tcW w:w="1368" w:type="dxa"/>
            <w:shd w:val="clear" w:color="auto" w:fill="F2F7FD"/>
          </w:tcPr>
          <w:p w14:paraId="5DCC7014" w14:textId="77777777" w:rsidR="00FA345A" w:rsidRDefault="00000000">
            <w:pPr>
              <w:spacing w:before="40" w:after="40"/>
            </w:pPr>
            <w:r>
              <w:rPr>
                <w:sz w:val="16"/>
              </w:rPr>
              <w:t>IEA STEPS (WEO 2024)</w:t>
            </w:r>
          </w:p>
        </w:tc>
        <w:tc>
          <w:tcPr>
            <w:tcW w:w="1872" w:type="dxa"/>
            <w:shd w:val="clear" w:color="auto" w:fill="F2F7FD"/>
          </w:tcPr>
          <w:p w14:paraId="06F49566" w14:textId="77777777" w:rsidR="00FA345A" w:rsidRDefault="00000000">
            <w:pPr>
              <w:spacing w:before="40" w:after="40"/>
            </w:pPr>
            <w:r>
              <w:rPr>
                <w:sz w:val="16"/>
              </w:rPr>
              <w:t>IEA's central case conditioned on enacted policies — the most widely cited single reference.</w:t>
            </w:r>
          </w:p>
        </w:tc>
      </w:tr>
      <w:tr w:rsidR="00FA345A" w14:paraId="743A0CFA" w14:textId="77777777">
        <w:tc>
          <w:tcPr>
            <w:tcW w:w="1008" w:type="dxa"/>
            <w:shd w:val="clear" w:color="auto" w:fill="FFFFFF"/>
          </w:tcPr>
          <w:p w14:paraId="4C4DF824" w14:textId="77777777" w:rsidR="00FA345A" w:rsidRDefault="00000000">
            <w:pPr>
              <w:spacing w:before="40" w:after="40"/>
            </w:pPr>
            <w:r>
              <w:rPr>
                <w:sz w:val="16"/>
              </w:rPr>
              <w:t>Optimistic</w:t>
            </w:r>
          </w:p>
        </w:tc>
        <w:tc>
          <w:tcPr>
            <w:tcW w:w="1440" w:type="dxa"/>
            <w:shd w:val="clear" w:color="auto" w:fill="FFFFFF"/>
          </w:tcPr>
          <w:p w14:paraId="66356274" w14:textId="77777777" w:rsidR="00FA345A" w:rsidRDefault="00000000">
            <w:pPr>
              <w:spacing w:before="40" w:after="40"/>
            </w:pPr>
            <w:r>
              <w:rPr>
                <w:sz w:val="16"/>
              </w:rPr>
              <w:t>ExtendedOperations</w:t>
            </w:r>
          </w:p>
        </w:tc>
        <w:tc>
          <w:tcPr>
            <w:tcW w:w="1440" w:type="dxa"/>
            <w:shd w:val="clear" w:color="auto" w:fill="FFFFFF"/>
          </w:tcPr>
          <w:p w14:paraId="290EF321" w14:textId="77777777" w:rsidR="00FA345A" w:rsidRDefault="00000000">
            <w:pPr>
              <w:spacing w:before="40" w:after="40"/>
            </w:pPr>
            <w:r>
              <w:rPr>
                <w:sz w:val="16"/>
              </w:rPr>
              <w:t>High (UC + Planned + Proposed)</w:t>
            </w:r>
          </w:p>
        </w:tc>
        <w:tc>
          <w:tcPr>
            <w:tcW w:w="1224" w:type="dxa"/>
            <w:shd w:val="clear" w:color="auto" w:fill="FFFFFF"/>
          </w:tcPr>
          <w:p w14:paraId="3D91FD8C" w14:textId="77777777" w:rsidR="00FA345A" w:rsidRDefault="00000000">
            <w:pPr>
              <w:spacing w:before="40" w:after="40"/>
            </w:pPr>
            <w:r>
              <w:rPr>
                <w:sz w:val="16"/>
              </w:rPr>
              <w:t>~57 GW/yr</w:t>
            </w:r>
          </w:p>
        </w:tc>
        <w:tc>
          <w:tcPr>
            <w:tcW w:w="1008" w:type="dxa"/>
            <w:shd w:val="clear" w:color="auto" w:fill="FFFFFF"/>
          </w:tcPr>
          <w:p w14:paraId="24B8C56B" w14:textId="77777777" w:rsidR="00FA345A" w:rsidRDefault="00000000">
            <w:pPr>
              <w:spacing w:before="40" w:after="40"/>
            </w:pPr>
            <w:r>
              <w:rPr>
                <w:sz w:val="16"/>
              </w:rPr>
              <w:t>~992 GW</w:t>
            </w:r>
          </w:p>
        </w:tc>
        <w:tc>
          <w:tcPr>
            <w:tcW w:w="1368" w:type="dxa"/>
            <w:shd w:val="clear" w:color="auto" w:fill="FFFFFF"/>
          </w:tcPr>
          <w:p w14:paraId="5F7A6061" w14:textId="77777777" w:rsidR="00FA345A" w:rsidRDefault="00000000">
            <w:pPr>
              <w:spacing w:before="40" w:after="40"/>
            </w:pPr>
            <w:r>
              <w:rPr>
                <w:sz w:val="16"/>
              </w:rPr>
              <w:t>IAEA High Case (RDS-1)</w:t>
            </w:r>
          </w:p>
        </w:tc>
        <w:tc>
          <w:tcPr>
            <w:tcW w:w="1872" w:type="dxa"/>
            <w:shd w:val="clear" w:color="auto" w:fill="FFFFFF"/>
          </w:tcPr>
          <w:p w14:paraId="74D04027" w14:textId="77777777" w:rsidR="00FA345A" w:rsidRDefault="00000000">
            <w:pPr>
              <w:spacing w:before="40" w:after="40"/>
            </w:pPr>
            <w:r>
              <w:rPr>
                <w:sz w:val="16"/>
              </w:rPr>
              <w:t>IAEA's high-ambition case; consistent with stated government expansion targets if fully delivered.</w:t>
            </w:r>
          </w:p>
        </w:tc>
      </w:tr>
    </w:tbl>
    <w:p w14:paraId="7210D9EA" w14:textId="77777777" w:rsidR="00FA345A" w:rsidRDefault="00FA345A"/>
    <w:p w14:paraId="0B84D308" w14:textId="77777777" w:rsidR="00FA345A" w:rsidRDefault="00000000">
      <w:pPr>
        <w:spacing w:before="280" w:after="80"/>
      </w:pPr>
      <w:r>
        <w:rPr>
          <w:b/>
          <w:color w:val="1A375E"/>
          <w:sz w:val="30"/>
        </w:rPr>
        <w:t>Key modeling principles</w:t>
      </w:r>
    </w:p>
    <w:p w14:paraId="01A0987A" w14:textId="77777777" w:rsidR="00FA345A" w:rsidRDefault="00000000">
      <w:pPr>
        <w:pStyle w:val="ListBullet"/>
        <w:spacing w:before="40" w:after="40"/>
      </w:pPr>
      <w:r>
        <w:t>Bottom-up through 2040: every retirement and new-build tracked unit by unit</w:t>
      </w:r>
    </w:p>
    <w:p w14:paraId="09062723" w14:textId="77777777" w:rsidR="00FA345A" w:rsidRDefault="00000000">
      <w:pPr>
        <w:pStyle w:val="ListBullet"/>
        <w:spacing w:before="40" w:after="40"/>
      </w:pPr>
      <w:r>
        <w:t>Top-down post-2040: builds a bridge between the bottom-up 2040 modeling and a top-down 2050 global capacity figure from either the IEA or IAEA, resulting in a single GW/year rate calibrated to the benchmark, then distributed regionally using IAEA/IEA proportions</w:t>
      </w:r>
    </w:p>
    <w:p w14:paraId="4C1820A3" w14:textId="77777777" w:rsidR="00FA345A" w:rsidRDefault="00000000">
      <w:pPr>
        <w:pStyle w:val="ListBullet"/>
        <w:spacing w:before="40" w:after="40"/>
      </w:pPr>
      <w:r>
        <w:t>US in Base/Conservative: all US plants receive ExtendedOperations treatment, consistent with NRC license renewal data</w:t>
      </w:r>
    </w:p>
    <w:p w14:paraId="54A8F806" w14:textId="77777777" w:rsidR="00FA345A" w:rsidRDefault="00000000">
      <w:pPr>
        <w:pStyle w:val="ListBullet"/>
        <w:spacing w:before="40" w:after="40"/>
      </w:pPr>
      <w:r>
        <w:t>Binary pipeline realization: each reactor either fully enters service or is fully excluded (no partial capacity)</w:t>
      </w:r>
    </w:p>
    <w:p w14:paraId="713FE880" w14:textId="77777777" w:rsidR="00FA345A" w:rsidRDefault="00000000">
      <w:pPr>
        <w:pStyle w:val="ListBullet"/>
        <w:spacing w:before="40" w:after="40"/>
      </w:pPr>
      <w:r>
        <w:t>2024 baseline: last full IAEA PRIS vintage with known fleet composition and historical capacity record</w:t>
      </w:r>
    </w:p>
    <w:p w14:paraId="3BC76D0A" w14:textId="77777777" w:rsidR="00FA345A" w:rsidRDefault="00000000">
      <w:pPr>
        <w:spacing w:after="0"/>
      </w:pPr>
      <w:r>
        <w:br w:type="page"/>
      </w:r>
    </w:p>
    <w:p w14:paraId="6CAED9BE" w14:textId="77777777" w:rsidR="00FA345A" w:rsidRDefault="00000000">
      <w:pPr>
        <w:pBdr>
          <w:bottom w:val="single" w:sz="6" w:space="4" w:color="2E75B6"/>
        </w:pBdr>
        <w:spacing w:before="360"/>
      </w:pPr>
      <w:r>
        <w:rPr>
          <w:b/>
          <w:color w:val="1A375E"/>
          <w:sz w:val="40"/>
        </w:rPr>
        <w:lastRenderedPageBreak/>
        <w:t>Contents</w:t>
      </w:r>
    </w:p>
    <w:p w14:paraId="0AE4484F" w14:textId="77777777" w:rsidR="00FA345A" w:rsidRDefault="00000000">
      <w:pPr>
        <w:spacing w:before="60" w:after="60"/>
      </w:pPr>
      <w:r>
        <w:rPr>
          <w:b/>
          <w:color w:val="1A375E"/>
        </w:rPr>
        <w:t>1.  Introduction &amp; Purpose</w:t>
      </w:r>
      <w:r>
        <w:rPr>
          <w:color w:val="707070"/>
          <w:sz w:val="18"/>
        </w:rPr>
        <w:t xml:space="preserve">  ................................  4</w:t>
      </w:r>
    </w:p>
    <w:p w14:paraId="72B6C2F5" w14:textId="77777777" w:rsidR="00FA345A" w:rsidRDefault="00000000">
      <w:pPr>
        <w:spacing w:before="60" w:after="60"/>
      </w:pPr>
      <w:r>
        <w:rPr>
          <w:b/>
          <w:color w:val="1A375E"/>
        </w:rPr>
        <w:t>2.  Model Architecture</w:t>
      </w:r>
      <w:r>
        <w:rPr>
          <w:color w:val="707070"/>
          <w:sz w:val="18"/>
        </w:rPr>
        <w:t xml:space="preserve">  ....................................  5</w:t>
      </w:r>
    </w:p>
    <w:p w14:paraId="68621D0C" w14:textId="77777777" w:rsidR="00FA345A" w:rsidRDefault="00000000">
      <w:pPr>
        <w:spacing w:before="60" w:after="60"/>
      </w:pPr>
      <w:r>
        <w:rPr>
          <w:b/>
          <w:color w:val="1A375E"/>
        </w:rPr>
        <w:t>3.  Data Sources, Baseline Year &amp; Update Cadence</w:t>
      </w:r>
      <w:r>
        <w:rPr>
          <w:color w:val="707070"/>
          <w:sz w:val="18"/>
        </w:rPr>
        <w:t xml:space="preserve">  ..........  7</w:t>
      </w:r>
    </w:p>
    <w:p w14:paraId="170152B8" w14:textId="77777777" w:rsidR="00FA345A" w:rsidRDefault="00000000">
      <w:pPr>
        <w:spacing w:before="60" w:after="60"/>
      </w:pPr>
      <w:r>
        <w:rPr>
          <w:b/>
          <w:color w:val="1A375E"/>
        </w:rPr>
        <w:t>4.  Retirement Framework</w:t>
      </w:r>
      <w:r>
        <w:rPr>
          <w:color w:val="707070"/>
          <w:sz w:val="18"/>
        </w:rPr>
        <w:t xml:space="preserve">  ..................................  10</w:t>
      </w:r>
    </w:p>
    <w:p w14:paraId="28CF0BE7" w14:textId="77777777" w:rsidR="00FA345A" w:rsidRDefault="00000000">
      <w:pPr>
        <w:spacing w:before="60" w:after="60"/>
      </w:pPr>
      <w:r>
        <w:rPr>
          <w:b/>
          <w:color w:val="1A375E"/>
        </w:rPr>
        <w:t>5.  Pipeline Realization Framework</w:t>
      </w:r>
      <w:r>
        <w:rPr>
          <w:color w:val="707070"/>
          <w:sz w:val="18"/>
        </w:rPr>
        <w:t xml:space="preserve">  ........................  13</w:t>
      </w:r>
    </w:p>
    <w:p w14:paraId="2A085318" w14:textId="77777777" w:rsidR="00FA345A" w:rsidRDefault="00000000">
      <w:pPr>
        <w:spacing w:before="60" w:after="60"/>
      </w:pPr>
      <w:r>
        <w:rPr>
          <w:b/>
          <w:color w:val="1A375E"/>
        </w:rPr>
        <w:t>6.  Scenarios in Detail</w:t>
      </w:r>
      <w:r>
        <w:rPr>
          <w:color w:val="707070"/>
          <w:sz w:val="18"/>
        </w:rPr>
        <w:t xml:space="preserve">  ...................................  15</w:t>
      </w:r>
    </w:p>
    <w:p w14:paraId="1C687FB6" w14:textId="77777777" w:rsidR="00FA345A" w:rsidRDefault="00000000">
      <w:pPr>
        <w:spacing w:before="60" w:after="60"/>
      </w:pPr>
      <w:r>
        <w:rPr>
          <w:b/>
          <w:color w:val="1A375E"/>
        </w:rPr>
        <w:t>7.  Benchmark Alignment</w:t>
      </w:r>
      <w:r>
        <w:rPr>
          <w:color w:val="707070"/>
          <w:sz w:val="18"/>
        </w:rPr>
        <w:t xml:space="preserve">  ...................................  23</w:t>
      </w:r>
    </w:p>
    <w:p w14:paraId="6FF8213C" w14:textId="77777777" w:rsidR="00FA345A" w:rsidRDefault="00000000">
      <w:pPr>
        <w:spacing w:before="60" w:after="60"/>
      </w:pPr>
      <w:r>
        <w:rPr>
          <w:b/>
          <w:color w:val="1A375E"/>
        </w:rPr>
        <w:t>8.  SMR Assumptions</w:t>
      </w:r>
      <w:r>
        <w:rPr>
          <w:color w:val="707070"/>
          <w:sz w:val="18"/>
        </w:rPr>
        <w:t xml:space="preserve">  .......................................  25</w:t>
      </w:r>
    </w:p>
    <w:p w14:paraId="1D1FFCE0" w14:textId="77777777" w:rsidR="00FA345A" w:rsidRDefault="00000000">
      <w:pPr>
        <w:spacing w:before="60" w:after="60"/>
      </w:pPr>
      <w:r>
        <w:rPr>
          <w:b/>
          <w:color w:val="1A375E"/>
        </w:rPr>
        <w:t>9.  Limitations &amp; Caveats</w:t>
      </w:r>
      <w:r>
        <w:rPr>
          <w:color w:val="707070"/>
          <w:sz w:val="18"/>
        </w:rPr>
        <w:t xml:space="preserve">  .................................  26</w:t>
      </w:r>
    </w:p>
    <w:p w14:paraId="6F34DD70" w14:textId="77777777" w:rsidR="00FA345A" w:rsidRDefault="00000000">
      <w:pPr>
        <w:spacing w:before="60" w:after="60"/>
      </w:pPr>
      <w:r>
        <w:rPr>
          <w:b/>
          <w:color w:val="1A375E"/>
        </w:rPr>
        <w:t>10.  Dashboard Tab Guide</w:t>
      </w:r>
      <w:r>
        <w:rPr>
          <w:color w:val="707070"/>
          <w:sz w:val="18"/>
        </w:rPr>
        <w:t xml:space="preserve">  ..................................  28</w:t>
      </w:r>
    </w:p>
    <w:p w14:paraId="5A1FF724" w14:textId="77777777" w:rsidR="00FA345A" w:rsidRDefault="00000000">
      <w:pPr>
        <w:spacing w:before="60" w:after="60"/>
      </w:pPr>
      <w:r>
        <w:t xml:space="preserve">      Appendix A: Glossary</w:t>
      </w:r>
      <w:r>
        <w:rPr>
          <w:color w:val="707070"/>
          <w:sz w:val="18"/>
        </w:rPr>
        <w:t xml:space="preserve">  ...................................  35</w:t>
      </w:r>
    </w:p>
    <w:p w14:paraId="1758F7AC" w14:textId="77777777" w:rsidR="00FA345A" w:rsidRDefault="00000000">
      <w:pPr>
        <w:spacing w:after="0"/>
      </w:pPr>
      <w:r>
        <w:br w:type="page"/>
      </w:r>
    </w:p>
    <w:p w14:paraId="4B2241EC" w14:textId="77777777" w:rsidR="00FA345A" w:rsidRDefault="00000000">
      <w:pPr>
        <w:pBdr>
          <w:bottom w:val="single" w:sz="6" w:space="4" w:color="2E75B6"/>
        </w:pBdr>
        <w:spacing w:before="360"/>
      </w:pPr>
      <w:r>
        <w:rPr>
          <w:b/>
          <w:color w:val="1A375E"/>
          <w:sz w:val="40"/>
        </w:rPr>
        <w:lastRenderedPageBreak/>
        <w:t>1.  Introduction &amp; Purpose</w:t>
      </w:r>
    </w:p>
    <w:p w14:paraId="7C47DCAA" w14:textId="77777777" w:rsidR="00FA345A" w:rsidRDefault="00000000">
      <w:pPr>
        <w:spacing w:before="80" w:after="80"/>
      </w:pPr>
      <w:r>
        <w:t>Nuclear power contributes approximately 10% of global electricity generation and remains a critical low-carbon baseload technology. Yet its long-term trajectory depends on decisions that vary enormously by jurisdiction: license renewals, construction pipelines, phase-out policies, and post-2040 investment commitments. No single public tool integrates all of these in a transparent, user-adjustable format.</w:t>
      </w:r>
    </w:p>
    <w:p w14:paraId="6BE94F1B" w14:textId="77777777" w:rsidR="00FA345A" w:rsidRDefault="00000000">
      <w:pPr>
        <w:spacing w:before="80" w:after="80"/>
      </w:pPr>
      <w:r>
        <w:t>The Nuclear Capacity Dashboard fills this gap. It is built around a hybrid bottom-up / top-down projection engine, a 30-country retirement-rule database, and four independently calibrated scenarios that span the credible range of nuclear futures from deep decline to a sustained renaissance. Every assumption is documented here and, where possible, traceable to a named regulatory or institutional source.</w:t>
      </w:r>
    </w:p>
    <w:p w14:paraId="708CA77B" w14:textId="77777777" w:rsidR="00FA345A" w:rsidRDefault="00000000">
      <w:pPr>
        <w:spacing w:before="280" w:after="80"/>
      </w:pPr>
      <w:r>
        <w:rPr>
          <w:b/>
          <w:color w:val="1A375E"/>
          <w:sz w:val="30"/>
        </w:rPr>
        <w:t>1.1  Intended Audience</w:t>
      </w:r>
    </w:p>
    <w:p w14:paraId="5F021072" w14:textId="77777777" w:rsidR="00FA345A" w:rsidRDefault="00000000">
      <w:pPr>
        <w:pStyle w:val="ListBullet"/>
        <w:spacing w:before="40" w:after="40"/>
      </w:pPr>
      <w:r>
        <w:t>Energy and utility analysts tracking nuclear capacity for resource planning or investment thesis work</w:t>
      </w:r>
    </w:p>
    <w:p w14:paraId="6D3DBB81" w14:textId="77777777" w:rsidR="00FA345A" w:rsidRDefault="00000000">
      <w:pPr>
        <w:pStyle w:val="ListBullet"/>
        <w:spacing w:before="40" w:after="40"/>
      </w:pPr>
      <w:r>
        <w:t>Policy professionals assessing decarbonization pathways and technology mix scenarios</w:t>
      </w:r>
    </w:p>
    <w:p w14:paraId="744F38C0" w14:textId="77777777" w:rsidR="00FA345A" w:rsidRDefault="00000000">
      <w:pPr>
        <w:pStyle w:val="ListBullet"/>
        <w:spacing w:before="40" w:after="40"/>
      </w:pPr>
      <w:r>
        <w:t>Journalists and researchers requiring a transparent, citable quantitative framework</w:t>
      </w:r>
    </w:p>
    <w:p w14:paraId="1E410561" w14:textId="77777777" w:rsidR="00FA345A" w:rsidRDefault="00000000">
      <w:pPr>
        <w:pStyle w:val="ListBullet"/>
        <w:spacing w:before="40" w:after="40"/>
      </w:pPr>
      <w:r>
        <w:t>Nuclear industry professionals who need a live tool for scenario sensitivity analysis</w:t>
      </w:r>
    </w:p>
    <w:tbl>
      <w:tblPr>
        <w:tblW w:w="0" w:type="auto"/>
        <w:tblLook w:val="04A0" w:firstRow="1" w:lastRow="0" w:firstColumn="1" w:lastColumn="0" w:noHBand="0" w:noVBand="1"/>
      </w:tblPr>
      <w:tblGrid>
        <w:gridCol w:w="9360"/>
      </w:tblGrid>
      <w:tr w:rsidR="00FA345A" w14:paraId="7CE9692F" w14:textId="77777777">
        <w:tc>
          <w:tcPr>
            <w:tcW w:w="9360" w:type="dxa"/>
            <w:tcBorders>
              <w:left w:val="single" w:sz="18" w:space="0" w:color="2E75B6"/>
            </w:tcBorders>
            <w:shd w:val="clear" w:color="auto" w:fill="E8F4FD"/>
            <w:tcMar>
              <w:top w:w="80" w:type="dxa"/>
              <w:left w:w="160" w:type="dxa"/>
              <w:bottom w:w="80" w:type="dxa"/>
              <w:right w:w="160" w:type="dxa"/>
            </w:tcMar>
          </w:tcPr>
          <w:p w14:paraId="3F7815CE" w14:textId="77777777" w:rsidR="00FA345A" w:rsidRDefault="00000000">
            <w:pPr>
              <w:spacing w:before="40" w:after="40"/>
            </w:pPr>
            <w:r>
              <w:rPr>
                <w:b/>
                <w:color w:val="2E75B6"/>
              </w:rPr>
              <w:t xml:space="preserve">Note on precision:  </w:t>
            </w:r>
            <w:r>
              <w:t>Capacity figures are stated in gigawatts (GW) net. Individual reactor capacities are sourced from IAEA PRIS net electrical capacity ratings. Small rounding differences (±0.1 GW) may exist versus other published totals depending on the treatment of long-term shutdown units.</w:t>
            </w:r>
          </w:p>
        </w:tc>
      </w:tr>
    </w:tbl>
    <w:p w14:paraId="217518C0" w14:textId="77777777" w:rsidR="00FA345A" w:rsidRDefault="00FA345A"/>
    <w:p w14:paraId="24434E26" w14:textId="77777777" w:rsidR="00FA345A" w:rsidRDefault="00000000">
      <w:pPr>
        <w:spacing w:after="0"/>
      </w:pPr>
      <w:r>
        <w:br w:type="page"/>
      </w:r>
    </w:p>
    <w:p w14:paraId="4519DDD3" w14:textId="77777777" w:rsidR="00FA345A" w:rsidRDefault="00000000">
      <w:pPr>
        <w:pBdr>
          <w:bottom w:val="single" w:sz="6" w:space="4" w:color="2E75B6"/>
        </w:pBdr>
        <w:spacing w:before="360"/>
      </w:pPr>
      <w:r>
        <w:rPr>
          <w:b/>
          <w:color w:val="1A375E"/>
          <w:sz w:val="40"/>
        </w:rPr>
        <w:lastRenderedPageBreak/>
        <w:t>2.  Model Architecture</w:t>
      </w:r>
    </w:p>
    <w:p w14:paraId="0C5FAF36" w14:textId="77777777" w:rsidR="00FA345A" w:rsidRDefault="00000000">
      <w:pPr>
        <w:spacing w:before="80" w:after="80"/>
      </w:pPr>
      <w:r>
        <w:t>The projection engine uses a two-phase hybrid approach that ensures unit-level fidelity in the near term while remaining tractable and benchmark-anchored in the long term.</w:t>
      </w:r>
    </w:p>
    <w:p w14:paraId="4DD17000" w14:textId="77777777" w:rsidR="00FA345A" w:rsidRDefault="00000000">
      <w:pPr>
        <w:spacing w:before="280" w:after="80"/>
      </w:pPr>
      <w:r>
        <w:rPr>
          <w:b/>
          <w:color w:val="1A375E"/>
          <w:sz w:val="30"/>
        </w:rPr>
        <w:t>2.1  Historical Data Layer (2005–2024)</w:t>
      </w:r>
    </w:p>
    <w:p w14:paraId="76C2917B" w14:textId="77777777" w:rsidR="00FA345A" w:rsidRDefault="00000000">
      <w:pPr>
        <w:spacing w:before="80" w:after="80"/>
      </w:pPr>
      <w:r>
        <w:t>The dashboard displays historical global and regional nuclear capacity sourced from IAEA PRIS for 2005–2024. This provides two decades of context for the projection, showing the post-2011 Fukushima dip, the gradual recovery of the fleet, and the current ~370–390 GW operating base. Historical data is stored in the local database and updated annually when IAEA PRIS publishes its revised figures.</w:t>
      </w:r>
    </w:p>
    <w:p w14:paraId="21540197" w14:textId="77777777" w:rsidR="00FA345A" w:rsidRDefault="00000000">
      <w:pPr>
        <w:spacing w:before="280" w:after="80"/>
      </w:pPr>
      <w:r>
        <w:rPr>
          <w:b/>
          <w:color w:val="1A375E"/>
          <w:sz w:val="30"/>
        </w:rPr>
        <w:t>2.2  Bottom-Up Phase (2024–2040)</w:t>
      </w:r>
    </w:p>
    <w:p w14:paraId="2ECDB288" w14:textId="77777777" w:rsidR="00FA345A" w:rsidRDefault="00000000">
      <w:pPr>
        <w:spacing w:before="80" w:after="80"/>
      </w:pPr>
      <w:r>
        <w:t>Every reactor unit in the database contributes individually to the projection in this phase. Three drivers determine annual capacity:</w:t>
      </w:r>
    </w:p>
    <w:tbl>
      <w:tblPr>
        <w:tblStyle w:val="TableGrid"/>
        <w:tblW w:w="0" w:type="auto"/>
        <w:tblLook w:val="04A0" w:firstRow="1" w:lastRow="0" w:firstColumn="1" w:lastColumn="0" w:noHBand="0" w:noVBand="1"/>
      </w:tblPr>
      <w:tblGrid>
        <w:gridCol w:w="2160"/>
        <w:gridCol w:w="7200"/>
      </w:tblGrid>
      <w:tr w:rsidR="00FA345A" w14:paraId="4C901D81" w14:textId="77777777">
        <w:tc>
          <w:tcPr>
            <w:tcW w:w="2160" w:type="dxa"/>
            <w:shd w:val="clear" w:color="auto" w:fill="1A375E"/>
          </w:tcPr>
          <w:p w14:paraId="2446D97C" w14:textId="77777777" w:rsidR="00FA345A" w:rsidRDefault="00000000">
            <w:pPr>
              <w:spacing w:before="40" w:after="40"/>
            </w:pPr>
            <w:r>
              <w:rPr>
                <w:b/>
                <w:color w:val="FFFFFF"/>
                <w:sz w:val="18"/>
              </w:rPr>
              <w:t>Driver</w:t>
            </w:r>
          </w:p>
        </w:tc>
        <w:tc>
          <w:tcPr>
            <w:tcW w:w="7200" w:type="dxa"/>
            <w:shd w:val="clear" w:color="auto" w:fill="1A375E"/>
          </w:tcPr>
          <w:p w14:paraId="4D1227DD" w14:textId="77777777" w:rsidR="00FA345A" w:rsidRDefault="00000000">
            <w:pPr>
              <w:spacing w:before="40" w:after="40"/>
            </w:pPr>
            <w:r>
              <w:rPr>
                <w:b/>
                <w:color w:val="FFFFFF"/>
                <w:sz w:val="18"/>
              </w:rPr>
              <w:t>Description</w:t>
            </w:r>
          </w:p>
        </w:tc>
      </w:tr>
      <w:tr w:rsidR="00FA345A" w14:paraId="6C736C04" w14:textId="77777777">
        <w:tc>
          <w:tcPr>
            <w:tcW w:w="2160" w:type="dxa"/>
            <w:shd w:val="clear" w:color="auto" w:fill="F2F7FD"/>
          </w:tcPr>
          <w:p w14:paraId="4FC8BDFF" w14:textId="77777777" w:rsidR="00FA345A" w:rsidRDefault="00000000">
            <w:pPr>
              <w:spacing w:before="40" w:after="40"/>
            </w:pPr>
            <w:r>
              <w:rPr>
                <w:sz w:val="18"/>
              </w:rPr>
              <w:t>Retirements</w:t>
            </w:r>
          </w:p>
        </w:tc>
        <w:tc>
          <w:tcPr>
            <w:tcW w:w="7200" w:type="dxa"/>
            <w:shd w:val="clear" w:color="auto" w:fill="F2F7FD"/>
          </w:tcPr>
          <w:p w14:paraId="632DBB33" w14:textId="77777777" w:rsidR="00FA345A" w:rsidRDefault="00000000">
            <w:pPr>
              <w:spacing w:before="40" w:after="40"/>
            </w:pPr>
            <w:r>
              <w:rPr>
                <w:sz w:val="18"/>
              </w:rPr>
              <w:t>Each operating reactor is assigned a retirement year from the retirement rule framework (Section 4). In the transition year, the unit's capacity is removed.</w:t>
            </w:r>
          </w:p>
        </w:tc>
      </w:tr>
      <w:tr w:rsidR="00FA345A" w14:paraId="72FC2AC9" w14:textId="77777777">
        <w:tc>
          <w:tcPr>
            <w:tcW w:w="2160" w:type="dxa"/>
            <w:shd w:val="clear" w:color="auto" w:fill="FFFFFF"/>
          </w:tcPr>
          <w:p w14:paraId="2303C326" w14:textId="77777777" w:rsidR="00FA345A" w:rsidRDefault="00000000">
            <w:pPr>
              <w:spacing w:before="40" w:after="40"/>
            </w:pPr>
            <w:r>
              <w:rPr>
                <w:sz w:val="18"/>
              </w:rPr>
              <w:t>New Builds (Pipeline)</w:t>
            </w:r>
          </w:p>
        </w:tc>
        <w:tc>
          <w:tcPr>
            <w:tcW w:w="7200" w:type="dxa"/>
            <w:shd w:val="clear" w:color="auto" w:fill="FFFFFF"/>
          </w:tcPr>
          <w:p w14:paraId="62625FA5" w14:textId="77777777" w:rsidR="00FA345A" w:rsidRDefault="00000000">
            <w:pPr>
              <w:spacing w:before="40" w:after="40"/>
            </w:pPr>
            <w:r>
              <w:rPr>
                <w:sz w:val="18"/>
              </w:rPr>
              <w:t>Under Construction, Planned, and Proposed reactors enter service in their expected online year, weighted by their realization rate (Section 5). A construction delay adder can shift online years.</w:t>
            </w:r>
          </w:p>
        </w:tc>
      </w:tr>
      <w:tr w:rsidR="00FA345A" w14:paraId="1E587385" w14:textId="77777777">
        <w:tc>
          <w:tcPr>
            <w:tcW w:w="2160" w:type="dxa"/>
            <w:shd w:val="clear" w:color="auto" w:fill="F2F7FD"/>
          </w:tcPr>
          <w:p w14:paraId="4F0245CC" w14:textId="77777777" w:rsidR="00FA345A" w:rsidRDefault="00000000">
            <w:pPr>
              <w:spacing w:before="40" w:after="40"/>
            </w:pPr>
            <w:r>
              <w:rPr>
                <w:sz w:val="18"/>
              </w:rPr>
              <w:t>Region Adders</w:t>
            </w:r>
          </w:p>
        </w:tc>
        <w:tc>
          <w:tcPr>
            <w:tcW w:w="7200" w:type="dxa"/>
            <w:shd w:val="clear" w:color="auto" w:fill="F2F7FD"/>
          </w:tcPr>
          <w:p w14:paraId="253C88CA" w14:textId="77777777" w:rsidR="00FA345A" w:rsidRDefault="00000000">
            <w:pPr>
              <w:spacing w:before="40" w:after="40"/>
            </w:pPr>
            <w:r>
              <w:rPr>
                <w:sz w:val="18"/>
              </w:rPr>
              <w:t>Manual capacity adjustments (e.g., for specific projects not yet in PRIS) can be loaded per region per year. Used sparingly to correct known PRIS omissions.</w:t>
            </w:r>
          </w:p>
        </w:tc>
      </w:tr>
    </w:tbl>
    <w:p w14:paraId="42546964" w14:textId="77777777" w:rsidR="00FA345A" w:rsidRDefault="00FA345A"/>
    <w:p w14:paraId="3B5C0462" w14:textId="77777777" w:rsidR="00FA345A" w:rsidRDefault="00000000">
      <w:pPr>
        <w:spacing w:before="80" w:after="80"/>
      </w:pPr>
      <w:r>
        <w:t>The annual formula per region is:</w:t>
      </w:r>
    </w:p>
    <w:tbl>
      <w:tblPr>
        <w:tblW w:w="0" w:type="auto"/>
        <w:tblLook w:val="04A0" w:firstRow="1" w:lastRow="0" w:firstColumn="1" w:lastColumn="0" w:noHBand="0" w:noVBand="1"/>
      </w:tblPr>
      <w:tblGrid>
        <w:gridCol w:w="9360"/>
      </w:tblGrid>
      <w:tr w:rsidR="00FA345A" w14:paraId="11656131" w14:textId="77777777">
        <w:tc>
          <w:tcPr>
            <w:tcW w:w="9360" w:type="dxa"/>
            <w:tcBorders>
              <w:left w:val="single" w:sz="18" w:space="0" w:color="1A375E"/>
            </w:tcBorders>
            <w:shd w:val="clear" w:color="auto" w:fill="F0F4F8"/>
            <w:tcMar>
              <w:top w:w="80" w:type="dxa"/>
              <w:left w:w="160" w:type="dxa"/>
              <w:bottom w:w="80" w:type="dxa"/>
              <w:right w:w="160" w:type="dxa"/>
            </w:tcMar>
          </w:tcPr>
          <w:p w14:paraId="54210263" w14:textId="77777777" w:rsidR="00FA345A" w:rsidRDefault="00000000">
            <w:pPr>
              <w:spacing w:before="40" w:after="40"/>
            </w:pPr>
            <w:r>
              <w:t>capacity(year, region) = Σ[operating units not yet retired] + Σ[pipeline units × probability × (1 if online_year ≤ year)] + region_adders(year, region)</w:t>
            </w:r>
          </w:p>
        </w:tc>
      </w:tr>
    </w:tbl>
    <w:p w14:paraId="794E4461" w14:textId="77777777" w:rsidR="00FA345A" w:rsidRDefault="00FA345A"/>
    <w:p w14:paraId="4AA22430" w14:textId="77777777" w:rsidR="00FA345A" w:rsidRDefault="00000000">
      <w:pPr>
        <w:spacing w:before="280" w:after="80"/>
      </w:pPr>
      <w:r>
        <w:rPr>
          <w:b/>
          <w:color w:val="1A375E"/>
          <w:sz w:val="30"/>
        </w:rPr>
        <w:t>2.3  Top-Down Bridge (Post-2040)</w:t>
      </w:r>
    </w:p>
    <w:p w14:paraId="4953354E" w14:textId="77777777" w:rsidR="00FA345A" w:rsidRDefault="00000000">
      <w:pPr>
        <w:spacing w:before="80" w:after="80"/>
      </w:pPr>
      <w:r>
        <w:t>Bottom-up projections beyond 2040 become increasingly speculative: few reactors have construction start dates that far out, and even those that do face enormous policy uncertainty. The model therefore switches to a top-down growth parameterization:</w:t>
      </w:r>
    </w:p>
    <w:p w14:paraId="1830D272" w14:textId="77777777" w:rsidR="00FA345A" w:rsidRDefault="00000000">
      <w:pPr>
        <w:spacing w:before="80" w:after="80"/>
      </w:pPr>
      <w:r>
        <w:t>For each of the four scenarios, a 2050 calibration benchmark was selected from either the IEA or IAEA based on which benchmark appeared to best align with the kind of world the pre-2040 scenario indicated.</w:t>
      </w:r>
    </w:p>
    <w:tbl>
      <w:tblPr>
        <w:tblStyle w:val="TableGrid"/>
        <w:tblW w:w="0" w:type="auto"/>
        <w:tblLook w:val="04A0" w:firstRow="1" w:lastRow="0" w:firstColumn="1" w:lastColumn="0" w:noHBand="0" w:noVBand="1"/>
      </w:tblPr>
      <w:tblGrid>
        <w:gridCol w:w="1748"/>
        <w:gridCol w:w="2263"/>
        <w:gridCol w:w="1932"/>
        <w:gridCol w:w="3633"/>
      </w:tblGrid>
      <w:tr w:rsidR="00FA345A" w14:paraId="0C127398" w14:textId="77777777">
        <w:tc>
          <w:tcPr>
            <w:tcW w:w="1872" w:type="dxa"/>
            <w:shd w:val="clear" w:color="auto" w:fill="1A375E"/>
          </w:tcPr>
          <w:p w14:paraId="2406227A" w14:textId="77777777" w:rsidR="00FA345A" w:rsidRDefault="00000000">
            <w:pPr>
              <w:spacing w:before="40" w:after="40"/>
            </w:pPr>
            <w:r>
              <w:rPr>
                <w:b/>
                <w:color w:val="FFFFFF"/>
                <w:sz w:val="18"/>
              </w:rPr>
              <w:t>Scenario</w:t>
            </w:r>
          </w:p>
        </w:tc>
        <w:tc>
          <w:tcPr>
            <w:tcW w:w="2592" w:type="dxa"/>
            <w:shd w:val="clear" w:color="auto" w:fill="1A375E"/>
          </w:tcPr>
          <w:p w14:paraId="1A656B9A" w14:textId="77777777" w:rsidR="00FA345A" w:rsidRDefault="00000000">
            <w:pPr>
              <w:spacing w:before="40" w:after="40"/>
            </w:pPr>
            <w:r>
              <w:rPr>
                <w:b/>
                <w:color w:val="FFFFFF"/>
                <w:sz w:val="18"/>
              </w:rPr>
              <w:t>Post-2040 Global New Build Rate</w:t>
            </w:r>
          </w:p>
        </w:tc>
        <w:tc>
          <w:tcPr>
            <w:tcW w:w="2160" w:type="dxa"/>
            <w:shd w:val="clear" w:color="auto" w:fill="1A375E"/>
          </w:tcPr>
          <w:p w14:paraId="3FDDBF26" w14:textId="77777777" w:rsidR="00FA345A" w:rsidRDefault="00000000">
            <w:pPr>
              <w:spacing w:before="40" w:after="40"/>
            </w:pPr>
            <w:r>
              <w:rPr>
                <w:b/>
                <w:color w:val="FFFFFF"/>
                <w:sz w:val="18"/>
              </w:rPr>
              <w:t>2050 Target Capacity</w:t>
            </w:r>
          </w:p>
        </w:tc>
        <w:tc>
          <w:tcPr>
            <w:tcW w:w="4176" w:type="dxa"/>
            <w:shd w:val="clear" w:color="auto" w:fill="1A375E"/>
          </w:tcPr>
          <w:p w14:paraId="38FAE43B" w14:textId="77777777" w:rsidR="00FA345A" w:rsidRDefault="00000000">
            <w:pPr>
              <w:spacing w:before="40" w:after="40"/>
            </w:pPr>
            <w:r>
              <w:rPr>
                <w:b/>
                <w:color w:val="FFFFFF"/>
                <w:sz w:val="18"/>
              </w:rPr>
              <w:t>Calibration Benchmark</w:t>
            </w:r>
          </w:p>
        </w:tc>
      </w:tr>
      <w:tr w:rsidR="00FA345A" w14:paraId="41AF10E4" w14:textId="77777777">
        <w:tc>
          <w:tcPr>
            <w:tcW w:w="1872" w:type="dxa"/>
            <w:shd w:val="clear" w:color="auto" w:fill="F2F7FD"/>
          </w:tcPr>
          <w:p w14:paraId="3AE93EA0" w14:textId="77777777" w:rsidR="00FA345A" w:rsidRDefault="00000000">
            <w:pPr>
              <w:spacing w:before="40" w:after="40"/>
            </w:pPr>
            <w:r>
              <w:rPr>
                <w:sz w:val="18"/>
              </w:rPr>
              <w:t>Decline</w:t>
            </w:r>
          </w:p>
        </w:tc>
        <w:tc>
          <w:tcPr>
            <w:tcW w:w="2592" w:type="dxa"/>
            <w:shd w:val="clear" w:color="auto" w:fill="F2F7FD"/>
          </w:tcPr>
          <w:p w14:paraId="211440A4" w14:textId="77777777" w:rsidR="00FA345A" w:rsidRDefault="00000000">
            <w:pPr>
              <w:spacing w:before="40" w:after="40"/>
            </w:pPr>
            <w:r>
              <w:rPr>
                <w:sz w:val="18"/>
              </w:rPr>
              <w:t>~10 GW/yr</w:t>
            </w:r>
          </w:p>
        </w:tc>
        <w:tc>
          <w:tcPr>
            <w:tcW w:w="2160" w:type="dxa"/>
            <w:shd w:val="clear" w:color="auto" w:fill="F2F7FD"/>
          </w:tcPr>
          <w:p w14:paraId="2100961E" w14:textId="77777777" w:rsidR="00FA345A" w:rsidRDefault="00000000">
            <w:pPr>
              <w:spacing w:before="40" w:after="40"/>
            </w:pPr>
            <w:r>
              <w:rPr>
                <w:sz w:val="18"/>
              </w:rPr>
              <w:t>~250 GW</w:t>
            </w:r>
          </w:p>
        </w:tc>
        <w:tc>
          <w:tcPr>
            <w:tcW w:w="4176" w:type="dxa"/>
            <w:shd w:val="clear" w:color="auto" w:fill="F2F7FD"/>
          </w:tcPr>
          <w:p w14:paraId="2E8BBBC4" w14:textId="77777777" w:rsidR="00FA345A" w:rsidRDefault="00000000">
            <w:pPr>
              <w:spacing w:before="40" w:after="40"/>
            </w:pPr>
            <w:r>
              <w:rPr>
                <w:sz w:val="18"/>
              </w:rPr>
              <w:t>IEA Low Nuclear Case (WEO 2024)</w:t>
            </w:r>
          </w:p>
        </w:tc>
      </w:tr>
      <w:tr w:rsidR="00FA345A" w14:paraId="6CF75918" w14:textId="77777777">
        <w:tc>
          <w:tcPr>
            <w:tcW w:w="1872" w:type="dxa"/>
            <w:shd w:val="clear" w:color="auto" w:fill="FFFFFF"/>
          </w:tcPr>
          <w:p w14:paraId="7427C7A0" w14:textId="77777777" w:rsidR="00FA345A" w:rsidRDefault="00000000">
            <w:pPr>
              <w:spacing w:before="40" w:after="40"/>
            </w:pPr>
            <w:r>
              <w:rPr>
                <w:sz w:val="18"/>
              </w:rPr>
              <w:t>Conservative</w:t>
            </w:r>
          </w:p>
        </w:tc>
        <w:tc>
          <w:tcPr>
            <w:tcW w:w="2592" w:type="dxa"/>
            <w:shd w:val="clear" w:color="auto" w:fill="FFFFFF"/>
          </w:tcPr>
          <w:p w14:paraId="35224C4C" w14:textId="77777777" w:rsidR="00FA345A" w:rsidRDefault="00000000">
            <w:pPr>
              <w:spacing w:before="40" w:after="40"/>
            </w:pPr>
            <w:r>
              <w:rPr>
                <w:sz w:val="18"/>
              </w:rPr>
              <w:t>~35 GW/yr</w:t>
            </w:r>
          </w:p>
        </w:tc>
        <w:tc>
          <w:tcPr>
            <w:tcW w:w="2160" w:type="dxa"/>
            <w:shd w:val="clear" w:color="auto" w:fill="FFFFFF"/>
          </w:tcPr>
          <w:p w14:paraId="7FD5CD28" w14:textId="77777777" w:rsidR="00FA345A" w:rsidRDefault="00000000">
            <w:pPr>
              <w:spacing w:before="40" w:after="40"/>
            </w:pPr>
            <w:r>
              <w:rPr>
                <w:sz w:val="18"/>
              </w:rPr>
              <w:t>~561 GW</w:t>
            </w:r>
          </w:p>
        </w:tc>
        <w:tc>
          <w:tcPr>
            <w:tcW w:w="4176" w:type="dxa"/>
            <w:shd w:val="clear" w:color="auto" w:fill="FFFFFF"/>
          </w:tcPr>
          <w:p w14:paraId="482C77A9" w14:textId="77777777" w:rsidR="00FA345A" w:rsidRDefault="00000000">
            <w:pPr>
              <w:spacing w:before="40" w:after="40"/>
            </w:pPr>
            <w:r>
              <w:rPr>
                <w:sz w:val="18"/>
              </w:rPr>
              <w:t>IAEA Low Case (RDS-1 2025)</w:t>
            </w:r>
          </w:p>
        </w:tc>
      </w:tr>
      <w:tr w:rsidR="00FA345A" w14:paraId="630AB973" w14:textId="77777777">
        <w:tc>
          <w:tcPr>
            <w:tcW w:w="1872" w:type="dxa"/>
            <w:shd w:val="clear" w:color="auto" w:fill="F2F7FD"/>
          </w:tcPr>
          <w:p w14:paraId="6821F197" w14:textId="77777777" w:rsidR="00FA345A" w:rsidRDefault="00000000">
            <w:pPr>
              <w:spacing w:before="40" w:after="40"/>
            </w:pPr>
            <w:r>
              <w:rPr>
                <w:sz w:val="18"/>
              </w:rPr>
              <w:t>Base</w:t>
            </w:r>
          </w:p>
        </w:tc>
        <w:tc>
          <w:tcPr>
            <w:tcW w:w="2592" w:type="dxa"/>
            <w:shd w:val="clear" w:color="auto" w:fill="F2F7FD"/>
          </w:tcPr>
          <w:p w14:paraId="793E2211" w14:textId="77777777" w:rsidR="00FA345A" w:rsidRDefault="00000000">
            <w:pPr>
              <w:spacing w:before="40" w:after="40"/>
            </w:pPr>
            <w:r>
              <w:rPr>
                <w:sz w:val="18"/>
              </w:rPr>
              <w:t>~30 GW/yr</w:t>
            </w:r>
          </w:p>
        </w:tc>
        <w:tc>
          <w:tcPr>
            <w:tcW w:w="2160" w:type="dxa"/>
            <w:shd w:val="clear" w:color="auto" w:fill="F2F7FD"/>
          </w:tcPr>
          <w:p w14:paraId="5FADDBD0" w14:textId="77777777" w:rsidR="00FA345A" w:rsidRDefault="00000000">
            <w:pPr>
              <w:spacing w:before="40" w:after="40"/>
            </w:pPr>
            <w:r>
              <w:rPr>
                <w:sz w:val="18"/>
              </w:rPr>
              <w:t>~647 GW</w:t>
            </w:r>
          </w:p>
        </w:tc>
        <w:tc>
          <w:tcPr>
            <w:tcW w:w="4176" w:type="dxa"/>
            <w:shd w:val="clear" w:color="auto" w:fill="F2F7FD"/>
          </w:tcPr>
          <w:p w14:paraId="2BD69B26" w14:textId="77777777" w:rsidR="00FA345A" w:rsidRDefault="00000000">
            <w:pPr>
              <w:spacing w:before="40" w:after="40"/>
            </w:pPr>
            <w:r>
              <w:rPr>
                <w:sz w:val="18"/>
              </w:rPr>
              <w:t>IEA STEPS (WEO 2024)</w:t>
            </w:r>
          </w:p>
        </w:tc>
      </w:tr>
      <w:tr w:rsidR="00FA345A" w14:paraId="3F29C435" w14:textId="77777777">
        <w:tc>
          <w:tcPr>
            <w:tcW w:w="1872" w:type="dxa"/>
            <w:shd w:val="clear" w:color="auto" w:fill="FFFFFF"/>
          </w:tcPr>
          <w:p w14:paraId="2D7956E8" w14:textId="77777777" w:rsidR="00FA345A" w:rsidRDefault="00000000">
            <w:pPr>
              <w:spacing w:before="40" w:after="40"/>
            </w:pPr>
            <w:r>
              <w:rPr>
                <w:sz w:val="18"/>
              </w:rPr>
              <w:t>Optimistic</w:t>
            </w:r>
          </w:p>
        </w:tc>
        <w:tc>
          <w:tcPr>
            <w:tcW w:w="2592" w:type="dxa"/>
            <w:shd w:val="clear" w:color="auto" w:fill="FFFFFF"/>
          </w:tcPr>
          <w:p w14:paraId="2307CBDD" w14:textId="77777777" w:rsidR="00FA345A" w:rsidRDefault="00000000">
            <w:pPr>
              <w:spacing w:before="40" w:after="40"/>
            </w:pPr>
            <w:r>
              <w:rPr>
                <w:sz w:val="18"/>
              </w:rPr>
              <w:t>~57 GW/yr</w:t>
            </w:r>
          </w:p>
        </w:tc>
        <w:tc>
          <w:tcPr>
            <w:tcW w:w="2160" w:type="dxa"/>
            <w:shd w:val="clear" w:color="auto" w:fill="FFFFFF"/>
          </w:tcPr>
          <w:p w14:paraId="7D249EFE" w14:textId="77777777" w:rsidR="00FA345A" w:rsidRDefault="00000000">
            <w:pPr>
              <w:spacing w:before="40" w:after="40"/>
            </w:pPr>
            <w:r>
              <w:rPr>
                <w:sz w:val="18"/>
              </w:rPr>
              <w:t>~992 GW</w:t>
            </w:r>
          </w:p>
        </w:tc>
        <w:tc>
          <w:tcPr>
            <w:tcW w:w="4176" w:type="dxa"/>
            <w:shd w:val="clear" w:color="auto" w:fill="FFFFFF"/>
          </w:tcPr>
          <w:p w14:paraId="00F481F2" w14:textId="77777777" w:rsidR="00FA345A" w:rsidRDefault="00000000">
            <w:pPr>
              <w:spacing w:before="40" w:after="40"/>
            </w:pPr>
            <w:r>
              <w:rPr>
                <w:sz w:val="18"/>
              </w:rPr>
              <w:t>IAEA High Case (RDS-1 2025)</w:t>
            </w:r>
          </w:p>
        </w:tc>
      </w:tr>
    </w:tbl>
    <w:p w14:paraId="4058EDF0" w14:textId="77777777" w:rsidR="00FA345A" w:rsidRDefault="00FA345A"/>
    <w:p w14:paraId="2EACD679" w14:textId="77777777" w:rsidR="00FA345A" w:rsidRDefault="00000000">
      <w:pPr>
        <w:spacing w:before="80" w:after="80"/>
      </w:pPr>
      <w:r>
        <w:t>From there, we assume a consistent annual rate of new installed capacity between 2041 and 2050. A single post2040_global_growth_gw_per_year rate is set per scenario (calibrated to the benchmark — see Section 7). This global rate is distributed across regions using the proportions implied by IAEA/IEA regional forecasts. Unit-level retirements of the existing 2024 fleet continue to be tracked individually through to 2050.</w:t>
      </w:r>
    </w:p>
    <w:p w14:paraId="37ACA1F8" w14:textId="77777777" w:rsidR="00FA345A" w:rsidRDefault="00000000">
      <w:pPr>
        <w:spacing w:before="80" w:after="80"/>
      </w:pPr>
      <w:r>
        <w:t>The transition year is 2040 for all pre-defined scenarios. Continuity is guaranteed: capacity(2040) computed bottom-up equals capacity(2040) used as the starting point for top-down growth, by construction.</w:t>
      </w:r>
    </w:p>
    <w:p w14:paraId="74CE81E7" w14:textId="77777777" w:rsidR="00FA345A" w:rsidRDefault="00000000">
      <w:pPr>
        <w:spacing w:before="280" w:after="80"/>
      </w:pPr>
      <w:r>
        <w:rPr>
          <w:b/>
          <w:color w:val="1A375E"/>
          <w:sz w:val="30"/>
        </w:rPr>
        <w:t>2.4  What the Model Does Not Include</w:t>
      </w:r>
    </w:p>
    <w:p w14:paraId="315A80D1" w14:textId="77777777" w:rsidR="00FA345A" w:rsidRDefault="00000000">
      <w:pPr>
        <w:pStyle w:val="ListBullet"/>
        <w:spacing w:before="40" w:after="40"/>
      </w:pPr>
      <w:r>
        <w:t>Generation (TWh): only installed capacity (GW) is modelled</w:t>
      </w:r>
    </w:p>
    <w:p w14:paraId="780C9C2D" w14:textId="77777777" w:rsidR="00FA345A" w:rsidRDefault="00000000">
      <w:pPr>
        <w:pStyle w:val="ListBullet"/>
        <w:spacing w:before="40" w:after="40"/>
      </w:pPr>
      <w:r>
        <w:t>Electricity market dynamics: no price signals, no dispatch modeling</w:t>
      </w:r>
    </w:p>
    <w:p w14:paraId="16D06AC7" w14:textId="77777777" w:rsidR="00FA345A" w:rsidRDefault="00000000">
      <w:pPr>
        <w:pStyle w:val="ListBullet"/>
        <w:spacing w:before="40" w:after="40"/>
      </w:pPr>
      <w:r>
        <w:t>Carbon accounting: no direct CO₂ or lifecycle emissions</w:t>
      </w:r>
    </w:p>
    <w:p w14:paraId="549D1481" w14:textId="77777777" w:rsidR="00FA345A" w:rsidRDefault="00000000">
      <w:pPr>
        <w:pStyle w:val="ListBullet"/>
        <w:spacing w:before="40" w:after="40"/>
      </w:pPr>
      <w:r>
        <w:t>Decommissioning timelines: the model tracks retirement year (plant stops generating) not decommissioning completion</w:t>
      </w:r>
    </w:p>
    <w:p w14:paraId="29288C41" w14:textId="77777777" w:rsidR="00FA345A" w:rsidRDefault="00000000">
      <w:pPr>
        <w:pStyle w:val="ListBullet"/>
        <w:spacing w:before="40" w:after="40"/>
      </w:pPr>
      <w:r>
        <w:t>Probabilistic Monte Carlo: scenarios use fixed realization rates, not probability distributions</w:t>
      </w:r>
    </w:p>
    <w:tbl>
      <w:tblPr>
        <w:tblW w:w="0" w:type="auto"/>
        <w:tblLook w:val="04A0" w:firstRow="1" w:lastRow="0" w:firstColumn="1" w:lastColumn="0" w:noHBand="0" w:noVBand="1"/>
      </w:tblPr>
      <w:tblGrid>
        <w:gridCol w:w="9360"/>
      </w:tblGrid>
      <w:tr w:rsidR="00FA345A" w14:paraId="7F5C8CEA" w14:textId="77777777">
        <w:tc>
          <w:tcPr>
            <w:tcW w:w="9360" w:type="dxa"/>
            <w:tcBorders>
              <w:left w:val="single" w:sz="18" w:space="0" w:color="C99A00"/>
            </w:tcBorders>
            <w:shd w:val="clear" w:color="auto" w:fill="FFF3CD"/>
            <w:tcMar>
              <w:top w:w="80" w:type="dxa"/>
              <w:left w:w="160" w:type="dxa"/>
              <w:bottom w:w="80" w:type="dxa"/>
              <w:right w:w="160" w:type="dxa"/>
            </w:tcMar>
          </w:tcPr>
          <w:p w14:paraId="139968F7" w14:textId="77777777" w:rsidR="00FA345A" w:rsidRDefault="00000000">
            <w:pPr>
              <w:spacing w:before="40" w:after="40"/>
            </w:pPr>
            <w:r>
              <w:rPr>
                <w:b/>
                <w:color w:val="C99A00"/>
              </w:rPr>
              <w:t xml:space="preserve">Annual update cadence:  </w:t>
            </w:r>
            <w:r>
              <w:t>The model is designed to be updated each year when IAEA PRIS releases its annual data (typically Q1). The update process involves: (1) refreshing the reactor table from IAEA PRIS, (2) re-running retirement-date derivation, (3) refreshing pipeline status, (4) re-calibrating post-2040 rates to the latest benchmark publications. A full update typically requires 1–2 days.</w:t>
            </w:r>
          </w:p>
        </w:tc>
      </w:tr>
    </w:tbl>
    <w:p w14:paraId="1C96EE43" w14:textId="77777777" w:rsidR="00FA345A" w:rsidRDefault="00FA345A"/>
    <w:p w14:paraId="653F408D" w14:textId="77777777" w:rsidR="00FA345A" w:rsidRDefault="00000000">
      <w:pPr>
        <w:spacing w:after="0"/>
      </w:pPr>
      <w:r>
        <w:br w:type="page"/>
      </w:r>
    </w:p>
    <w:p w14:paraId="469C549D" w14:textId="77777777" w:rsidR="00FA345A" w:rsidRDefault="00000000">
      <w:pPr>
        <w:pBdr>
          <w:bottom w:val="single" w:sz="6" w:space="4" w:color="2E75B6"/>
        </w:pBdr>
        <w:spacing w:before="360"/>
      </w:pPr>
      <w:r>
        <w:rPr>
          <w:b/>
          <w:color w:val="1A375E"/>
          <w:sz w:val="40"/>
        </w:rPr>
        <w:lastRenderedPageBreak/>
        <w:t>3.  Data Sources, Baseline Year &amp; Update Cadence</w:t>
      </w:r>
    </w:p>
    <w:p w14:paraId="7666DA62" w14:textId="77777777" w:rsidR="00FA345A" w:rsidRDefault="00000000">
      <w:pPr>
        <w:spacing w:before="280" w:after="80"/>
      </w:pPr>
      <w:r>
        <w:rPr>
          <w:b/>
          <w:color w:val="1A375E"/>
          <w:sz w:val="30"/>
        </w:rPr>
        <w:t>3.1  Why 2024 as the Baseline Year?</w:t>
      </w:r>
    </w:p>
    <w:p w14:paraId="62D4C927" w14:textId="77777777" w:rsidR="00FA345A" w:rsidRDefault="00000000">
      <w:pPr>
        <w:spacing w:before="80" w:after="80"/>
      </w:pPr>
      <w:r>
        <w:t>IAEA PRIS releases a comprehensive reactor status update annually, with the most complete picture of the prior calendar year typically available by Q1 of the following year. The 2024 vintage (released in early 2025) is therefore the most recent year for which a reliable, globally consistent fleet snapshot exists. Using a mid-year snapshot would introduce ambiguity about which retirements and connections to include; end-of-year clarity makes the baseline reproducible and auditable.</w:t>
      </w:r>
    </w:p>
    <w:p w14:paraId="1835B80F" w14:textId="77777777" w:rsidR="00FA345A" w:rsidRDefault="00000000">
      <w:pPr>
        <w:spacing w:before="80" w:after="80"/>
      </w:pPr>
      <w:r>
        <w:t>Historical capacity data from IAEA PRIS (2005–2024) is also displayed in the dashboard, providing two decades of context. The pre-2005 period is deliberately omitted: reactor records for early units are less complete and the fleet composition was materially different (especially the Soviet legacy fleet in Eastern Europe), reducing comparability.</w:t>
      </w:r>
    </w:p>
    <w:p w14:paraId="5FE2D796" w14:textId="77777777" w:rsidR="00FA345A" w:rsidRDefault="00000000">
      <w:pPr>
        <w:spacing w:before="280" w:after="80"/>
      </w:pPr>
      <w:r>
        <w:rPr>
          <w:b/>
          <w:color w:val="1A375E"/>
          <w:sz w:val="30"/>
        </w:rPr>
        <w:t>3.2  Primary Sources</w:t>
      </w:r>
    </w:p>
    <w:p w14:paraId="1C7581EA" w14:textId="77777777" w:rsidR="00FA345A" w:rsidRDefault="00000000">
      <w:pPr>
        <w:spacing w:before="80" w:after="80"/>
      </w:pPr>
      <w:r>
        <w:t>Sources are grouped below by role in the model. Within each group, Tier 1 sources (authoritative, primary) take precedence over Tier 2 (supplementary) where they conflict.</w:t>
      </w:r>
    </w:p>
    <w:p w14:paraId="6305C17A" w14:textId="03900534" w:rsidR="00FA345A" w:rsidRDefault="00000000">
      <w:pPr>
        <w:spacing w:before="120" w:after="40"/>
      </w:pPr>
      <w:r>
        <w:rPr>
          <w:b/>
          <w:color w:val="1A375E"/>
        </w:rPr>
        <w:t>Fleet, Retirement &amp; Historical Data</w:t>
      </w:r>
    </w:p>
    <w:tbl>
      <w:tblPr>
        <w:tblStyle w:val="TableGrid"/>
        <w:tblW w:w="0" w:type="auto"/>
        <w:tblLook w:val="04A0" w:firstRow="1" w:lastRow="0" w:firstColumn="1" w:lastColumn="0" w:noHBand="0" w:noVBand="1"/>
      </w:tblPr>
      <w:tblGrid>
        <w:gridCol w:w="1440"/>
        <w:gridCol w:w="2016"/>
        <w:gridCol w:w="3312"/>
        <w:gridCol w:w="1440"/>
        <w:gridCol w:w="1152"/>
      </w:tblGrid>
      <w:tr w:rsidR="00FA345A" w14:paraId="6B9D0F4E" w14:textId="77777777">
        <w:tc>
          <w:tcPr>
            <w:tcW w:w="1440" w:type="dxa"/>
            <w:shd w:val="clear" w:color="auto" w:fill="1A375E"/>
          </w:tcPr>
          <w:p w14:paraId="6EDC4C7E" w14:textId="77777777" w:rsidR="00FA345A" w:rsidRDefault="00000000">
            <w:pPr>
              <w:spacing w:before="40" w:after="40"/>
            </w:pPr>
            <w:r>
              <w:rPr>
                <w:b/>
                <w:color w:val="FFFFFF"/>
                <w:sz w:val="16"/>
              </w:rPr>
              <w:t>Source</w:t>
            </w:r>
          </w:p>
        </w:tc>
        <w:tc>
          <w:tcPr>
            <w:tcW w:w="2016" w:type="dxa"/>
            <w:shd w:val="clear" w:color="auto" w:fill="1A375E"/>
          </w:tcPr>
          <w:p w14:paraId="146F828D" w14:textId="77777777" w:rsidR="00FA345A" w:rsidRDefault="00000000">
            <w:pPr>
              <w:spacing w:before="40" w:after="40"/>
            </w:pPr>
            <w:r>
              <w:rPr>
                <w:b/>
                <w:color w:val="FFFFFF"/>
                <w:sz w:val="16"/>
              </w:rPr>
              <w:t>Full Name</w:t>
            </w:r>
          </w:p>
        </w:tc>
        <w:tc>
          <w:tcPr>
            <w:tcW w:w="3312" w:type="dxa"/>
            <w:shd w:val="clear" w:color="auto" w:fill="1A375E"/>
          </w:tcPr>
          <w:p w14:paraId="14F0099B" w14:textId="77777777" w:rsidR="00FA345A" w:rsidRDefault="00000000">
            <w:pPr>
              <w:spacing w:before="40" w:after="40"/>
            </w:pPr>
            <w:r>
              <w:rPr>
                <w:b/>
                <w:color w:val="FFFFFF"/>
                <w:sz w:val="16"/>
              </w:rPr>
              <w:t>What it provides</w:t>
            </w:r>
          </w:p>
        </w:tc>
        <w:tc>
          <w:tcPr>
            <w:tcW w:w="1440" w:type="dxa"/>
            <w:shd w:val="clear" w:color="auto" w:fill="1A375E"/>
          </w:tcPr>
          <w:p w14:paraId="57AD437E" w14:textId="77777777" w:rsidR="00FA345A" w:rsidRDefault="00000000">
            <w:pPr>
              <w:spacing w:before="40" w:after="40"/>
            </w:pPr>
            <w:r>
              <w:rPr>
                <w:b/>
                <w:color w:val="FFFFFF"/>
                <w:sz w:val="16"/>
              </w:rPr>
              <w:t>Update frequency</w:t>
            </w:r>
          </w:p>
        </w:tc>
        <w:tc>
          <w:tcPr>
            <w:tcW w:w="1152" w:type="dxa"/>
            <w:shd w:val="clear" w:color="auto" w:fill="1A375E"/>
          </w:tcPr>
          <w:p w14:paraId="2D031DDA" w14:textId="77777777" w:rsidR="00FA345A" w:rsidRDefault="00000000">
            <w:pPr>
              <w:spacing w:before="40" w:after="40"/>
            </w:pPr>
            <w:r>
              <w:rPr>
                <w:b/>
                <w:color w:val="FFFFFF"/>
                <w:sz w:val="16"/>
              </w:rPr>
              <w:t>Tier</w:t>
            </w:r>
          </w:p>
        </w:tc>
      </w:tr>
      <w:tr w:rsidR="00FA345A" w14:paraId="733F511E" w14:textId="77777777">
        <w:tc>
          <w:tcPr>
            <w:tcW w:w="1440" w:type="dxa"/>
            <w:shd w:val="clear" w:color="auto" w:fill="F2F7FD"/>
          </w:tcPr>
          <w:p w14:paraId="03611EBF" w14:textId="77777777" w:rsidR="00FA345A" w:rsidRDefault="00000000">
            <w:pPr>
              <w:spacing w:before="40" w:after="40"/>
            </w:pPr>
            <w:r>
              <w:rPr>
                <w:sz w:val="16"/>
              </w:rPr>
              <w:t>IAEA PRIS</w:t>
            </w:r>
          </w:p>
        </w:tc>
        <w:tc>
          <w:tcPr>
            <w:tcW w:w="2016" w:type="dxa"/>
            <w:shd w:val="clear" w:color="auto" w:fill="F2F7FD"/>
          </w:tcPr>
          <w:p w14:paraId="3FE53F28" w14:textId="77777777" w:rsidR="00FA345A" w:rsidRDefault="00000000">
            <w:pPr>
              <w:spacing w:before="40" w:after="40"/>
            </w:pPr>
            <w:r>
              <w:rPr>
                <w:sz w:val="16"/>
              </w:rPr>
              <w:t>Power Reactor Information System</w:t>
            </w:r>
          </w:p>
        </w:tc>
        <w:tc>
          <w:tcPr>
            <w:tcW w:w="3312" w:type="dxa"/>
            <w:shd w:val="clear" w:color="auto" w:fill="F2F7FD"/>
          </w:tcPr>
          <w:p w14:paraId="58B4BD18" w14:textId="77777777" w:rsidR="00FA345A" w:rsidRDefault="00000000">
            <w:pPr>
              <w:spacing w:before="40" w:after="40"/>
            </w:pPr>
            <w:r>
              <w:rPr>
                <w:sz w:val="16"/>
              </w:rPr>
              <w:t>Operating status, net capacity, commercial operation date, shutdown dates for every reactor worldwide</w:t>
            </w:r>
          </w:p>
        </w:tc>
        <w:tc>
          <w:tcPr>
            <w:tcW w:w="1440" w:type="dxa"/>
            <w:shd w:val="clear" w:color="auto" w:fill="F2F7FD"/>
          </w:tcPr>
          <w:p w14:paraId="28C71A36" w14:textId="77777777" w:rsidR="00FA345A" w:rsidRDefault="00000000">
            <w:pPr>
              <w:spacing w:before="40" w:after="40"/>
            </w:pPr>
            <w:r>
              <w:rPr>
                <w:sz w:val="16"/>
              </w:rPr>
              <w:t>Annual (Q1)</w:t>
            </w:r>
          </w:p>
        </w:tc>
        <w:tc>
          <w:tcPr>
            <w:tcW w:w="1152" w:type="dxa"/>
            <w:shd w:val="clear" w:color="auto" w:fill="F2F7FD"/>
          </w:tcPr>
          <w:p w14:paraId="794550F2" w14:textId="77777777" w:rsidR="00FA345A" w:rsidRDefault="00000000">
            <w:pPr>
              <w:spacing w:before="40" w:after="40"/>
            </w:pPr>
            <w:r>
              <w:rPr>
                <w:sz w:val="16"/>
              </w:rPr>
              <w:t>Tier 1</w:t>
            </w:r>
          </w:p>
        </w:tc>
      </w:tr>
      <w:tr w:rsidR="00FA345A" w14:paraId="10B9B347" w14:textId="77777777">
        <w:tc>
          <w:tcPr>
            <w:tcW w:w="1440" w:type="dxa"/>
            <w:shd w:val="clear" w:color="auto" w:fill="FFFFFF"/>
          </w:tcPr>
          <w:p w14:paraId="5F17D9D1" w14:textId="77777777" w:rsidR="00FA345A" w:rsidRDefault="00000000">
            <w:pPr>
              <w:spacing w:before="40" w:after="40"/>
            </w:pPr>
            <w:r>
              <w:rPr>
                <w:sz w:val="16"/>
              </w:rPr>
              <w:t>NRC (US)</w:t>
            </w:r>
          </w:p>
        </w:tc>
        <w:tc>
          <w:tcPr>
            <w:tcW w:w="2016" w:type="dxa"/>
            <w:shd w:val="clear" w:color="auto" w:fill="FFFFFF"/>
          </w:tcPr>
          <w:p w14:paraId="310C12C0" w14:textId="77777777" w:rsidR="00FA345A" w:rsidRDefault="00000000">
            <w:pPr>
              <w:spacing w:before="40" w:after="40"/>
            </w:pPr>
            <w:r>
              <w:rPr>
                <w:sz w:val="16"/>
              </w:rPr>
              <w:t>US Nuclear Regulatory Commission license renewal filings</w:t>
            </w:r>
          </w:p>
        </w:tc>
        <w:tc>
          <w:tcPr>
            <w:tcW w:w="3312" w:type="dxa"/>
            <w:shd w:val="clear" w:color="auto" w:fill="FFFFFF"/>
          </w:tcPr>
          <w:p w14:paraId="373811D6" w14:textId="77777777" w:rsidR="00FA345A" w:rsidRDefault="00000000">
            <w:pPr>
              <w:spacing w:before="40" w:after="40"/>
            </w:pPr>
            <w:r>
              <w:rPr>
                <w:sz w:val="16"/>
              </w:rPr>
              <w:t>US-specific 20-year and subsequent license renewal (SLR) applications and approvals</w:t>
            </w:r>
          </w:p>
        </w:tc>
        <w:tc>
          <w:tcPr>
            <w:tcW w:w="1440" w:type="dxa"/>
            <w:shd w:val="clear" w:color="auto" w:fill="FFFFFF"/>
          </w:tcPr>
          <w:p w14:paraId="7D112085" w14:textId="77777777" w:rsidR="00FA345A" w:rsidRDefault="00000000">
            <w:pPr>
              <w:spacing w:before="40" w:after="40"/>
            </w:pPr>
            <w:r>
              <w:rPr>
                <w:sz w:val="16"/>
              </w:rPr>
              <w:t>Continuous</w:t>
            </w:r>
          </w:p>
        </w:tc>
        <w:tc>
          <w:tcPr>
            <w:tcW w:w="1152" w:type="dxa"/>
            <w:shd w:val="clear" w:color="auto" w:fill="FFFFFF"/>
          </w:tcPr>
          <w:p w14:paraId="15199018" w14:textId="77777777" w:rsidR="00FA345A" w:rsidRDefault="00000000">
            <w:pPr>
              <w:spacing w:before="40" w:after="40"/>
            </w:pPr>
            <w:r>
              <w:rPr>
                <w:sz w:val="16"/>
              </w:rPr>
              <w:t>Tier 1 (US)</w:t>
            </w:r>
          </w:p>
        </w:tc>
      </w:tr>
      <w:tr w:rsidR="00FA345A" w14:paraId="2FCD18B4" w14:textId="77777777">
        <w:tc>
          <w:tcPr>
            <w:tcW w:w="1440" w:type="dxa"/>
            <w:shd w:val="clear" w:color="auto" w:fill="F2F7FD"/>
          </w:tcPr>
          <w:p w14:paraId="3F1F5401" w14:textId="77777777" w:rsidR="00FA345A" w:rsidRDefault="00000000">
            <w:pPr>
              <w:spacing w:before="40" w:after="40"/>
            </w:pPr>
            <w:r>
              <w:rPr>
                <w:sz w:val="16"/>
              </w:rPr>
              <w:t>National regulators</w:t>
            </w:r>
          </w:p>
        </w:tc>
        <w:tc>
          <w:tcPr>
            <w:tcW w:w="2016" w:type="dxa"/>
            <w:shd w:val="clear" w:color="auto" w:fill="F2F7FD"/>
          </w:tcPr>
          <w:p w14:paraId="2FE68075" w14:textId="77777777" w:rsidR="00FA345A" w:rsidRDefault="00000000">
            <w:pPr>
              <w:spacing w:before="40" w:after="40"/>
            </w:pPr>
            <w:r>
              <w:rPr>
                <w:sz w:val="16"/>
              </w:rPr>
              <w:t>Country-specific bodies (ASN, ONR, SSM, NSSC, etc.)</w:t>
            </w:r>
          </w:p>
        </w:tc>
        <w:tc>
          <w:tcPr>
            <w:tcW w:w="3312" w:type="dxa"/>
            <w:shd w:val="clear" w:color="auto" w:fill="F2F7FD"/>
          </w:tcPr>
          <w:p w14:paraId="38DAD708" w14:textId="77777777" w:rsidR="00FA345A" w:rsidRDefault="00000000">
            <w:pPr>
              <w:spacing w:before="40" w:after="40"/>
            </w:pPr>
            <w:r>
              <w:rPr>
                <w:sz w:val="16"/>
              </w:rPr>
              <w:t>Country extension policies, approval decisions, safety review outcomes</w:t>
            </w:r>
          </w:p>
        </w:tc>
        <w:tc>
          <w:tcPr>
            <w:tcW w:w="1440" w:type="dxa"/>
            <w:shd w:val="clear" w:color="auto" w:fill="F2F7FD"/>
          </w:tcPr>
          <w:p w14:paraId="3E780F2B" w14:textId="77777777" w:rsidR="00FA345A" w:rsidRDefault="00000000">
            <w:pPr>
              <w:spacing w:before="40" w:after="40"/>
            </w:pPr>
            <w:r>
              <w:rPr>
                <w:sz w:val="16"/>
              </w:rPr>
              <w:t>As published</w:t>
            </w:r>
          </w:p>
        </w:tc>
        <w:tc>
          <w:tcPr>
            <w:tcW w:w="1152" w:type="dxa"/>
            <w:shd w:val="clear" w:color="auto" w:fill="F2F7FD"/>
          </w:tcPr>
          <w:p w14:paraId="1EEAC67B" w14:textId="77777777" w:rsidR="00FA345A" w:rsidRDefault="00000000">
            <w:pPr>
              <w:spacing w:before="40" w:after="40"/>
            </w:pPr>
            <w:r>
              <w:rPr>
                <w:sz w:val="16"/>
              </w:rPr>
              <w:t>Tier 1 (country)</w:t>
            </w:r>
          </w:p>
        </w:tc>
      </w:tr>
    </w:tbl>
    <w:p w14:paraId="6A3977D2" w14:textId="77777777" w:rsidR="00FA345A" w:rsidRDefault="00FA345A"/>
    <w:p w14:paraId="39B6A99A" w14:textId="47245C41" w:rsidR="00FA345A" w:rsidRDefault="00000000">
      <w:pPr>
        <w:spacing w:before="120" w:after="40"/>
      </w:pPr>
      <w:r>
        <w:rPr>
          <w:b/>
          <w:color w:val="1A375E"/>
        </w:rPr>
        <w:t>Pipeline Data</w:t>
      </w:r>
    </w:p>
    <w:tbl>
      <w:tblPr>
        <w:tblStyle w:val="TableGrid"/>
        <w:tblW w:w="0" w:type="auto"/>
        <w:tblLook w:val="04A0" w:firstRow="1" w:lastRow="0" w:firstColumn="1" w:lastColumn="0" w:noHBand="0" w:noVBand="1"/>
      </w:tblPr>
      <w:tblGrid>
        <w:gridCol w:w="1440"/>
        <w:gridCol w:w="2016"/>
        <w:gridCol w:w="3312"/>
        <w:gridCol w:w="1440"/>
        <w:gridCol w:w="1152"/>
      </w:tblGrid>
      <w:tr w:rsidR="00FA345A" w14:paraId="7243DB29" w14:textId="77777777">
        <w:tc>
          <w:tcPr>
            <w:tcW w:w="1440" w:type="dxa"/>
            <w:shd w:val="clear" w:color="auto" w:fill="1A375E"/>
          </w:tcPr>
          <w:p w14:paraId="2F954B85" w14:textId="77777777" w:rsidR="00FA345A" w:rsidRDefault="00000000">
            <w:pPr>
              <w:spacing w:before="40" w:after="40"/>
            </w:pPr>
            <w:r>
              <w:rPr>
                <w:b/>
                <w:color w:val="FFFFFF"/>
                <w:sz w:val="16"/>
              </w:rPr>
              <w:t>Source</w:t>
            </w:r>
          </w:p>
        </w:tc>
        <w:tc>
          <w:tcPr>
            <w:tcW w:w="2016" w:type="dxa"/>
            <w:shd w:val="clear" w:color="auto" w:fill="1A375E"/>
          </w:tcPr>
          <w:p w14:paraId="0D7EE73D" w14:textId="77777777" w:rsidR="00FA345A" w:rsidRDefault="00000000">
            <w:pPr>
              <w:spacing w:before="40" w:after="40"/>
            </w:pPr>
            <w:r>
              <w:rPr>
                <w:b/>
                <w:color w:val="FFFFFF"/>
                <w:sz w:val="16"/>
              </w:rPr>
              <w:t>Full Name</w:t>
            </w:r>
          </w:p>
        </w:tc>
        <w:tc>
          <w:tcPr>
            <w:tcW w:w="3312" w:type="dxa"/>
            <w:shd w:val="clear" w:color="auto" w:fill="1A375E"/>
          </w:tcPr>
          <w:p w14:paraId="5879D24B" w14:textId="77777777" w:rsidR="00FA345A" w:rsidRDefault="00000000">
            <w:pPr>
              <w:spacing w:before="40" w:after="40"/>
            </w:pPr>
            <w:r>
              <w:rPr>
                <w:b/>
                <w:color w:val="FFFFFF"/>
                <w:sz w:val="16"/>
              </w:rPr>
              <w:t>What it provides</w:t>
            </w:r>
          </w:p>
        </w:tc>
        <w:tc>
          <w:tcPr>
            <w:tcW w:w="1440" w:type="dxa"/>
            <w:shd w:val="clear" w:color="auto" w:fill="1A375E"/>
          </w:tcPr>
          <w:p w14:paraId="54857DDB" w14:textId="77777777" w:rsidR="00FA345A" w:rsidRDefault="00000000">
            <w:pPr>
              <w:spacing w:before="40" w:after="40"/>
            </w:pPr>
            <w:r>
              <w:rPr>
                <w:b/>
                <w:color w:val="FFFFFF"/>
                <w:sz w:val="16"/>
              </w:rPr>
              <w:t>Update frequency</w:t>
            </w:r>
          </w:p>
        </w:tc>
        <w:tc>
          <w:tcPr>
            <w:tcW w:w="1152" w:type="dxa"/>
            <w:shd w:val="clear" w:color="auto" w:fill="1A375E"/>
          </w:tcPr>
          <w:p w14:paraId="203A2901" w14:textId="77777777" w:rsidR="00FA345A" w:rsidRDefault="00000000">
            <w:pPr>
              <w:spacing w:before="40" w:after="40"/>
            </w:pPr>
            <w:r>
              <w:rPr>
                <w:b/>
                <w:color w:val="FFFFFF"/>
                <w:sz w:val="16"/>
              </w:rPr>
              <w:t>Tier</w:t>
            </w:r>
          </w:p>
        </w:tc>
      </w:tr>
      <w:tr w:rsidR="00FA345A" w14:paraId="15D615A1" w14:textId="77777777">
        <w:tc>
          <w:tcPr>
            <w:tcW w:w="1440" w:type="dxa"/>
            <w:shd w:val="clear" w:color="auto" w:fill="F2F7FD"/>
          </w:tcPr>
          <w:p w14:paraId="303B9EE5" w14:textId="77777777" w:rsidR="00FA345A" w:rsidRDefault="00000000">
            <w:pPr>
              <w:spacing w:before="40" w:after="40"/>
            </w:pPr>
            <w:r>
              <w:rPr>
                <w:sz w:val="16"/>
              </w:rPr>
              <w:t>IAEA RDS-2 2024</w:t>
            </w:r>
          </w:p>
        </w:tc>
        <w:tc>
          <w:tcPr>
            <w:tcW w:w="2016" w:type="dxa"/>
            <w:shd w:val="clear" w:color="auto" w:fill="F2F7FD"/>
          </w:tcPr>
          <w:p w14:paraId="7A4B795A" w14:textId="77777777" w:rsidR="00FA345A" w:rsidRDefault="00000000">
            <w:pPr>
              <w:spacing w:before="40" w:after="40"/>
            </w:pPr>
            <w:r>
              <w:rPr>
                <w:sz w:val="16"/>
              </w:rPr>
              <w:t>Reference Data Series No. 2: Nuclear Power Plants: Status and Changes</w:t>
            </w:r>
          </w:p>
        </w:tc>
        <w:tc>
          <w:tcPr>
            <w:tcW w:w="3312" w:type="dxa"/>
            <w:shd w:val="clear" w:color="auto" w:fill="F2F7FD"/>
          </w:tcPr>
          <w:p w14:paraId="3C7B5A72" w14:textId="77777777" w:rsidR="00FA345A" w:rsidRDefault="00000000">
            <w:pPr>
              <w:spacing w:before="40" w:after="40"/>
            </w:pPr>
            <w:r>
              <w:rPr>
                <w:sz w:val="16"/>
              </w:rPr>
              <w:t>Pipeline reactor data (under construction, planned, proposed)</w:t>
            </w:r>
          </w:p>
        </w:tc>
        <w:tc>
          <w:tcPr>
            <w:tcW w:w="1440" w:type="dxa"/>
            <w:shd w:val="clear" w:color="auto" w:fill="F2F7FD"/>
          </w:tcPr>
          <w:p w14:paraId="63499EB4" w14:textId="77777777" w:rsidR="00FA345A" w:rsidRDefault="00000000">
            <w:pPr>
              <w:spacing w:before="40" w:after="40"/>
            </w:pPr>
            <w:r>
              <w:rPr>
                <w:sz w:val="16"/>
              </w:rPr>
              <w:t>Annual</w:t>
            </w:r>
          </w:p>
        </w:tc>
        <w:tc>
          <w:tcPr>
            <w:tcW w:w="1152" w:type="dxa"/>
            <w:shd w:val="clear" w:color="auto" w:fill="F2F7FD"/>
          </w:tcPr>
          <w:p w14:paraId="1A5A50AF" w14:textId="77777777" w:rsidR="00FA345A" w:rsidRDefault="00000000">
            <w:pPr>
              <w:spacing w:before="40" w:after="40"/>
            </w:pPr>
            <w:r>
              <w:rPr>
                <w:sz w:val="16"/>
              </w:rPr>
              <w:t>Tier 1/2</w:t>
            </w:r>
          </w:p>
        </w:tc>
      </w:tr>
      <w:tr w:rsidR="00FA345A" w14:paraId="31AA812E" w14:textId="77777777">
        <w:tc>
          <w:tcPr>
            <w:tcW w:w="1440" w:type="dxa"/>
            <w:shd w:val="clear" w:color="auto" w:fill="FFFFFF"/>
          </w:tcPr>
          <w:p w14:paraId="510882FA" w14:textId="77777777" w:rsidR="00FA345A" w:rsidRDefault="00000000">
            <w:pPr>
              <w:spacing w:before="40" w:after="40"/>
            </w:pPr>
            <w:r>
              <w:rPr>
                <w:sz w:val="16"/>
              </w:rPr>
              <w:t>WNA Reactor DB</w:t>
            </w:r>
          </w:p>
        </w:tc>
        <w:tc>
          <w:tcPr>
            <w:tcW w:w="2016" w:type="dxa"/>
            <w:shd w:val="clear" w:color="auto" w:fill="FFFFFF"/>
          </w:tcPr>
          <w:p w14:paraId="4E958138" w14:textId="77777777" w:rsidR="00FA345A" w:rsidRDefault="00000000">
            <w:pPr>
              <w:spacing w:before="40" w:after="40"/>
            </w:pPr>
            <w:r>
              <w:rPr>
                <w:sz w:val="16"/>
              </w:rPr>
              <w:t>World Nuclear Association Reactor Database</w:t>
            </w:r>
          </w:p>
        </w:tc>
        <w:tc>
          <w:tcPr>
            <w:tcW w:w="3312" w:type="dxa"/>
            <w:shd w:val="clear" w:color="auto" w:fill="FFFFFF"/>
          </w:tcPr>
          <w:p w14:paraId="588B175C" w14:textId="77777777" w:rsidR="00FA345A" w:rsidRDefault="00000000">
            <w:pPr>
              <w:spacing w:before="40" w:after="40"/>
            </w:pPr>
            <w:r>
              <w:rPr>
                <w:sz w:val="16"/>
              </w:rPr>
              <w:t>Pipeline reactor details, expected online years, reactor types</w:t>
            </w:r>
          </w:p>
        </w:tc>
        <w:tc>
          <w:tcPr>
            <w:tcW w:w="1440" w:type="dxa"/>
            <w:shd w:val="clear" w:color="auto" w:fill="FFFFFF"/>
          </w:tcPr>
          <w:p w14:paraId="6B0C1257" w14:textId="77777777" w:rsidR="00FA345A" w:rsidRDefault="00000000">
            <w:pPr>
              <w:spacing w:before="40" w:after="40"/>
            </w:pPr>
            <w:r>
              <w:rPr>
                <w:sz w:val="16"/>
              </w:rPr>
              <w:t>Continuous</w:t>
            </w:r>
          </w:p>
        </w:tc>
        <w:tc>
          <w:tcPr>
            <w:tcW w:w="1152" w:type="dxa"/>
            <w:shd w:val="clear" w:color="auto" w:fill="FFFFFF"/>
          </w:tcPr>
          <w:p w14:paraId="49287F5A" w14:textId="77777777" w:rsidR="00FA345A" w:rsidRDefault="00000000">
            <w:pPr>
              <w:spacing w:before="40" w:after="40"/>
            </w:pPr>
            <w:r>
              <w:rPr>
                <w:sz w:val="16"/>
              </w:rPr>
              <w:t>Tier 2</w:t>
            </w:r>
          </w:p>
        </w:tc>
      </w:tr>
      <w:tr w:rsidR="00FA345A" w14:paraId="543C8079" w14:textId="77777777">
        <w:tc>
          <w:tcPr>
            <w:tcW w:w="1440" w:type="dxa"/>
            <w:shd w:val="clear" w:color="auto" w:fill="F2F7FD"/>
          </w:tcPr>
          <w:p w14:paraId="752A813F" w14:textId="77777777" w:rsidR="00FA345A" w:rsidRDefault="00000000">
            <w:pPr>
              <w:spacing w:before="40" w:after="40"/>
            </w:pPr>
            <w:r>
              <w:rPr>
                <w:sz w:val="16"/>
              </w:rPr>
              <w:t>Internet-scraped / press</w:t>
            </w:r>
          </w:p>
        </w:tc>
        <w:tc>
          <w:tcPr>
            <w:tcW w:w="2016" w:type="dxa"/>
            <w:shd w:val="clear" w:color="auto" w:fill="F2F7FD"/>
          </w:tcPr>
          <w:p w14:paraId="7AAD4F49" w14:textId="77777777" w:rsidR="00FA345A" w:rsidRDefault="00000000">
            <w:pPr>
              <w:spacing w:before="40" w:after="40"/>
            </w:pPr>
            <w:r>
              <w:rPr>
                <w:sz w:val="16"/>
              </w:rPr>
              <w:t>Utility releases, parliamentary reports, news sources</w:t>
            </w:r>
          </w:p>
        </w:tc>
        <w:tc>
          <w:tcPr>
            <w:tcW w:w="3312" w:type="dxa"/>
            <w:shd w:val="clear" w:color="auto" w:fill="F2F7FD"/>
          </w:tcPr>
          <w:p w14:paraId="65C79808" w14:textId="77777777" w:rsidR="00FA345A" w:rsidRDefault="00000000">
            <w:pPr>
              <w:spacing w:before="40" w:after="40"/>
            </w:pPr>
            <w:r>
              <w:rPr>
                <w:sz w:val="16"/>
              </w:rPr>
              <w:t>Pipeline projects not yet in PRIS/WNA; announced policy changes; restart timelines</w:t>
            </w:r>
          </w:p>
        </w:tc>
        <w:tc>
          <w:tcPr>
            <w:tcW w:w="1440" w:type="dxa"/>
            <w:shd w:val="clear" w:color="auto" w:fill="F2F7FD"/>
          </w:tcPr>
          <w:p w14:paraId="35205621" w14:textId="77777777" w:rsidR="00FA345A" w:rsidRDefault="00000000">
            <w:pPr>
              <w:spacing w:before="40" w:after="40"/>
            </w:pPr>
            <w:r>
              <w:rPr>
                <w:sz w:val="16"/>
              </w:rPr>
              <w:t>Ad hoc</w:t>
            </w:r>
          </w:p>
        </w:tc>
        <w:tc>
          <w:tcPr>
            <w:tcW w:w="1152" w:type="dxa"/>
            <w:shd w:val="clear" w:color="auto" w:fill="F2F7FD"/>
          </w:tcPr>
          <w:p w14:paraId="3495070E" w14:textId="77777777" w:rsidR="00FA345A" w:rsidRDefault="00000000">
            <w:pPr>
              <w:spacing w:before="40" w:after="40"/>
            </w:pPr>
            <w:r>
              <w:rPr>
                <w:sz w:val="16"/>
              </w:rPr>
              <w:t>Tier 2</w:t>
            </w:r>
          </w:p>
        </w:tc>
      </w:tr>
    </w:tbl>
    <w:p w14:paraId="30197A60" w14:textId="77777777" w:rsidR="00FA345A" w:rsidRDefault="00FA345A"/>
    <w:p w14:paraId="5C78753D" w14:textId="58F40493" w:rsidR="00FA345A" w:rsidRDefault="00000000">
      <w:pPr>
        <w:spacing w:before="120" w:after="40"/>
      </w:pPr>
      <w:r>
        <w:rPr>
          <w:b/>
          <w:color w:val="1A375E"/>
        </w:rPr>
        <w:t>Benchmarks &amp; Scenarios</w:t>
      </w:r>
    </w:p>
    <w:tbl>
      <w:tblPr>
        <w:tblStyle w:val="TableGrid"/>
        <w:tblW w:w="0" w:type="auto"/>
        <w:tblLook w:val="04A0" w:firstRow="1" w:lastRow="0" w:firstColumn="1" w:lastColumn="0" w:noHBand="0" w:noVBand="1"/>
      </w:tblPr>
      <w:tblGrid>
        <w:gridCol w:w="1440"/>
        <w:gridCol w:w="2016"/>
        <w:gridCol w:w="3312"/>
        <w:gridCol w:w="1440"/>
        <w:gridCol w:w="1152"/>
      </w:tblGrid>
      <w:tr w:rsidR="00FA345A" w14:paraId="2911739A" w14:textId="77777777">
        <w:tc>
          <w:tcPr>
            <w:tcW w:w="1440" w:type="dxa"/>
            <w:shd w:val="clear" w:color="auto" w:fill="1A375E"/>
          </w:tcPr>
          <w:p w14:paraId="14368020" w14:textId="77777777" w:rsidR="00FA345A" w:rsidRDefault="00000000">
            <w:pPr>
              <w:spacing w:before="40" w:after="40"/>
            </w:pPr>
            <w:r>
              <w:rPr>
                <w:b/>
                <w:color w:val="FFFFFF"/>
                <w:sz w:val="16"/>
              </w:rPr>
              <w:t>Source</w:t>
            </w:r>
          </w:p>
        </w:tc>
        <w:tc>
          <w:tcPr>
            <w:tcW w:w="2016" w:type="dxa"/>
            <w:shd w:val="clear" w:color="auto" w:fill="1A375E"/>
          </w:tcPr>
          <w:p w14:paraId="09DE12BC" w14:textId="77777777" w:rsidR="00FA345A" w:rsidRDefault="00000000">
            <w:pPr>
              <w:spacing w:before="40" w:after="40"/>
            </w:pPr>
            <w:r>
              <w:rPr>
                <w:b/>
                <w:color w:val="FFFFFF"/>
                <w:sz w:val="16"/>
              </w:rPr>
              <w:t>Full Name</w:t>
            </w:r>
          </w:p>
        </w:tc>
        <w:tc>
          <w:tcPr>
            <w:tcW w:w="3312" w:type="dxa"/>
            <w:shd w:val="clear" w:color="auto" w:fill="1A375E"/>
          </w:tcPr>
          <w:p w14:paraId="2781783C" w14:textId="77777777" w:rsidR="00FA345A" w:rsidRDefault="00000000">
            <w:pPr>
              <w:spacing w:before="40" w:after="40"/>
            </w:pPr>
            <w:r>
              <w:rPr>
                <w:b/>
                <w:color w:val="FFFFFF"/>
                <w:sz w:val="16"/>
              </w:rPr>
              <w:t>What it provides</w:t>
            </w:r>
          </w:p>
        </w:tc>
        <w:tc>
          <w:tcPr>
            <w:tcW w:w="1440" w:type="dxa"/>
            <w:shd w:val="clear" w:color="auto" w:fill="1A375E"/>
          </w:tcPr>
          <w:p w14:paraId="2CEE69A5" w14:textId="77777777" w:rsidR="00FA345A" w:rsidRDefault="00000000">
            <w:pPr>
              <w:spacing w:before="40" w:after="40"/>
            </w:pPr>
            <w:r>
              <w:rPr>
                <w:b/>
                <w:color w:val="FFFFFF"/>
                <w:sz w:val="16"/>
              </w:rPr>
              <w:t>Update frequency</w:t>
            </w:r>
          </w:p>
        </w:tc>
        <w:tc>
          <w:tcPr>
            <w:tcW w:w="1152" w:type="dxa"/>
            <w:shd w:val="clear" w:color="auto" w:fill="1A375E"/>
          </w:tcPr>
          <w:p w14:paraId="51579C3B" w14:textId="77777777" w:rsidR="00FA345A" w:rsidRDefault="00000000">
            <w:pPr>
              <w:spacing w:before="40" w:after="40"/>
            </w:pPr>
            <w:r>
              <w:rPr>
                <w:b/>
                <w:color w:val="FFFFFF"/>
                <w:sz w:val="16"/>
              </w:rPr>
              <w:t>Tier</w:t>
            </w:r>
          </w:p>
        </w:tc>
      </w:tr>
      <w:tr w:rsidR="00FA345A" w14:paraId="4DD3B21C" w14:textId="77777777">
        <w:tc>
          <w:tcPr>
            <w:tcW w:w="1440" w:type="dxa"/>
            <w:shd w:val="clear" w:color="auto" w:fill="F2F7FD"/>
          </w:tcPr>
          <w:p w14:paraId="1D8CB191" w14:textId="77777777" w:rsidR="00FA345A" w:rsidRDefault="00000000">
            <w:pPr>
              <w:spacing w:before="40" w:after="40"/>
            </w:pPr>
            <w:r>
              <w:rPr>
                <w:sz w:val="16"/>
              </w:rPr>
              <w:t>IAEA RDS-1 2025</w:t>
            </w:r>
          </w:p>
        </w:tc>
        <w:tc>
          <w:tcPr>
            <w:tcW w:w="2016" w:type="dxa"/>
            <w:shd w:val="clear" w:color="auto" w:fill="F2F7FD"/>
          </w:tcPr>
          <w:p w14:paraId="3984BA41" w14:textId="77777777" w:rsidR="00FA345A" w:rsidRDefault="00000000">
            <w:pPr>
              <w:spacing w:before="40" w:after="40"/>
            </w:pPr>
            <w:r>
              <w:rPr>
                <w:sz w:val="16"/>
              </w:rPr>
              <w:t>Reference Data Series No. 1: Nuclear Power Reactors in the World</w:t>
            </w:r>
          </w:p>
        </w:tc>
        <w:tc>
          <w:tcPr>
            <w:tcW w:w="3312" w:type="dxa"/>
            <w:shd w:val="clear" w:color="auto" w:fill="F2F7FD"/>
          </w:tcPr>
          <w:p w14:paraId="33EA1A65" w14:textId="77777777" w:rsidR="00FA345A" w:rsidRDefault="00000000">
            <w:pPr>
              <w:spacing w:before="40" w:after="40"/>
            </w:pPr>
            <w:r>
              <w:rPr>
                <w:sz w:val="16"/>
              </w:rPr>
              <w:t>Global and regional capacity benchmarks (Low/High cases) for 2030/2040/2050</w:t>
            </w:r>
          </w:p>
        </w:tc>
        <w:tc>
          <w:tcPr>
            <w:tcW w:w="1440" w:type="dxa"/>
            <w:shd w:val="clear" w:color="auto" w:fill="F2F7FD"/>
          </w:tcPr>
          <w:p w14:paraId="370352CF" w14:textId="77777777" w:rsidR="00FA345A" w:rsidRDefault="00000000">
            <w:pPr>
              <w:spacing w:before="40" w:after="40"/>
            </w:pPr>
            <w:r>
              <w:rPr>
                <w:sz w:val="16"/>
              </w:rPr>
              <w:t>Annual</w:t>
            </w:r>
          </w:p>
        </w:tc>
        <w:tc>
          <w:tcPr>
            <w:tcW w:w="1152" w:type="dxa"/>
            <w:shd w:val="clear" w:color="auto" w:fill="F2F7FD"/>
          </w:tcPr>
          <w:p w14:paraId="158C98EE" w14:textId="77777777" w:rsidR="00FA345A" w:rsidRDefault="00000000">
            <w:pPr>
              <w:spacing w:before="40" w:after="40"/>
            </w:pPr>
            <w:r>
              <w:rPr>
                <w:sz w:val="16"/>
              </w:rPr>
              <w:t>Benchmark</w:t>
            </w:r>
          </w:p>
        </w:tc>
      </w:tr>
      <w:tr w:rsidR="00FA345A" w14:paraId="1B79E6C3" w14:textId="77777777">
        <w:tc>
          <w:tcPr>
            <w:tcW w:w="1440" w:type="dxa"/>
            <w:shd w:val="clear" w:color="auto" w:fill="FFFFFF"/>
          </w:tcPr>
          <w:p w14:paraId="4D64B93B" w14:textId="77777777" w:rsidR="00FA345A" w:rsidRDefault="00000000">
            <w:pPr>
              <w:spacing w:before="40" w:after="40"/>
            </w:pPr>
            <w:r>
              <w:rPr>
                <w:sz w:val="16"/>
              </w:rPr>
              <w:t>IEA WEO 2024</w:t>
            </w:r>
          </w:p>
        </w:tc>
        <w:tc>
          <w:tcPr>
            <w:tcW w:w="2016" w:type="dxa"/>
            <w:shd w:val="clear" w:color="auto" w:fill="FFFFFF"/>
          </w:tcPr>
          <w:p w14:paraId="2C22FD34" w14:textId="77777777" w:rsidR="00FA345A" w:rsidRDefault="00000000">
            <w:pPr>
              <w:spacing w:before="40" w:after="40"/>
            </w:pPr>
            <w:r>
              <w:rPr>
                <w:sz w:val="16"/>
              </w:rPr>
              <w:t>World Energy Outlook 2024</w:t>
            </w:r>
          </w:p>
        </w:tc>
        <w:tc>
          <w:tcPr>
            <w:tcW w:w="3312" w:type="dxa"/>
            <w:shd w:val="clear" w:color="auto" w:fill="FFFFFF"/>
          </w:tcPr>
          <w:p w14:paraId="55587587" w14:textId="77777777" w:rsidR="00FA345A" w:rsidRDefault="00000000">
            <w:pPr>
              <w:spacing w:before="40" w:after="40"/>
            </w:pPr>
            <w:r>
              <w:rPr>
                <w:sz w:val="16"/>
              </w:rPr>
              <w:t>Global nuclear capacity benchmarks (STEPS, APS, Low Nuclear) for 2030/2040/2050</w:t>
            </w:r>
          </w:p>
        </w:tc>
        <w:tc>
          <w:tcPr>
            <w:tcW w:w="1440" w:type="dxa"/>
            <w:shd w:val="clear" w:color="auto" w:fill="FFFFFF"/>
          </w:tcPr>
          <w:p w14:paraId="3DA19A61" w14:textId="77777777" w:rsidR="00FA345A" w:rsidRDefault="00000000">
            <w:pPr>
              <w:spacing w:before="40" w:after="40"/>
            </w:pPr>
            <w:r>
              <w:rPr>
                <w:sz w:val="16"/>
              </w:rPr>
              <w:t>Annual (Nov)</w:t>
            </w:r>
          </w:p>
        </w:tc>
        <w:tc>
          <w:tcPr>
            <w:tcW w:w="1152" w:type="dxa"/>
            <w:shd w:val="clear" w:color="auto" w:fill="FFFFFF"/>
          </w:tcPr>
          <w:p w14:paraId="7BAC4903" w14:textId="77777777" w:rsidR="00FA345A" w:rsidRDefault="00000000">
            <w:pPr>
              <w:spacing w:before="40" w:after="40"/>
            </w:pPr>
            <w:r>
              <w:rPr>
                <w:sz w:val="16"/>
              </w:rPr>
              <w:t>Benchmark</w:t>
            </w:r>
          </w:p>
        </w:tc>
      </w:tr>
    </w:tbl>
    <w:p w14:paraId="2E968542" w14:textId="77777777" w:rsidR="00FA345A" w:rsidRDefault="00FA345A"/>
    <w:p w14:paraId="5F82F437" w14:textId="77777777" w:rsidR="00FA345A" w:rsidRDefault="00000000">
      <w:pPr>
        <w:spacing w:before="280" w:after="80"/>
      </w:pPr>
      <w:r>
        <w:rPr>
          <w:b/>
          <w:color w:val="1A375E"/>
          <w:sz w:val="30"/>
        </w:rPr>
        <w:t>3.3  Tier 1 vs Tier 2 Retirement Dates</w:t>
      </w:r>
    </w:p>
    <w:p w14:paraId="3DDFC782" w14:textId="77777777" w:rsidR="00FA345A" w:rsidRDefault="00000000">
      <w:pPr>
        <w:spacing w:before="80" w:after="80"/>
      </w:pPr>
      <w:r>
        <w:t>Reactor retirement dates in the database are classified into two tiers:</w:t>
      </w:r>
    </w:p>
    <w:tbl>
      <w:tblPr>
        <w:tblW w:w="0" w:type="auto"/>
        <w:tblLook w:val="04A0" w:firstRow="1" w:lastRow="0" w:firstColumn="1" w:lastColumn="0" w:noHBand="0" w:noVBand="1"/>
      </w:tblPr>
      <w:tblGrid>
        <w:gridCol w:w="9360"/>
      </w:tblGrid>
      <w:tr w:rsidR="00FA345A" w14:paraId="06BF95B4" w14:textId="77777777">
        <w:tc>
          <w:tcPr>
            <w:tcW w:w="9360" w:type="dxa"/>
            <w:tcBorders>
              <w:left w:val="single" w:sz="18" w:space="0" w:color="2E75B6"/>
            </w:tcBorders>
            <w:shd w:val="clear" w:color="auto" w:fill="E8F4FD"/>
            <w:tcMar>
              <w:top w:w="80" w:type="dxa"/>
              <w:left w:w="160" w:type="dxa"/>
              <w:bottom w:w="80" w:type="dxa"/>
              <w:right w:w="160" w:type="dxa"/>
            </w:tcMar>
          </w:tcPr>
          <w:p w14:paraId="4CF5A4C9" w14:textId="77777777" w:rsidR="00FA345A" w:rsidRDefault="00000000">
            <w:pPr>
              <w:spacing w:before="40" w:after="40"/>
            </w:pPr>
            <w:r>
              <w:rPr>
                <w:b/>
                <w:color w:val="2E75B6"/>
              </w:rPr>
              <w:t xml:space="preserve">Tier 1 — Declared dates:  </w:t>
            </w:r>
            <w:r>
              <w:t>The reactor has a publicly declared planned shutdown date (e.g., a regulatory decision, utility commitment, or legally binding phase-out mandate). This date is taken directly and used as-is. Examples: German phase-out units, UK Hinkley Point B, French regulatory decisions.</w:t>
            </w:r>
          </w:p>
        </w:tc>
      </w:tr>
    </w:tbl>
    <w:p w14:paraId="7EDED654" w14:textId="77777777" w:rsidR="00FA345A" w:rsidRDefault="00FA345A"/>
    <w:tbl>
      <w:tblPr>
        <w:tblW w:w="0" w:type="auto"/>
        <w:tblLook w:val="04A0" w:firstRow="1" w:lastRow="0" w:firstColumn="1" w:lastColumn="0" w:noHBand="0" w:noVBand="1"/>
      </w:tblPr>
      <w:tblGrid>
        <w:gridCol w:w="9360"/>
      </w:tblGrid>
      <w:tr w:rsidR="00FA345A" w14:paraId="0C77D3E7" w14:textId="77777777">
        <w:tc>
          <w:tcPr>
            <w:tcW w:w="9360" w:type="dxa"/>
            <w:tcBorders>
              <w:left w:val="single" w:sz="18" w:space="0" w:color="007080"/>
            </w:tcBorders>
            <w:shd w:val="clear" w:color="auto" w:fill="E8F4FD"/>
            <w:tcMar>
              <w:top w:w="80" w:type="dxa"/>
              <w:left w:w="160" w:type="dxa"/>
              <w:bottom w:w="80" w:type="dxa"/>
              <w:right w:w="160" w:type="dxa"/>
            </w:tcMar>
          </w:tcPr>
          <w:p w14:paraId="45D160B5" w14:textId="77777777" w:rsidR="00FA345A" w:rsidRDefault="00000000">
            <w:pPr>
              <w:spacing w:before="40" w:after="40"/>
            </w:pPr>
            <w:r>
              <w:rPr>
                <w:b/>
                <w:color w:val="007080"/>
              </w:rPr>
              <w:t xml:space="preserve">Tier 2 — Modelled dates:  </w:t>
            </w:r>
            <w:r>
              <w:t>No declared date exists. The retirement year is derived by applying the country's extension policy (baseline license years + allowable extension increments) to the commercial operation date. The derivation uses the retirement_rules table in the database, which is parameterized from official regulatory documentation for each country.</w:t>
            </w:r>
          </w:p>
        </w:tc>
      </w:tr>
    </w:tbl>
    <w:p w14:paraId="6C08F7B8" w14:textId="77777777" w:rsidR="00FA345A" w:rsidRDefault="00FA345A"/>
    <w:p w14:paraId="2F142D87" w14:textId="77777777" w:rsidR="00FA345A" w:rsidRDefault="00000000">
      <w:pPr>
        <w:spacing w:before="280" w:after="80"/>
      </w:pPr>
      <w:r>
        <w:rPr>
          <w:b/>
          <w:color w:val="1A375E"/>
          <w:sz w:val="30"/>
        </w:rPr>
        <w:t>3.4  Internet-Scraped and Supplementary Data</w:t>
      </w:r>
    </w:p>
    <w:p w14:paraId="34236C3C" w14:textId="77777777" w:rsidR="00FA345A" w:rsidRDefault="00000000">
      <w:pPr>
        <w:spacing w:before="80" w:after="80"/>
      </w:pPr>
      <w:r>
        <w:t>For pipeline reactors — particularly in China, India, Russia, and emerging markets — the PRIS and WNA records may lag announced developments by 6–18 months. The database is therefore supplemented by:</w:t>
      </w:r>
    </w:p>
    <w:p w14:paraId="4DFC0B9E" w14:textId="77777777" w:rsidR="00FA345A" w:rsidRDefault="00000000">
      <w:pPr>
        <w:pStyle w:val="ListBullet"/>
        <w:spacing w:before="40" w:after="40"/>
      </w:pPr>
      <w:r>
        <w:t>Utility investor relations releases (e.g., EDF, KEPCO, Rosatom)</w:t>
      </w:r>
    </w:p>
    <w:p w14:paraId="595693B9" w14:textId="77777777" w:rsidR="00FA345A" w:rsidRDefault="00000000">
      <w:pPr>
        <w:pStyle w:val="ListBullet"/>
        <w:spacing w:before="40" w:after="40"/>
      </w:pPr>
      <w:r>
        <w:t>Parliamentary and government energy planning documents</w:t>
      </w:r>
    </w:p>
    <w:p w14:paraId="696E0C8D" w14:textId="77777777" w:rsidR="00FA345A" w:rsidRDefault="00000000">
      <w:pPr>
        <w:pStyle w:val="ListBullet"/>
        <w:spacing w:before="40" w:after="40"/>
      </w:pPr>
      <w:r>
        <w:t>IAEA country mission reports (IRRS, INIR)</w:t>
      </w:r>
    </w:p>
    <w:p w14:paraId="3DE47017" w14:textId="77777777" w:rsidR="00FA345A" w:rsidRDefault="00000000">
      <w:pPr>
        <w:pStyle w:val="ListBullet"/>
        <w:spacing w:before="40" w:after="40"/>
      </w:pPr>
      <w:r>
        <w:t>Industry news wires (World Nuclear News, Nuclear Engineering International)</w:t>
      </w:r>
    </w:p>
    <w:p w14:paraId="7FACE749" w14:textId="77777777" w:rsidR="00FA345A" w:rsidRDefault="00000000">
      <w:pPr>
        <w:spacing w:before="80" w:after="80"/>
      </w:pPr>
      <w:r>
        <w:t>Internet-scraped data is classified as Tier 2 and treated with higher uncertainty. Where a Tier 2 source conflicts with a Tier 1 source, the Tier 1 value prevails. All data sources are logged in the data_sources_log table in the database.</w:t>
      </w:r>
    </w:p>
    <w:p w14:paraId="2731DFEB" w14:textId="77777777" w:rsidR="00FA345A" w:rsidRDefault="00000000">
      <w:pPr>
        <w:spacing w:before="280" w:after="80"/>
      </w:pPr>
      <w:r>
        <w:rPr>
          <w:b/>
          <w:color w:val="1A375E"/>
          <w:sz w:val="30"/>
        </w:rPr>
        <w:t>3.5  Annual Update Process</w:t>
      </w:r>
    </w:p>
    <w:tbl>
      <w:tblPr>
        <w:tblStyle w:val="TableGrid"/>
        <w:tblW w:w="0" w:type="auto"/>
        <w:tblLook w:val="04A0" w:firstRow="1" w:lastRow="0" w:firstColumn="1" w:lastColumn="0" w:noHBand="0" w:noVBand="1"/>
      </w:tblPr>
      <w:tblGrid>
        <w:gridCol w:w="864"/>
        <w:gridCol w:w="864"/>
        <w:gridCol w:w="7632"/>
      </w:tblGrid>
      <w:tr w:rsidR="00FA345A" w14:paraId="518B8C99" w14:textId="77777777">
        <w:tc>
          <w:tcPr>
            <w:tcW w:w="864" w:type="dxa"/>
            <w:shd w:val="clear" w:color="auto" w:fill="1A375E"/>
          </w:tcPr>
          <w:p w14:paraId="3F6812B6" w14:textId="77777777" w:rsidR="00FA345A" w:rsidRDefault="00000000">
            <w:pPr>
              <w:spacing w:before="40" w:after="40"/>
            </w:pPr>
            <w:r>
              <w:rPr>
                <w:b/>
                <w:color w:val="FFFFFF"/>
                <w:sz w:val="18"/>
              </w:rPr>
              <w:t>Step</w:t>
            </w:r>
          </w:p>
        </w:tc>
        <w:tc>
          <w:tcPr>
            <w:tcW w:w="864" w:type="dxa"/>
            <w:shd w:val="clear" w:color="auto" w:fill="1A375E"/>
          </w:tcPr>
          <w:p w14:paraId="16A2AFE1" w14:textId="77777777" w:rsidR="00FA345A" w:rsidRDefault="00000000">
            <w:pPr>
              <w:spacing w:before="40" w:after="40"/>
            </w:pPr>
            <w:r>
              <w:rPr>
                <w:b/>
                <w:color w:val="FFFFFF"/>
                <w:sz w:val="18"/>
              </w:rPr>
              <w:t>Timing</w:t>
            </w:r>
          </w:p>
        </w:tc>
        <w:tc>
          <w:tcPr>
            <w:tcW w:w="7632" w:type="dxa"/>
            <w:shd w:val="clear" w:color="auto" w:fill="1A375E"/>
          </w:tcPr>
          <w:p w14:paraId="7A420375" w14:textId="77777777" w:rsidR="00FA345A" w:rsidRDefault="00000000">
            <w:pPr>
              <w:spacing w:before="40" w:after="40"/>
            </w:pPr>
            <w:r>
              <w:rPr>
                <w:b/>
                <w:color w:val="FFFFFF"/>
                <w:sz w:val="18"/>
              </w:rPr>
              <w:t>Action</w:t>
            </w:r>
          </w:p>
        </w:tc>
      </w:tr>
      <w:tr w:rsidR="00FA345A" w14:paraId="0F7CFD60" w14:textId="77777777">
        <w:tc>
          <w:tcPr>
            <w:tcW w:w="864" w:type="dxa"/>
            <w:shd w:val="clear" w:color="auto" w:fill="F2F7FD"/>
          </w:tcPr>
          <w:p w14:paraId="719DB567" w14:textId="77777777" w:rsidR="00FA345A" w:rsidRDefault="00000000">
            <w:pPr>
              <w:spacing w:before="40" w:after="40"/>
            </w:pPr>
            <w:r>
              <w:rPr>
                <w:sz w:val="18"/>
              </w:rPr>
              <w:t>Step 1</w:t>
            </w:r>
          </w:p>
        </w:tc>
        <w:tc>
          <w:tcPr>
            <w:tcW w:w="864" w:type="dxa"/>
            <w:shd w:val="clear" w:color="auto" w:fill="F2F7FD"/>
          </w:tcPr>
          <w:p w14:paraId="4A4518DE" w14:textId="77777777" w:rsidR="00FA345A" w:rsidRDefault="00000000">
            <w:pPr>
              <w:spacing w:before="40" w:after="40"/>
            </w:pPr>
            <w:r>
              <w:rPr>
                <w:sz w:val="18"/>
              </w:rPr>
              <w:t>Q1</w:t>
            </w:r>
          </w:p>
        </w:tc>
        <w:tc>
          <w:tcPr>
            <w:tcW w:w="7632" w:type="dxa"/>
            <w:shd w:val="clear" w:color="auto" w:fill="F2F7FD"/>
          </w:tcPr>
          <w:p w14:paraId="57D7DE6E" w14:textId="77777777" w:rsidR="00FA345A" w:rsidRDefault="00000000">
            <w:pPr>
              <w:spacing w:before="40" w:after="40"/>
            </w:pPr>
            <w:r>
              <w:rPr>
                <w:sz w:val="18"/>
              </w:rPr>
              <w:t>Download IAEA PRIS annual data extract. Identify retired, restarted, and newly connected units.</w:t>
            </w:r>
          </w:p>
        </w:tc>
      </w:tr>
      <w:tr w:rsidR="00FA345A" w14:paraId="31FF06D0" w14:textId="77777777">
        <w:tc>
          <w:tcPr>
            <w:tcW w:w="864" w:type="dxa"/>
            <w:shd w:val="clear" w:color="auto" w:fill="FFFFFF"/>
          </w:tcPr>
          <w:p w14:paraId="4911166E" w14:textId="77777777" w:rsidR="00FA345A" w:rsidRDefault="00000000">
            <w:pPr>
              <w:spacing w:before="40" w:after="40"/>
            </w:pPr>
            <w:r>
              <w:rPr>
                <w:sz w:val="18"/>
              </w:rPr>
              <w:t>Step 2</w:t>
            </w:r>
          </w:p>
        </w:tc>
        <w:tc>
          <w:tcPr>
            <w:tcW w:w="864" w:type="dxa"/>
            <w:shd w:val="clear" w:color="auto" w:fill="FFFFFF"/>
          </w:tcPr>
          <w:p w14:paraId="2F964989" w14:textId="77777777" w:rsidR="00FA345A" w:rsidRDefault="00000000">
            <w:pPr>
              <w:spacing w:before="40" w:after="40"/>
            </w:pPr>
            <w:r>
              <w:rPr>
                <w:sz w:val="18"/>
              </w:rPr>
              <w:t>Q1</w:t>
            </w:r>
          </w:p>
        </w:tc>
        <w:tc>
          <w:tcPr>
            <w:tcW w:w="7632" w:type="dxa"/>
            <w:shd w:val="clear" w:color="auto" w:fill="FFFFFF"/>
          </w:tcPr>
          <w:p w14:paraId="338FE2DD" w14:textId="77777777" w:rsidR="00FA345A" w:rsidRDefault="00000000">
            <w:pPr>
              <w:spacing w:before="40" w:after="40"/>
            </w:pPr>
            <w:r>
              <w:rPr>
                <w:sz w:val="18"/>
              </w:rPr>
              <w:t>Re-run retirement date derivation (retirement.py). Cross-check Tier 1 declared dates against regulatory announcements.</w:t>
            </w:r>
          </w:p>
        </w:tc>
      </w:tr>
      <w:tr w:rsidR="00FA345A" w14:paraId="7CFDF21A" w14:textId="77777777">
        <w:tc>
          <w:tcPr>
            <w:tcW w:w="864" w:type="dxa"/>
            <w:shd w:val="clear" w:color="auto" w:fill="F2F7FD"/>
          </w:tcPr>
          <w:p w14:paraId="1FB51AD4" w14:textId="77777777" w:rsidR="00FA345A" w:rsidRDefault="00000000">
            <w:pPr>
              <w:spacing w:before="40" w:after="40"/>
            </w:pPr>
            <w:r>
              <w:rPr>
                <w:sz w:val="18"/>
              </w:rPr>
              <w:t>Step 3</w:t>
            </w:r>
          </w:p>
        </w:tc>
        <w:tc>
          <w:tcPr>
            <w:tcW w:w="864" w:type="dxa"/>
            <w:shd w:val="clear" w:color="auto" w:fill="F2F7FD"/>
          </w:tcPr>
          <w:p w14:paraId="01D2F283" w14:textId="77777777" w:rsidR="00FA345A" w:rsidRDefault="00000000">
            <w:pPr>
              <w:spacing w:before="40" w:after="40"/>
            </w:pPr>
            <w:r>
              <w:rPr>
                <w:sz w:val="18"/>
              </w:rPr>
              <w:t>Q1–Q2</w:t>
            </w:r>
          </w:p>
        </w:tc>
        <w:tc>
          <w:tcPr>
            <w:tcW w:w="7632" w:type="dxa"/>
            <w:shd w:val="clear" w:color="auto" w:fill="F2F7FD"/>
          </w:tcPr>
          <w:p w14:paraId="14AE479C" w14:textId="77777777" w:rsidR="00FA345A" w:rsidRDefault="00000000">
            <w:pPr>
              <w:spacing w:before="40" w:after="40"/>
            </w:pPr>
            <w:r>
              <w:rPr>
                <w:sz w:val="18"/>
              </w:rPr>
              <w:t>Refresh pipeline (under construction, planned, proposed) from RDS-2, WNA, and internet sources.</w:t>
            </w:r>
          </w:p>
        </w:tc>
      </w:tr>
      <w:tr w:rsidR="00FA345A" w14:paraId="5998CD53" w14:textId="77777777">
        <w:tc>
          <w:tcPr>
            <w:tcW w:w="864" w:type="dxa"/>
            <w:shd w:val="clear" w:color="auto" w:fill="FFFFFF"/>
          </w:tcPr>
          <w:p w14:paraId="353DDCC3" w14:textId="77777777" w:rsidR="00FA345A" w:rsidRDefault="00000000">
            <w:pPr>
              <w:spacing w:before="40" w:after="40"/>
            </w:pPr>
            <w:r>
              <w:rPr>
                <w:sz w:val="18"/>
              </w:rPr>
              <w:t>Step 4</w:t>
            </w:r>
          </w:p>
        </w:tc>
        <w:tc>
          <w:tcPr>
            <w:tcW w:w="864" w:type="dxa"/>
            <w:shd w:val="clear" w:color="auto" w:fill="FFFFFF"/>
          </w:tcPr>
          <w:p w14:paraId="214AEE59" w14:textId="77777777" w:rsidR="00FA345A" w:rsidRDefault="00000000">
            <w:pPr>
              <w:spacing w:before="40" w:after="40"/>
            </w:pPr>
            <w:r>
              <w:rPr>
                <w:sz w:val="18"/>
              </w:rPr>
              <w:t>Q2</w:t>
            </w:r>
          </w:p>
        </w:tc>
        <w:tc>
          <w:tcPr>
            <w:tcW w:w="7632" w:type="dxa"/>
            <w:shd w:val="clear" w:color="auto" w:fill="FFFFFF"/>
          </w:tcPr>
          <w:p w14:paraId="52A68713" w14:textId="77777777" w:rsidR="00FA345A" w:rsidRDefault="00000000">
            <w:pPr>
              <w:spacing w:before="40" w:after="40"/>
            </w:pPr>
            <w:r>
              <w:rPr>
                <w:sz w:val="18"/>
              </w:rPr>
              <w:t>Re-calibrate post-2040 benchmark rates against latest IEA WEO and IAEA RDS-1 publications.</w:t>
            </w:r>
          </w:p>
        </w:tc>
      </w:tr>
      <w:tr w:rsidR="00FA345A" w14:paraId="03CDA592" w14:textId="77777777">
        <w:tc>
          <w:tcPr>
            <w:tcW w:w="864" w:type="dxa"/>
            <w:shd w:val="clear" w:color="auto" w:fill="F2F7FD"/>
          </w:tcPr>
          <w:p w14:paraId="5609D8CB" w14:textId="77777777" w:rsidR="00FA345A" w:rsidRDefault="00000000">
            <w:pPr>
              <w:spacing w:before="40" w:after="40"/>
            </w:pPr>
            <w:r>
              <w:rPr>
                <w:sz w:val="18"/>
              </w:rPr>
              <w:t>Step 5</w:t>
            </w:r>
          </w:p>
        </w:tc>
        <w:tc>
          <w:tcPr>
            <w:tcW w:w="864" w:type="dxa"/>
            <w:shd w:val="clear" w:color="auto" w:fill="F2F7FD"/>
          </w:tcPr>
          <w:p w14:paraId="52CED650" w14:textId="77777777" w:rsidR="00FA345A" w:rsidRDefault="00000000">
            <w:pPr>
              <w:spacing w:before="40" w:after="40"/>
            </w:pPr>
            <w:r>
              <w:rPr>
                <w:sz w:val="18"/>
              </w:rPr>
              <w:t>Q2</w:t>
            </w:r>
          </w:p>
        </w:tc>
        <w:tc>
          <w:tcPr>
            <w:tcW w:w="7632" w:type="dxa"/>
            <w:shd w:val="clear" w:color="auto" w:fill="F2F7FD"/>
          </w:tcPr>
          <w:p w14:paraId="64008A7C" w14:textId="77777777" w:rsidR="00FA345A" w:rsidRDefault="00000000">
            <w:pPr>
              <w:spacing w:before="40" w:after="40"/>
            </w:pPr>
            <w:r>
              <w:rPr>
                <w:sz w:val="18"/>
              </w:rPr>
              <w:t>Validate model outputs against IAEA/IEA published 2030 estimates (sanity check within ±5%).</w:t>
            </w:r>
          </w:p>
        </w:tc>
      </w:tr>
      <w:tr w:rsidR="00FA345A" w14:paraId="6BBB1EDD" w14:textId="77777777">
        <w:tc>
          <w:tcPr>
            <w:tcW w:w="864" w:type="dxa"/>
            <w:shd w:val="clear" w:color="auto" w:fill="FFFFFF"/>
          </w:tcPr>
          <w:p w14:paraId="03558272" w14:textId="77777777" w:rsidR="00FA345A" w:rsidRDefault="00000000">
            <w:pPr>
              <w:spacing w:before="40" w:after="40"/>
            </w:pPr>
            <w:r>
              <w:rPr>
                <w:sz w:val="18"/>
              </w:rPr>
              <w:t>Step 6</w:t>
            </w:r>
          </w:p>
        </w:tc>
        <w:tc>
          <w:tcPr>
            <w:tcW w:w="864" w:type="dxa"/>
            <w:shd w:val="clear" w:color="auto" w:fill="FFFFFF"/>
          </w:tcPr>
          <w:p w14:paraId="027A0FEE" w14:textId="77777777" w:rsidR="00FA345A" w:rsidRDefault="00000000">
            <w:pPr>
              <w:spacing w:before="40" w:after="40"/>
            </w:pPr>
            <w:r>
              <w:rPr>
                <w:sz w:val="18"/>
              </w:rPr>
              <w:t>Ongoing</w:t>
            </w:r>
          </w:p>
        </w:tc>
        <w:tc>
          <w:tcPr>
            <w:tcW w:w="7632" w:type="dxa"/>
            <w:shd w:val="clear" w:color="auto" w:fill="FFFFFF"/>
          </w:tcPr>
          <w:p w14:paraId="1FC1E000" w14:textId="77777777" w:rsidR="00FA345A" w:rsidRDefault="00000000">
            <w:pPr>
              <w:spacing w:before="40" w:after="40"/>
            </w:pPr>
            <w:r>
              <w:rPr>
                <w:sz w:val="18"/>
              </w:rPr>
              <w:t>Monitor for major policy changes (e.g., new phase-out mandates, new license renewals) and apply point overrides.</w:t>
            </w:r>
          </w:p>
        </w:tc>
      </w:tr>
    </w:tbl>
    <w:p w14:paraId="049C0457" w14:textId="77777777" w:rsidR="00FA345A" w:rsidRDefault="00FA345A"/>
    <w:p w14:paraId="705F416A" w14:textId="77777777" w:rsidR="00FA345A" w:rsidRDefault="00000000">
      <w:pPr>
        <w:spacing w:after="0"/>
      </w:pPr>
      <w:r>
        <w:br w:type="page"/>
      </w:r>
    </w:p>
    <w:p w14:paraId="115D681C" w14:textId="77777777" w:rsidR="00FA345A" w:rsidRDefault="00000000">
      <w:pPr>
        <w:pBdr>
          <w:bottom w:val="single" w:sz="6" w:space="4" w:color="2E75B6"/>
        </w:pBdr>
        <w:spacing w:before="360"/>
      </w:pPr>
      <w:r>
        <w:rPr>
          <w:b/>
          <w:color w:val="1A375E"/>
          <w:sz w:val="40"/>
        </w:rPr>
        <w:lastRenderedPageBreak/>
        <w:t>4.  Retirement Framework</w:t>
      </w:r>
    </w:p>
    <w:p w14:paraId="476FC387" w14:textId="77777777" w:rsidR="00FA345A" w:rsidRDefault="00000000">
      <w:pPr>
        <w:spacing w:before="80" w:after="80"/>
      </w:pPr>
      <w:r>
        <w:t>The retirement framework is the most consequential single component of the model. For the current operating fleet, retirements account for the majority of near-term capacity loss. The framework uses three extension policies, applied globally or per-country, and is underpinned by a 30-country regulatory database.</w:t>
      </w:r>
    </w:p>
    <w:p w14:paraId="25ACE537" w14:textId="77777777" w:rsidR="00FA345A" w:rsidRDefault="00000000">
      <w:pPr>
        <w:spacing w:before="280" w:after="80"/>
      </w:pPr>
      <w:r>
        <w:rPr>
          <w:b/>
          <w:color w:val="1A375E"/>
          <w:sz w:val="30"/>
        </w:rPr>
        <w:t>4.1  Three Extension Policies</w:t>
      </w:r>
    </w:p>
    <w:tbl>
      <w:tblPr>
        <w:tblW w:w="0" w:type="auto"/>
        <w:tblLook w:val="04A0" w:firstRow="1" w:lastRow="0" w:firstColumn="1" w:lastColumn="0" w:noHBand="0" w:noVBand="1"/>
      </w:tblPr>
      <w:tblGrid>
        <w:gridCol w:w="9360"/>
      </w:tblGrid>
      <w:tr w:rsidR="00FA345A" w14:paraId="25E2CB0D" w14:textId="77777777">
        <w:tc>
          <w:tcPr>
            <w:tcW w:w="9360" w:type="dxa"/>
            <w:shd w:val="clear" w:color="auto" w:fill="C0392B"/>
          </w:tcPr>
          <w:p w14:paraId="74E23A48" w14:textId="77777777" w:rsidR="00FA345A" w:rsidRDefault="00000000">
            <w:pPr>
              <w:spacing w:before="80" w:after="80"/>
              <w:jc w:val="center"/>
            </w:pPr>
            <w:r>
              <w:rPr>
                <w:b/>
                <w:color w:val="FFFFFF"/>
                <w:sz w:val="26"/>
              </w:rPr>
              <w:t>AcceleratedRetirement  —  used in DECLINE scenario</w:t>
            </w:r>
          </w:p>
        </w:tc>
      </w:tr>
    </w:tbl>
    <w:p w14:paraId="44BDF05D" w14:textId="77777777" w:rsidR="00FA345A" w:rsidRDefault="00000000">
      <w:pPr>
        <w:spacing w:before="40" w:after="160"/>
      </w:pPr>
      <w:r>
        <w:t>No extensions beyond already-approved (Tier 1) dates. Tier 2 reactors retire at their baseline license expiry (i.e., zero extension assumed). Reflects a regulatory or political environment that does not permit or fund further life extension.</w:t>
      </w:r>
    </w:p>
    <w:tbl>
      <w:tblPr>
        <w:tblW w:w="0" w:type="auto"/>
        <w:tblLook w:val="04A0" w:firstRow="1" w:lastRow="0" w:firstColumn="1" w:lastColumn="0" w:noHBand="0" w:noVBand="1"/>
      </w:tblPr>
      <w:tblGrid>
        <w:gridCol w:w="9360"/>
      </w:tblGrid>
      <w:tr w:rsidR="00FA345A" w14:paraId="3390E392" w14:textId="77777777">
        <w:tc>
          <w:tcPr>
            <w:tcW w:w="9360" w:type="dxa"/>
            <w:shd w:val="clear" w:color="auto" w:fill="276FBF"/>
          </w:tcPr>
          <w:p w14:paraId="45BB0A8F" w14:textId="77777777" w:rsidR="00FA345A" w:rsidRDefault="00000000">
            <w:pPr>
              <w:spacing w:before="80" w:after="80"/>
              <w:jc w:val="center"/>
            </w:pPr>
            <w:r>
              <w:rPr>
                <w:b/>
                <w:color w:val="FFFFFF"/>
                <w:sz w:val="26"/>
              </w:rPr>
              <w:t>CurrentPolicy  —  used in BASE / CONSERVATIVE scenarios</w:t>
            </w:r>
          </w:p>
        </w:tc>
      </w:tr>
    </w:tbl>
    <w:p w14:paraId="6E17E98C" w14:textId="77777777" w:rsidR="00FA345A" w:rsidRDefault="00000000">
      <w:pPr>
        <w:spacing w:before="40" w:after="160"/>
      </w:pPr>
      <w:r>
        <w:t>Historical extension rates apply. Roughly 50% of eligible reactors receive one standard extension increment (per country rules). This reflects observed behavior: not all eligible units apply for or receive renewals. For the US, all plants are treated as ExtendedOperations because NRC license renewal data shows virtually all operational plants have already obtained 60-year licenses with SLR applications in progress.</w:t>
      </w:r>
    </w:p>
    <w:tbl>
      <w:tblPr>
        <w:tblW w:w="0" w:type="auto"/>
        <w:tblLook w:val="04A0" w:firstRow="1" w:lastRow="0" w:firstColumn="1" w:lastColumn="0" w:noHBand="0" w:noVBand="1"/>
      </w:tblPr>
      <w:tblGrid>
        <w:gridCol w:w="9360"/>
      </w:tblGrid>
      <w:tr w:rsidR="00FA345A" w14:paraId="6FCD9F0F" w14:textId="77777777">
        <w:tc>
          <w:tcPr>
            <w:tcW w:w="9360" w:type="dxa"/>
            <w:shd w:val="clear" w:color="auto" w:fill="1E8B4C"/>
          </w:tcPr>
          <w:p w14:paraId="26679BB8" w14:textId="77777777" w:rsidR="00FA345A" w:rsidRDefault="00000000">
            <w:pPr>
              <w:spacing w:before="80" w:after="80"/>
              <w:jc w:val="center"/>
            </w:pPr>
            <w:r>
              <w:rPr>
                <w:b/>
                <w:color w:val="FFFFFF"/>
                <w:sz w:val="26"/>
              </w:rPr>
              <w:t>ExtendedOperations  —  used in OPTIMISTIC scenario</w:t>
            </w:r>
          </w:p>
        </w:tc>
      </w:tr>
    </w:tbl>
    <w:p w14:paraId="676C1A0A" w14:textId="77777777" w:rsidR="00FA345A" w:rsidRDefault="00000000">
      <w:pPr>
        <w:spacing w:before="40" w:after="160"/>
      </w:pPr>
      <w:r>
        <w:t>All eligible reactors receive the maximum life extension permitted under current law (e.g., up to 80 years for the US, 60 years for most European units, 60 years for Russian VVERs). Reflects a policy environment that actively incentivises long-term operation — consistent with stated intentions of multiple governments.</w:t>
      </w:r>
    </w:p>
    <w:p w14:paraId="392FF090" w14:textId="77777777" w:rsidR="00FA345A" w:rsidRDefault="00000000">
      <w:pPr>
        <w:spacing w:before="280" w:after="80"/>
      </w:pPr>
      <w:r>
        <w:rPr>
          <w:b/>
          <w:color w:val="1A375E"/>
          <w:sz w:val="30"/>
        </w:rPr>
        <w:t>4.2  US Base Scenario: ExtendedOperations Treatment</w:t>
      </w:r>
    </w:p>
    <w:tbl>
      <w:tblPr>
        <w:tblW w:w="0" w:type="auto"/>
        <w:tblLook w:val="04A0" w:firstRow="1" w:lastRow="0" w:firstColumn="1" w:lastColumn="0" w:noHBand="0" w:noVBand="1"/>
      </w:tblPr>
      <w:tblGrid>
        <w:gridCol w:w="9360"/>
      </w:tblGrid>
      <w:tr w:rsidR="00FA345A" w14:paraId="6C0163C1" w14:textId="77777777">
        <w:tc>
          <w:tcPr>
            <w:tcW w:w="9360" w:type="dxa"/>
            <w:tcBorders>
              <w:left w:val="single" w:sz="18" w:space="0" w:color="C99A00"/>
            </w:tcBorders>
            <w:shd w:val="clear" w:color="auto" w:fill="FFF3CD"/>
            <w:tcMar>
              <w:top w:w="80" w:type="dxa"/>
              <w:left w:w="160" w:type="dxa"/>
              <w:bottom w:w="80" w:type="dxa"/>
              <w:right w:w="160" w:type="dxa"/>
            </w:tcMar>
          </w:tcPr>
          <w:p w14:paraId="7F2C929C" w14:textId="77777777" w:rsidR="00FA345A" w:rsidRDefault="00000000">
            <w:pPr>
              <w:spacing w:before="40" w:after="40"/>
            </w:pPr>
            <w:r>
              <w:rPr>
                <w:b/>
                <w:color w:val="C99A00"/>
              </w:rPr>
              <w:t xml:space="preserve">Key transparency note:  </w:t>
            </w:r>
            <w:r>
              <w:t>In both the Base and Conservative scenarios, the United States fleet is assigned ExtendedOperations even though the global extension policy is CurrentPolicy. This is because NRC license renewal data shows that virtually all currently operating US plants have already obtained 60-year licenses, with subsequent license renewal (SLR) applications filed for 80-year operation. Applying a 50% "CurrentPolicy" haircut to the US fleet would understate actual regulatory approvals already granted. This treatment is documented transparently in the scenario_regional_params table (pipeline_rate_source field).</w:t>
            </w:r>
          </w:p>
        </w:tc>
      </w:tr>
    </w:tbl>
    <w:p w14:paraId="0C5CD156" w14:textId="77777777" w:rsidR="00FA345A" w:rsidRDefault="00FA345A"/>
    <w:p w14:paraId="5FD78B36" w14:textId="77777777" w:rsidR="00FA345A" w:rsidRDefault="00000000">
      <w:pPr>
        <w:spacing w:before="280" w:after="80"/>
      </w:pPr>
      <w:r>
        <w:rPr>
          <w:b/>
          <w:color w:val="1A375E"/>
          <w:sz w:val="30"/>
        </w:rPr>
        <w:t>4.3  Country-Level Retirement Rules</w:t>
      </w:r>
    </w:p>
    <w:p w14:paraId="6B046E95" w14:textId="77777777" w:rsidR="00FA345A" w:rsidRDefault="00000000">
      <w:pPr>
        <w:spacing w:before="80" w:after="80"/>
      </w:pPr>
      <w:r>
        <w:t>The retirement_rules table contains parameters for 30+ countries/regions. Key columns: baseline_license_years (initial operating license), typical_extension_years (standard renewal increment), max_possible_life_years (ceiling under current law), extension_unit_years (granularity of extension steps). Sources are regulatory documents from each national authority.</w:t>
      </w:r>
    </w:p>
    <w:tbl>
      <w:tblPr>
        <w:tblStyle w:val="TableGrid"/>
        <w:tblW w:w="0" w:type="auto"/>
        <w:tblLook w:val="04A0" w:firstRow="1" w:lastRow="0" w:firstColumn="1" w:lastColumn="0" w:noHBand="0" w:noVBand="1"/>
      </w:tblPr>
      <w:tblGrid>
        <w:gridCol w:w="1463"/>
        <w:gridCol w:w="1122"/>
        <w:gridCol w:w="1198"/>
        <w:gridCol w:w="951"/>
        <w:gridCol w:w="1039"/>
        <w:gridCol w:w="3803"/>
      </w:tblGrid>
      <w:tr w:rsidR="00FA345A" w14:paraId="6B5FE1D4" w14:textId="77777777">
        <w:tc>
          <w:tcPr>
            <w:tcW w:w="1656" w:type="dxa"/>
            <w:shd w:val="clear" w:color="auto" w:fill="1A375E"/>
          </w:tcPr>
          <w:p w14:paraId="24132D69" w14:textId="77777777" w:rsidR="00FA345A" w:rsidRDefault="00000000">
            <w:pPr>
              <w:spacing w:before="40" w:after="40"/>
            </w:pPr>
            <w:r>
              <w:rPr>
                <w:b/>
                <w:color w:val="FFFFFF"/>
                <w:sz w:val="16"/>
              </w:rPr>
              <w:t>Country</w:t>
            </w:r>
          </w:p>
        </w:tc>
        <w:tc>
          <w:tcPr>
            <w:tcW w:w="1224" w:type="dxa"/>
            <w:shd w:val="clear" w:color="auto" w:fill="1A375E"/>
          </w:tcPr>
          <w:p w14:paraId="0EC1E28C" w14:textId="77777777" w:rsidR="00FA345A" w:rsidRDefault="00000000">
            <w:pPr>
              <w:spacing w:before="40" w:after="40"/>
            </w:pPr>
            <w:r>
              <w:rPr>
                <w:b/>
                <w:color w:val="FFFFFF"/>
                <w:sz w:val="16"/>
              </w:rPr>
              <w:t>Baseline Licence (yrs)</w:t>
            </w:r>
          </w:p>
        </w:tc>
        <w:tc>
          <w:tcPr>
            <w:tcW w:w="1296" w:type="dxa"/>
            <w:shd w:val="clear" w:color="auto" w:fill="1A375E"/>
          </w:tcPr>
          <w:p w14:paraId="3F1CE0B0" w14:textId="77777777" w:rsidR="00FA345A" w:rsidRDefault="00000000">
            <w:pPr>
              <w:spacing w:before="40" w:after="40"/>
            </w:pPr>
            <w:r>
              <w:rPr>
                <w:b/>
                <w:color w:val="FFFFFF"/>
                <w:sz w:val="16"/>
              </w:rPr>
              <w:t>Extension (yrs)</w:t>
            </w:r>
          </w:p>
        </w:tc>
        <w:tc>
          <w:tcPr>
            <w:tcW w:w="1080" w:type="dxa"/>
            <w:shd w:val="clear" w:color="auto" w:fill="1A375E"/>
          </w:tcPr>
          <w:p w14:paraId="51E492E2" w14:textId="77777777" w:rsidR="00FA345A" w:rsidRDefault="00000000">
            <w:pPr>
              <w:spacing w:before="40" w:after="40"/>
            </w:pPr>
            <w:r>
              <w:rPr>
                <w:b/>
                <w:color w:val="FFFFFF"/>
                <w:sz w:val="16"/>
              </w:rPr>
              <w:t>Max Life (yrs)</w:t>
            </w:r>
          </w:p>
        </w:tc>
        <w:tc>
          <w:tcPr>
            <w:tcW w:w="1080" w:type="dxa"/>
            <w:shd w:val="clear" w:color="auto" w:fill="1A375E"/>
          </w:tcPr>
          <w:p w14:paraId="48E3C4DD" w14:textId="77777777" w:rsidR="00FA345A" w:rsidRDefault="00000000">
            <w:pPr>
              <w:spacing w:before="40" w:after="40"/>
            </w:pPr>
            <w:r>
              <w:rPr>
                <w:b/>
                <w:color w:val="FFFFFF"/>
                <w:sz w:val="16"/>
              </w:rPr>
              <w:t>Increment (yrs)</w:t>
            </w:r>
          </w:p>
        </w:tc>
        <w:tc>
          <w:tcPr>
            <w:tcW w:w="4464" w:type="dxa"/>
            <w:shd w:val="clear" w:color="auto" w:fill="1A375E"/>
          </w:tcPr>
          <w:p w14:paraId="6504272D" w14:textId="77777777" w:rsidR="00FA345A" w:rsidRDefault="00000000">
            <w:pPr>
              <w:spacing w:before="40" w:after="40"/>
            </w:pPr>
            <w:r>
              <w:rPr>
                <w:b/>
                <w:color w:val="FFFFFF"/>
                <w:sz w:val="16"/>
              </w:rPr>
              <w:t>Key Notes</w:t>
            </w:r>
          </w:p>
        </w:tc>
      </w:tr>
      <w:tr w:rsidR="00FA345A" w14:paraId="327888CD" w14:textId="77777777">
        <w:tc>
          <w:tcPr>
            <w:tcW w:w="1656" w:type="dxa"/>
            <w:shd w:val="clear" w:color="auto" w:fill="F2F7FD"/>
          </w:tcPr>
          <w:p w14:paraId="58678537" w14:textId="77777777" w:rsidR="00FA345A" w:rsidRDefault="00000000">
            <w:pPr>
              <w:spacing w:before="40" w:after="40"/>
            </w:pPr>
            <w:r>
              <w:rPr>
                <w:sz w:val="16"/>
              </w:rPr>
              <w:lastRenderedPageBreak/>
              <w:t>United States</w:t>
            </w:r>
          </w:p>
        </w:tc>
        <w:tc>
          <w:tcPr>
            <w:tcW w:w="1224" w:type="dxa"/>
            <w:shd w:val="clear" w:color="auto" w:fill="F2F7FD"/>
          </w:tcPr>
          <w:p w14:paraId="166E6AEC" w14:textId="77777777" w:rsidR="00FA345A" w:rsidRDefault="00000000">
            <w:pPr>
              <w:spacing w:before="40" w:after="40"/>
            </w:pPr>
            <w:r>
              <w:rPr>
                <w:sz w:val="16"/>
              </w:rPr>
              <w:t>40</w:t>
            </w:r>
          </w:p>
        </w:tc>
        <w:tc>
          <w:tcPr>
            <w:tcW w:w="1296" w:type="dxa"/>
            <w:shd w:val="clear" w:color="auto" w:fill="F2F7FD"/>
          </w:tcPr>
          <w:p w14:paraId="25088E57" w14:textId="77777777" w:rsidR="00FA345A" w:rsidRDefault="00000000">
            <w:pPr>
              <w:spacing w:before="40" w:after="40"/>
            </w:pPr>
            <w:r>
              <w:rPr>
                <w:sz w:val="16"/>
              </w:rPr>
              <w:t>20 (×2 possible)</w:t>
            </w:r>
          </w:p>
        </w:tc>
        <w:tc>
          <w:tcPr>
            <w:tcW w:w="1080" w:type="dxa"/>
            <w:shd w:val="clear" w:color="auto" w:fill="F2F7FD"/>
          </w:tcPr>
          <w:p w14:paraId="544978B2" w14:textId="77777777" w:rsidR="00FA345A" w:rsidRDefault="00000000">
            <w:pPr>
              <w:spacing w:before="40" w:after="40"/>
            </w:pPr>
            <w:r>
              <w:rPr>
                <w:sz w:val="16"/>
              </w:rPr>
              <w:t>80</w:t>
            </w:r>
          </w:p>
        </w:tc>
        <w:tc>
          <w:tcPr>
            <w:tcW w:w="1080" w:type="dxa"/>
            <w:shd w:val="clear" w:color="auto" w:fill="F2F7FD"/>
          </w:tcPr>
          <w:p w14:paraId="21A81D62" w14:textId="77777777" w:rsidR="00FA345A" w:rsidRDefault="00000000">
            <w:pPr>
              <w:spacing w:before="40" w:after="40"/>
            </w:pPr>
            <w:r>
              <w:rPr>
                <w:sz w:val="16"/>
              </w:rPr>
              <w:t>20</w:t>
            </w:r>
          </w:p>
        </w:tc>
        <w:tc>
          <w:tcPr>
            <w:tcW w:w="4464" w:type="dxa"/>
            <w:shd w:val="clear" w:color="auto" w:fill="F2F7FD"/>
          </w:tcPr>
          <w:p w14:paraId="497BEE7A" w14:textId="77777777" w:rsidR="00FA345A" w:rsidRDefault="00000000">
            <w:pPr>
              <w:spacing w:before="40" w:after="40"/>
            </w:pPr>
            <w:r>
              <w:rPr>
                <w:sz w:val="16"/>
              </w:rPr>
              <w:t>NRC 10 CFR 54; SLR in progress for most plants</w:t>
            </w:r>
          </w:p>
        </w:tc>
      </w:tr>
      <w:tr w:rsidR="00FA345A" w14:paraId="3EBEB668" w14:textId="77777777">
        <w:tc>
          <w:tcPr>
            <w:tcW w:w="1656" w:type="dxa"/>
            <w:shd w:val="clear" w:color="auto" w:fill="FFFFFF"/>
          </w:tcPr>
          <w:p w14:paraId="5524E914" w14:textId="77777777" w:rsidR="00FA345A" w:rsidRDefault="00000000">
            <w:pPr>
              <w:spacing w:before="40" w:after="40"/>
            </w:pPr>
            <w:r>
              <w:rPr>
                <w:sz w:val="16"/>
              </w:rPr>
              <w:t>France</w:t>
            </w:r>
          </w:p>
        </w:tc>
        <w:tc>
          <w:tcPr>
            <w:tcW w:w="1224" w:type="dxa"/>
            <w:shd w:val="clear" w:color="auto" w:fill="FFFFFF"/>
          </w:tcPr>
          <w:p w14:paraId="040E7E7C" w14:textId="77777777" w:rsidR="00FA345A" w:rsidRDefault="00000000">
            <w:pPr>
              <w:spacing w:before="40" w:after="40"/>
            </w:pPr>
            <w:r>
              <w:rPr>
                <w:sz w:val="16"/>
              </w:rPr>
              <w:t>40</w:t>
            </w:r>
          </w:p>
        </w:tc>
        <w:tc>
          <w:tcPr>
            <w:tcW w:w="1296" w:type="dxa"/>
            <w:shd w:val="clear" w:color="auto" w:fill="FFFFFF"/>
          </w:tcPr>
          <w:p w14:paraId="3B1702D6" w14:textId="77777777" w:rsidR="00FA345A" w:rsidRDefault="00000000">
            <w:pPr>
              <w:spacing w:before="40" w:after="40"/>
            </w:pPr>
            <w:r>
              <w:rPr>
                <w:sz w:val="16"/>
              </w:rPr>
              <w:t>10 (periodic)</w:t>
            </w:r>
          </w:p>
        </w:tc>
        <w:tc>
          <w:tcPr>
            <w:tcW w:w="1080" w:type="dxa"/>
            <w:shd w:val="clear" w:color="auto" w:fill="FFFFFF"/>
          </w:tcPr>
          <w:p w14:paraId="7CD49086" w14:textId="77777777" w:rsidR="00FA345A" w:rsidRDefault="00000000">
            <w:pPr>
              <w:spacing w:before="40" w:after="40"/>
            </w:pPr>
            <w:r>
              <w:rPr>
                <w:sz w:val="16"/>
              </w:rPr>
              <w:t>60</w:t>
            </w:r>
          </w:p>
        </w:tc>
        <w:tc>
          <w:tcPr>
            <w:tcW w:w="1080" w:type="dxa"/>
            <w:shd w:val="clear" w:color="auto" w:fill="FFFFFF"/>
          </w:tcPr>
          <w:p w14:paraId="01B95B25" w14:textId="77777777" w:rsidR="00FA345A" w:rsidRDefault="00000000">
            <w:pPr>
              <w:spacing w:before="40" w:after="40"/>
            </w:pPr>
            <w:r>
              <w:rPr>
                <w:sz w:val="16"/>
              </w:rPr>
              <w:t>10</w:t>
            </w:r>
          </w:p>
        </w:tc>
        <w:tc>
          <w:tcPr>
            <w:tcW w:w="4464" w:type="dxa"/>
            <w:shd w:val="clear" w:color="auto" w:fill="FFFFFF"/>
          </w:tcPr>
          <w:p w14:paraId="3EEA54A9" w14:textId="77777777" w:rsidR="00FA345A" w:rsidRDefault="00000000">
            <w:pPr>
              <w:spacing w:before="40" w:after="40"/>
            </w:pPr>
            <w:r>
              <w:rPr>
                <w:sz w:val="16"/>
              </w:rPr>
              <w:t>ASN 10-year safety reviews; 60yr under exploration</w:t>
            </w:r>
          </w:p>
        </w:tc>
      </w:tr>
      <w:tr w:rsidR="00FA345A" w14:paraId="67624670" w14:textId="77777777">
        <w:tc>
          <w:tcPr>
            <w:tcW w:w="1656" w:type="dxa"/>
            <w:shd w:val="clear" w:color="auto" w:fill="F2F7FD"/>
          </w:tcPr>
          <w:p w14:paraId="35688A8D" w14:textId="77777777" w:rsidR="00FA345A" w:rsidRDefault="00000000">
            <w:pPr>
              <w:spacing w:before="40" w:after="40"/>
            </w:pPr>
            <w:r>
              <w:rPr>
                <w:sz w:val="16"/>
              </w:rPr>
              <w:t>China</w:t>
            </w:r>
          </w:p>
        </w:tc>
        <w:tc>
          <w:tcPr>
            <w:tcW w:w="1224" w:type="dxa"/>
            <w:shd w:val="clear" w:color="auto" w:fill="F2F7FD"/>
          </w:tcPr>
          <w:p w14:paraId="069803BD" w14:textId="77777777" w:rsidR="00FA345A" w:rsidRDefault="00000000">
            <w:pPr>
              <w:spacing w:before="40" w:after="40"/>
            </w:pPr>
            <w:r>
              <w:rPr>
                <w:sz w:val="16"/>
              </w:rPr>
              <w:t>40</w:t>
            </w:r>
          </w:p>
        </w:tc>
        <w:tc>
          <w:tcPr>
            <w:tcW w:w="1296" w:type="dxa"/>
            <w:shd w:val="clear" w:color="auto" w:fill="F2F7FD"/>
          </w:tcPr>
          <w:p w14:paraId="10D42C33" w14:textId="77777777" w:rsidR="00FA345A" w:rsidRDefault="00000000">
            <w:pPr>
              <w:spacing w:before="40" w:after="40"/>
            </w:pPr>
            <w:r>
              <w:rPr>
                <w:sz w:val="16"/>
              </w:rPr>
              <w:t>0 (not routine)</w:t>
            </w:r>
          </w:p>
        </w:tc>
        <w:tc>
          <w:tcPr>
            <w:tcW w:w="1080" w:type="dxa"/>
            <w:shd w:val="clear" w:color="auto" w:fill="F2F7FD"/>
          </w:tcPr>
          <w:p w14:paraId="36B05F65" w14:textId="77777777" w:rsidR="00FA345A" w:rsidRDefault="00000000">
            <w:pPr>
              <w:spacing w:before="40" w:after="40"/>
            </w:pPr>
            <w:r>
              <w:rPr>
                <w:sz w:val="16"/>
              </w:rPr>
              <w:t>50</w:t>
            </w:r>
          </w:p>
        </w:tc>
        <w:tc>
          <w:tcPr>
            <w:tcW w:w="1080" w:type="dxa"/>
            <w:shd w:val="clear" w:color="auto" w:fill="F2F7FD"/>
          </w:tcPr>
          <w:p w14:paraId="27486861" w14:textId="77777777" w:rsidR="00FA345A" w:rsidRDefault="00000000">
            <w:pPr>
              <w:spacing w:before="40" w:after="40"/>
            </w:pPr>
            <w:r>
              <w:rPr>
                <w:sz w:val="16"/>
              </w:rPr>
              <w:t>10</w:t>
            </w:r>
          </w:p>
        </w:tc>
        <w:tc>
          <w:tcPr>
            <w:tcW w:w="4464" w:type="dxa"/>
            <w:shd w:val="clear" w:color="auto" w:fill="F2F7FD"/>
          </w:tcPr>
          <w:p w14:paraId="1FD91E0B" w14:textId="77777777" w:rsidR="00FA345A" w:rsidRDefault="00000000">
            <w:pPr>
              <w:spacing w:before="40" w:after="40"/>
            </w:pPr>
            <w:r>
              <w:rPr>
                <w:sz w:val="16"/>
              </w:rPr>
              <w:t>40yr design life; extensions not yet standard; young fleet</w:t>
            </w:r>
          </w:p>
        </w:tc>
      </w:tr>
      <w:tr w:rsidR="00FA345A" w14:paraId="08CA6B0E" w14:textId="77777777">
        <w:tc>
          <w:tcPr>
            <w:tcW w:w="1656" w:type="dxa"/>
            <w:shd w:val="clear" w:color="auto" w:fill="FFFFFF"/>
          </w:tcPr>
          <w:p w14:paraId="40352A9A" w14:textId="77777777" w:rsidR="00FA345A" w:rsidRDefault="00000000">
            <w:pPr>
              <w:spacing w:before="40" w:after="40"/>
            </w:pPr>
            <w:r>
              <w:rPr>
                <w:sz w:val="16"/>
              </w:rPr>
              <w:t>Russia</w:t>
            </w:r>
          </w:p>
        </w:tc>
        <w:tc>
          <w:tcPr>
            <w:tcW w:w="1224" w:type="dxa"/>
            <w:shd w:val="clear" w:color="auto" w:fill="FFFFFF"/>
          </w:tcPr>
          <w:p w14:paraId="52B02FB5" w14:textId="77777777" w:rsidR="00FA345A" w:rsidRDefault="00000000">
            <w:pPr>
              <w:spacing w:before="40" w:after="40"/>
            </w:pPr>
            <w:r>
              <w:rPr>
                <w:sz w:val="16"/>
              </w:rPr>
              <w:t>30</w:t>
            </w:r>
          </w:p>
        </w:tc>
        <w:tc>
          <w:tcPr>
            <w:tcW w:w="1296" w:type="dxa"/>
            <w:shd w:val="clear" w:color="auto" w:fill="FFFFFF"/>
          </w:tcPr>
          <w:p w14:paraId="4C2323D2" w14:textId="77777777" w:rsidR="00FA345A" w:rsidRDefault="00000000">
            <w:pPr>
              <w:spacing w:before="40" w:after="40"/>
            </w:pPr>
            <w:r>
              <w:rPr>
                <w:sz w:val="16"/>
              </w:rPr>
              <w:t>15</w:t>
            </w:r>
          </w:p>
        </w:tc>
        <w:tc>
          <w:tcPr>
            <w:tcW w:w="1080" w:type="dxa"/>
            <w:shd w:val="clear" w:color="auto" w:fill="FFFFFF"/>
          </w:tcPr>
          <w:p w14:paraId="7B220CCC" w14:textId="77777777" w:rsidR="00FA345A" w:rsidRDefault="00000000">
            <w:pPr>
              <w:spacing w:before="40" w:after="40"/>
            </w:pPr>
            <w:r>
              <w:rPr>
                <w:sz w:val="16"/>
              </w:rPr>
              <w:t>60</w:t>
            </w:r>
          </w:p>
        </w:tc>
        <w:tc>
          <w:tcPr>
            <w:tcW w:w="1080" w:type="dxa"/>
            <w:shd w:val="clear" w:color="auto" w:fill="FFFFFF"/>
          </w:tcPr>
          <w:p w14:paraId="6451E252" w14:textId="77777777" w:rsidR="00FA345A" w:rsidRDefault="00000000">
            <w:pPr>
              <w:spacing w:before="40" w:after="40"/>
            </w:pPr>
            <w:r>
              <w:rPr>
                <w:sz w:val="16"/>
              </w:rPr>
              <w:t>15</w:t>
            </w:r>
          </w:p>
        </w:tc>
        <w:tc>
          <w:tcPr>
            <w:tcW w:w="4464" w:type="dxa"/>
            <w:shd w:val="clear" w:color="auto" w:fill="FFFFFF"/>
          </w:tcPr>
          <w:p w14:paraId="34645981" w14:textId="77777777" w:rsidR="00FA345A" w:rsidRDefault="00000000">
            <w:pPr>
              <w:spacing w:before="40" w:after="40"/>
            </w:pPr>
            <w:r>
              <w:rPr>
                <w:sz w:val="16"/>
              </w:rPr>
              <w:t>Rosatom 30yr initial + 15yr extensions; 60yr target</w:t>
            </w:r>
          </w:p>
        </w:tc>
      </w:tr>
      <w:tr w:rsidR="00FA345A" w14:paraId="480F2B57" w14:textId="77777777">
        <w:tc>
          <w:tcPr>
            <w:tcW w:w="1656" w:type="dxa"/>
            <w:shd w:val="clear" w:color="auto" w:fill="F2F7FD"/>
          </w:tcPr>
          <w:p w14:paraId="5879AC9C" w14:textId="77777777" w:rsidR="00FA345A" w:rsidRDefault="00000000">
            <w:pPr>
              <w:spacing w:before="40" w:after="40"/>
            </w:pPr>
            <w:r>
              <w:rPr>
                <w:sz w:val="16"/>
              </w:rPr>
              <w:t>Japan</w:t>
            </w:r>
          </w:p>
        </w:tc>
        <w:tc>
          <w:tcPr>
            <w:tcW w:w="1224" w:type="dxa"/>
            <w:shd w:val="clear" w:color="auto" w:fill="F2F7FD"/>
          </w:tcPr>
          <w:p w14:paraId="4EDFC32C" w14:textId="77777777" w:rsidR="00FA345A" w:rsidRDefault="00000000">
            <w:pPr>
              <w:spacing w:before="40" w:after="40"/>
            </w:pPr>
            <w:r>
              <w:rPr>
                <w:sz w:val="16"/>
              </w:rPr>
              <w:t>40</w:t>
            </w:r>
          </w:p>
        </w:tc>
        <w:tc>
          <w:tcPr>
            <w:tcW w:w="1296" w:type="dxa"/>
            <w:shd w:val="clear" w:color="auto" w:fill="F2F7FD"/>
          </w:tcPr>
          <w:p w14:paraId="794F5B67" w14:textId="77777777" w:rsidR="00FA345A" w:rsidRDefault="00000000">
            <w:pPr>
              <w:spacing w:before="40" w:after="40"/>
            </w:pPr>
            <w:r>
              <w:rPr>
                <w:sz w:val="16"/>
              </w:rPr>
              <w:t>20</w:t>
            </w:r>
          </w:p>
        </w:tc>
        <w:tc>
          <w:tcPr>
            <w:tcW w:w="1080" w:type="dxa"/>
            <w:shd w:val="clear" w:color="auto" w:fill="F2F7FD"/>
          </w:tcPr>
          <w:p w14:paraId="74727840" w14:textId="77777777" w:rsidR="00FA345A" w:rsidRDefault="00000000">
            <w:pPr>
              <w:spacing w:before="40" w:after="40"/>
            </w:pPr>
            <w:r>
              <w:rPr>
                <w:sz w:val="16"/>
              </w:rPr>
              <w:t>80</w:t>
            </w:r>
          </w:p>
        </w:tc>
        <w:tc>
          <w:tcPr>
            <w:tcW w:w="1080" w:type="dxa"/>
            <w:shd w:val="clear" w:color="auto" w:fill="F2F7FD"/>
          </w:tcPr>
          <w:p w14:paraId="667C166D" w14:textId="77777777" w:rsidR="00FA345A" w:rsidRDefault="00000000">
            <w:pPr>
              <w:spacing w:before="40" w:after="40"/>
            </w:pPr>
            <w:r>
              <w:rPr>
                <w:sz w:val="16"/>
              </w:rPr>
              <w:t>20</w:t>
            </w:r>
          </w:p>
        </w:tc>
        <w:tc>
          <w:tcPr>
            <w:tcW w:w="4464" w:type="dxa"/>
            <w:shd w:val="clear" w:color="auto" w:fill="F2F7FD"/>
          </w:tcPr>
          <w:p w14:paraId="41753215" w14:textId="77777777" w:rsidR="00FA345A" w:rsidRDefault="00000000">
            <w:pPr>
              <w:spacing w:before="40" w:after="40"/>
            </w:pPr>
            <w:r>
              <w:rPr>
                <w:sz w:val="16"/>
              </w:rPr>
              <w:t>NRA post-Fukushima 40yr default; 2023 law allows beyond 60yr</w:t>
            </w:r>
          </w:p>
        </w:tc>
      </w:tr>
      <w:tr w:rsidR="00FA345A" w14:paraId="39827F54" w14:textId="77777777">
        <w:tc>
          <w:tcPr>
            <w:tcW w:w="1656" w:type="dxa"/>
            <w:shd w:val="clear" w:color="auto" w:fill="FFFFFF"/>
          </w:tcPr>
          <w:p w14:paraId="08FE8F09" w14:textId="77777777" w:rsidR="00FA345A" w:rsidRDefault="00000000">
            <w:pPr>
              <w:spacing w:before="40" w:after="40"/>
            </w:pPr>
            <w:r>
              <w:rPr>
                <w:sz w:val="16"/>
              </w:rPr>
              <w:t>South Korea</w:t>
            </w:r>
          </w:p>
        </w:tc>
        <w:tc>
          <w:tcPr>
            <w:tcW w:w="1224" w:type="dxa"/>
            <w:shd w:val="clear" w:color="auto" w:fill="FFFFFF"/>
          </w:tcPr>
          <w:p w14:paraId="28C20B5C" w14:textId="77777777" w:rsidR="00FA345A" w:rsidRDefault="00000000">
            <w:pPr>
              <w:spacing w:before="40" w:after="40"/>
            </w:pPr>
            <w:r>
              <w:rPr>
                <w:sz w:val="16"/>
              </w:rPr>
              <w:t>40</w:t>
            </w:r>
          </w:p>
        </w:tc>
        <w:tc>
          <w:tcPr>
            <w:tcW w:w="1296" w:type="dxa"/>
            <w:shd w:val="clear" w:color="auto" w:fill="FFFFFF"/>
          </w:tcPr>
          <w:p w14:paraId="373AA004" w14:textId="77777777" w:rsidR="00FA345A" w:rsidRDefault="00000000">
            <w:pPr>
              <w:spacing w:before="40" w:after="40"/>
            </w:pPr>
            <w:r>
              <w:rPr>
                <w:sz w:val="16"/>
              </w:rPr>
              <w:t>20</w:t>
            </w:r>
          </w:p>
        </w:tc>
        <w:tc>
          <w:tcPr>
            <w:tcW w:w="1080" w:type="dxa"/>
            <w:shd w:val="clear" w:color="auto" w:fill="FFFFFF"/>
          </w:tcPr>
          <w:p w14:paraId="5F1979E4" w14:textId="77777777" w:rsidR="00FA345A" w:rsidRDefault="00000000">
            <w:pPr>
              <w:spacing w:before="40" w:after="40"/>
            </w:pPr>
            <w:r>
              <w:rPr>
                <w:sz w:val="16"/>
              </w:rPr>
              <w:t>60</w:t>
            </w:r>
          </w:p>
        </w:tc>
        <w:tc>
          <w:tcPr>
            <w:tcW w:w="1080" w:type="dxa"/>
            <w:shd w:val="clear" w:color="auto" w:fill="FFFFFF"/>
          </w:tcPr>
          <w:p w14:paraId="6F6601C2" w14:textId="77777777" w:rsidR="00FA345A" w:rsidRDefault="00000000">
            <w:pPr>
              <w:spacing w:before="40" w:after="40"/>
            </w:pPr>
            <w:r>
              <w:rPr>
                <w:sz w:val="16"/>
              </w:rPr>
              <w:t>20</w:t>
            </w:r>
          </w:p>
        </w:tc>
        <w:tc>
          <w:tcPr>
            <w:tcW w:w="4464" w:type="dxa"/>
            <w:shd w:val="clear" w:color="auto" w:fill="FFFFFF"/>
          </w:tcPr>
          <w:p w14:paraId="375E58D4" w14:textId="77777777" w:rsidR="00FA345A" w:rsidRDefault="00000000">
            <w:pPr>
              <w:spacing w:before="40" w:after="40"/>
            </w:pPr>
            <w:r>
              <w:rPr>
                <w:sz w:val="16"/>
              </w:rPr>
              <w:t>NSSC 40yr initial; case-by-case extensions</w:t>
            </w:r>
          </w:p>
        </w:tc>
      </w:tr>
      <w:tr w:rsidR="00FA345A" w14:paraId="4D7A0884" w14:textId="77777777">
        <w:tc>
          <w:tcPr>
            <w:tcW w:w="1656" w:type="dxa"/>
            <w:shd w:val="clear" w:color="auto" w:fill="F2F7FD"/>
          </w:tcPr>
          <w:p w14:paraId="5E5B89D6" w14:textId="77777777" w:rsidR="00FA345A" w:rsidRDefault="00000000">
            <w:pPr>
              <w:spacing w:before="40" w:after="40"/>
            </w:pPr>
            <w:r>
              <w:rPr>
                <w:sz w:val="16"/>
              </w:rPr>
              <w:t>United Kingdom</w:t>
            </w:r>
          </w:p>
        </w:tc>
        <w:tc>
          <w:tcPr>
            <w:tcW w:w="1224" w:type="dxa"/>
            <w:shd w:val="clear" w:color="auto" w:fill="F2F7FD"/>
          </w:tcPr>
          <w:p w14:paraId="78C3CC27" w14:textId="77777777" w:rsidR="00FA345A" w:rsidRDefault="00000000">
            <w:pPr>
              <w:spacing w:before="40" w:after="40"/>
            </w:pPr>
            <w:r>
              <w:rPr>
                <w:sz w:val="16"/>
              </w:rPr>
              <w:t>35</w:t>
            </w:r>
          </w:p>
        </w:tc>
        <w:tc>
          <w:tcPr>
            <w:tcW w:w="1296" w:type="dxa"/>
            <w:shd w:val="clear" w:color="auto" w:fill="F2F7FD"/>
          </w:tcPr>
          <w:p w14:paraId="0A7BE636" w14:textId="77777777" w:rsidR="00FA345A" w:rsidRDefault="00000000">
            <w:pPr>
              <w:spacing w:before="40" w:after="40"/>
            </w:pPr>
            <w:r>
              <w:rPr>
                <w:sz w:val="16"/>
              </w:rPr>
              <w:t>10</w:t>
            </w:r>
          </w:p>
        </w:tc>
        <w:tc>
          <w:tcPr>
            <w:tcW w:w="1080" w:type="dxa"/>
            <w:shd w:val="clear" w:color="auto" w:fill="F2F7FD"/>
          </w:tcPr>
          <w:p w14:paraId="4E3B6AA0" w14:textId="77777777" w:rsidR="00FA345A" w:rsidRDefault="00000000">
            <w:pPr>
              <w:spacing w:before="40" w:after="40"/>
            </w:pPr>
            <w:r>
              <w:rPr>
                <w:sz w:val="16"/>
              </w:rPr>
              <w:t>55</w:t>
            </w:r>
          </w:p>
        </w:tc>
        <w:tc>
          <w:tcPr>
            <w:tcW w:w="1080" w:type="dxa"/>
            <w:shd w:val="clear" w:color="auto" w:fill="F2F7FD"/>
          </w:tcPr>
          <w:p w14:paraId="58766121" w14:textId="77777777" w:rsidR="00FA345A" w:rsidRDefault="00000000">
            <w:pPr>
              <w:spacing w:before="40" w:after="40"/>
            </w:pPr>
            <w:r>
              <w:rPr>
                <w:sz w:val="16"/>
              </w:rPr>
              <w:t>10</w:t>
            </w:r>
          </w:p>
        </w:tc>
        <w:tc>
          <w:tcPr>
            <w:tcW w:w="4464" w:type="dxa"/>
            <w:shd w:val="clear" w:color="auto" w:fill="F2F7FD"/>
          </w:tcPr>
          <w:p w14:paraId="50790322" w14:textId="77777777" w:rsidR="00FA345A" w:rsidRDefault="00000000">
            <w:pPr>
              <w:spacing w:before="40" w:after="40"/>
            </w:pPr>
            <w:r>
              <w:rPr>
                <w:sz w:val="16"/>
              </w:rPr>
              <w:t>ONR lifecycle license; ~40-50yr typical</w:t>
            </w:r>
          </w:p>
        </w:tc>
      </w:tr>
      <w:tr w:rsidR="00FA345A" w14:paraId="2BBBF91E" w14:textId="77777777">
        <w:tc>
          <w:tcPr>
            <w:tcW w:w="1656" w:type="dxa"/>
            <w:shd w:val="clear" w:color="auto" w:fill="FFFFFF"/>
          </w:tcPr>
          <w:p w14:paraId="5DA58FA3" w14:textId="77777777" w:rsidR="00FA345A" w:rsidRDefault="00000000">
            <w:pPr>
              <w:spacing w:before="40" w:after="40"/>
            </w:pPr>
            <w:r>
              <w:rPr>
                <w:sz w:val="16"/>
              </w:rPr>
              <w:t>Canada</w:t>
            </w:r>
          </w:p>
        </w:tc>
        <w:tc>
          <w:tcPr>
            <w:tcW w:w="1224" w:type="dxa"/>
            <w:shd w:val="clear" w:color="auto" w:fill="FFFFFF"/>
          </w:tcPr>
          <w:p w14:paraId="33843855" w14:textId="77777777" w:rsidR="00FA345A" w:rsidRDefault="00000000">
            <w:pPr>
              <w:spacing w:before="40" w:after="40"/>
            </w:pPr>
            <w:r>
              <w:rPr>
                <w:sz w:val="16"/>
              </w:rPr>
              <w:t>30</w:t>
            </w:r>
          </w:p>
        </w:tc>
        <w:tc>
          <w:tcPr>
            <w:tcW w:w="1296" w:type="dxa"/>
            <w:shd w:val="clear" w:color="auto" w:fill="FFFFFF"/>
          </w:tcPr>
          <w:p w14:paraId="7271DFBB" w14:textId="77777777" w:rsidR="00FA345A" w:rsidRDefault="00000000">
            <w:pPr>
              <w:spacing w:before="40" w:after="40"/>
            </w:pPr>
            <w:r>
              <w:rPr>
                <w:sz w:val="16"/>
              </w:rPr>
              <w:t>30</w:t>
            </w:r>
          </w:p>
        </w:tc>
        <w:tc>
          <w:tcPr>
            <w:tcW w:w="1080" w:type="dxa"/>
            <w:shd w:val="clear" w:color="auto" w:fill="FFFFFF"/>
          </w:tcPr>
          <w:p w14:paraId="15A0F462" w14:textId="77777777" w:rsidR="00FA345A" w:rsidRDefault="00000000">
            <w:pPr>
              <w:spacing w:before="40" w:after="40"/>
            </w:pPr>
            <w:r>
              <w:rPr>
                <w:sz w:val="16"/>
              </w:rPr>
              <w:t>60</w:t>
            </w:r>
          </w:p>
        </w:tc>
        <w:tc>
          <w:tcPr>
            <w:tcW w:w="1080" w:type="dxa"/>
            <w:shd w:val="clear" w:color="auto" w:fill="FFFFFF"/>
          </w:tcPr>
          <w:p w14:paraId="5ACC1935" w14:textId="77777777" w:rsidR="00FA345A" w:rsidRDefault="00000000">
            <w:pPr>
              <w:spacing w:before="40" w:after="40"/>
            </w:pPr>
            <w:r>
              <w:rPr>
                <w:sz w:val="16"/>
              </w:rPr>
              <w:t>10</w:t>
            </w:r>
          </w:p>
        </w:tc>
        <w:tc>
          <w:tcPr>
            <w:tcW w:w="4464" w:type="dxa"/>
            <w:shd w:val="clear" w:color="auto" w:fill="FFFFFF"/>
          </w:tcPr>
          <w:p w14:paraId="62EFFCA4" w14:textId="77777777" w:rsidR="00FA345A" w:rsidRDefault="00000000">
            <w:pPr>
              <w:spacing w:before="40" w:after="40"/>
            </w:pPr>
            <w:r>
              <w:rPr>
                <w:sz w:val="16"/>
              </w:rPr>
              <w:t>~30yr initial; CANDU refurbishment adds ~30yr</w:t>
            </w:r>
          </w:p>
        </w:tc>
      </w:tr>
      <w:tr w:rsidR="00FA345A" w14:paraId="1E94F491" w14:textId="77777777">
        <w:tc>
          <w:tcPr>
            <w:tcW w:w="1656" w:type="dxa"/>
            <w:shd w:val="clear" w:color="auto" w:fill="F2F7FD"/>
          </w:tcPr>
          <w:p w14:paraId="6550D00F" w14:textId="77777777" w:rsidR="00FA345A" w:rsidRDefault="00000000">
            <w:pPr>
              <w:spacing w:before="40" w:after="40"/>
            </w:pPr>
            <w:r>
              <w:rPr>
                <w:sz w:val="16"/>
              </w:rPr>
              <w:t>Germany</w:t>
            </w:r>
          </w:p>
        </w:tc>
        <w:tc>
          <w:tcPr>
            <w:tcW w:w="1224" w:type="dxa"/>
            <w:shd w:val="clear" w:color="auto" w:fill="F2F7FD"/>
          </w:tcPr>
          <w:p w14:paraId="684AB952" w14:textId="77777777" w:rsidR="00FA345A" w:rsidRDefault="00000000">
            <w:pPr>
              <w:spacing w:before="40" w:after="40"/>
            </w:pPr>
            <w:r>
              <w:rPr>
                <w:sz w:val="16"/>
              </w:rPr>
              <w:t>—</w:t>
            </w:r>
          </w:p>
        </w:tc>
        <w:tc>
          <w:tcPr>
            <w:tcW w:w="1296" w:type="dxa"/>
            <w:shd w:val="clear" w:color="auto" w:fill="F2F7FD"/>
          </w:tcPr>
          <w:p w14:paraId="15B471E2" w14:textId="77777777" w:rsidR="00FA345A" w:rsidRDefault="00000000">
            <w:pPr>
              <w:spacing w:before="40" w:after="40"/>
            </w:pPr>
            <w:r>
              <w:rPr>
                <w:sz w:val="16"/>
              </w:rPr>
              <w:t>0 (phased out)</w:t>
            </w:r>
          </w:p>
        </w:tc>
        <w:tc>
          <w:tcPr>
            <w:tcW w:w="1080" w:type="dxa"/>
            <w:shd w:val="clear" w:color="auto" w:fill="F2F7FD"/>
          </w:tcPr>
          <w:p w14:paraId="46819E94" w14:textId="77777777" w:rsidR="00FA345A" w:rsidRDefault="00000000">
            <w:pPr>
              <w:spacing w:before="40" w:after="40"/>
            </w:pPr>
            <w:r>
              <w:rPr>
                <w:sz w:val="16"/>
              </w:rPr>
              <w:t>—</w:t>
            </w:r>
          </w:p>
        </w:tc>
        <w:tc>
          <w:tcPr>
            <w:tcW w:w="1080" w:type="dxa"/>
            <w:shd w:val="clear" w:color="auto" w:fill="F2F7FD"/>
          </w:tcPr>
          <w:p w14:paraId="75AD656F" w14:textId="77777777" w:rsidR="00FA345A" w:rsidRDefault="00000000">
            <w:pPr>
              <w:spacing w:before="40" w:after="40"/>
            </w:pPr>
            <w:r>
              <w:rPr>
                <w:sz w:val="16"/>
              </w:rPr>
              <w:t>—</w:t>
            </w:r>
          </w:p>
        </w:tc>
        <w:tc>
          <w:tcPr>
            <w:tcW w:w="4464" w:type="dxa"/>
            <w:shd w:val="clear" w:color="auto" w:fill="F2F7FD"/>
          </w:tcPr>
          <w:p w14:paraId="18195314" w14:textId="77777777" w:rsidR="00FA345A" w:rsidRDefault="00000000">
            <w:pPr>
              <w:spacing w:before="40" w:after="40"/>
            </w:pPr>
            <w:r>
              <w:rPr>
                <w:sz w:val="16"/>
              </w:rPr>
              <w:t>Phase-out completed April 2023; no extensions</w:t>
            </w:r>
          </w:p>
        </w:tc>
      </w:tr>
      <w:tr w:rsidR="00FA345A" w14:paraId="10437E8A" w14:textId="77777777">
        <w:tc>
          <w:tcPr>
            <w:tcW w:w="1656" w:type="dxa"/>
            <w:shd w:val="clear" w:color="auto" w:fill="FFFFFF"/>
          </w:tcPr>
          <w:p w14:paraId="53773165" w14:textId="77777777" w:rsidR="00FA345A" w:rsidRDefault="00000000">
            <w:pPr>
              <w:spacing w:before="40" w:after="40"/>
            </w:pPr>
            <w:r>
              <w:rPr>
                <w:sz w:val="16"/>
              </w:rPr>
              <w:t>Sweden</w:t>
            </w:r>
          </w:p>
        </w:tc>
        <w:tc>
          <w:tcPr>
            <w:tcW w:w="1224" w:type="dxa"/>
            <w:shd w:val="clear" w:color="auto" w:fill="FFFFFF"/>
          </w:tcPr>
          <w:p w14:paraId="1EAEDDEA" w14:textId="77777777" w:rsidR="00FA345A" w:rsidRDefault="00000000">
            <w:pPr>
              <w:spacing w:before="40" w:after="40"/>
            </w:pPr>
            <w:r>
              <w:rPr>
                <w:sz w:val="16"/>
              </w:rPr>
              <w:t>40</w:t>
            </w:r>
          </w:p>
        </w:tc>
        <w:tc>
          <w:tcPr>
            <w:tcW w:w="1296" w:type="dxa"/>
            <w:shd w:val="clear" w:color="auto" w:fill="FFFFFF"/>
          </w:tcPr>
          <w:p w14:paraId="358414E7" w14:textId="77777777" w:rsidR="00FA345A" w:rsidRDefault="00000000">
            <w:pPr>
              <w:spacing w:before="40" w:after="40"/>
            </w:pPr>
            <w:r>
              <w:rPr>
                <w:sz w:val="16"/>
              </w:rPr>
              <w:t>20</w:t>
            </w:r>
          </w:p>
        </w:tc>
        <w:tc>
          <w:tcPr>
            <w:tcW w:w="1080" w:type="dxa"/>
            <w:shd w:val="clear" w:color="auto" w:fill="FFFFFF"/>
          </w:tcPr>
          <w:p w14:paraId="2722B2EB" w14:textId="77777777" w:rsidR="00FA345A" w:rsidRDefault="00000000">
            <w:pPr>
              <w:spacing w:before="40" w:after="40"/>
            </w:pPr>
            <w:r>
              <w:rPr>
                <w:sz w:val="16"/>
              </w:rPr>
              <w:t>60</w:t>
            </w:r>
          </w:p>
        </w:tc>
        <w:tc>
          <w:tcPr>
            <w:tcW w:w="1080" w:type="dxa"/>
            <w:shd w:val="clear" w:color="auto" w:fill="FFFFFF"/>
          </w:tcPr>
          <w:p w14:paraId="7936A268" w14:textId="77777777" w:rsidR="00FA345A" w:rsidRDefault="00000000">
            <w:pPr>
              <w:spacing w:before="40" w:after="40"/>
            </w:pPr>
            <w:r>
              <w:rPr>
                <w:sz w:val="16"/>
              </w:rPr>
              <w:t>20</w:t>
            </w:r>
          </w:p>
        </w:tc>
        <w:tc>
          <w:tcPr>
            <w:tcW w:w="4464" w:type="dxa"/>
            <w:shd w:val="clear" w:color="auto" w:fill="FFFFFF"/>
          </w:tcPr>
          <w:p w14:paraId="40016319" w14:textId="77777777" w:rsidR="00FA345A" w:rsidRDefault="00000000">
            <w:pPr>
              <w:spacing w:before="40" w:after="40"/>
            </w:pPr>
            <w:r>
              <w:rPr>
                <w:sz w:val="16"/>
              </w:rPr>
              <w:t>SSM; extensions planned for Ringhals/Forsmark</w:t>
            </w:r>
          </w:p>
        </w:tc>
      </w:tr>
      <w:tr w:rsidR="00FA345A" w14:paraId="44B0199B" w14:textId="77777777">
        <w:tc>
          <w:tcPr>
            <w:tcW w:w="1656" w:type="dxa"/>
            <w:shd w:val="clear" w:color="auto" w:fill="F2F7FD"/>
          </w:tcPr>
          <w:p w14:paraId="085A406A" w14:textId="77777777" w:rsidR="00FA345A" w:rsidRDefault="00000000">
            <w:pPr>
              <w:spacing w:before="40" w:after="40"/>
            </w:pPr>
            <w:r>
              <w:rPr>
                <w:sz w:val="16"/>
              </w:rPr>
              <w:t>Belgium</w:t>
            </w:r>
          </w:p>
        </w:tc>
        <w:tc>
          <w:tcPr>
            <w:tcW w:w="1224" w:type="dxa"/>
            <w:shd w:val="clear" w:color="auto" w:fill="F2F7FD"/>
          </w:tcPr>
          <w:p w14:paraId="0965D28A" w14:textId="77777777" w:rsidR="00FA345A" w:rsidRDefault="00000000">
            <w:pPr>
              <w:spacing w:before="40" w:after="40"/>
            </w:pPr>
            <w:r>
              <w:rPr>
                <w:sz w:val="16"/>
              </w:rPr>
              <w:t>40</w:t>
            </w:r>
          </w:p>
        </w:tc>
        <w:tc>
          <w:tcPr>
            <w:tcW w:w="1296" w:type="dxa"/>
            <w:shd w:val="clear" w:color="auto" w:fill="F2F7FD"/>
          </w:tcPr>
          <w:p w14:paraId="224ABC2B" w14:textId="77777777" w:rsidR="00FA345A" w:rsidRDefault="00000000">
            <w:pPr>
              <w:spacing w:before="40" w:after="40"/>
            </w:pPr>
            <w:r>
              <w:rPr>
                <w:sz w:val="16"/>
              </w:rPr>
              <w:t>10</w:t>
            </w:r>
          </w:p>
        </w:tc>
        <w:tc>
          <w:tcPr>
            <w:tcW w:w="1080" w:type="dxa"/>
            <w:shd w:val="clear" w:color="auto" w:fill="F2F7FD"/>
          </w:tcPr>
          <w:p w14:paraId="282194C4" w14:textId="77777777" w:rsidR="00FA345A" w:rsidRDefault="00000000">
            <w:pPr>
              <w:spacing w:before="40" w:after="40"/>
            </w:pPr>
            <w:r>
              <w:rPr>
                <w:sz w:val="16"/>
              </w:rPr>
              <w:t>50</w:t>
            </w:r>
          </w:p>
        </w:tc>
        <w:tc>
          <w:tcPr>
            <w:tcW w:w="1080" w:type="dxa"/>
            <w:shd w:val="clear" w:color="auto" w:fill="F2F7FD"/>
          </w:tcPr>
          <w:p w14:paraId="2B54E032" w14:textId="77777777" w:rsidR="00FA345A" w:rsidRDefault="00000000">
            <w:pPr>
              <w:spacing w:before="40" w:after="40"/>
            </w:pPr>
            <w:r>
              <w:rPr>
                <w:sz w:val="16"/>
              </w:rPr>
              <w:t>10</w:t>
            </w:r>
          </w:p>
        </w:tc>
        <w:tc>
          <w:tcPr>
            <w:tcW w:w="4464" w:type="dxa"/>
            <w:shd w:val="clear" w:color="auto" w:fill="F2F7FD"/>
          </w:tcPr>
          <w:p w14:paraId="7229B275" w14:textId="77777777" w:rsidR="00FA345A" w:rsidRDefault="00000000">
            <w:pPr>
              <w:spacing w:before="40" w:after="40"/>
            </w:pPr>
            <w:r>
              <w:rPr>
                <w:sz w:val="16"/>
              </w:rPr>
              <w:t>FANC; current policy 50yr for Doel/Tihange</w:t>
            </w:r>
          </w:p>
        </w:tc>
      </w:tr>
      <w:tr w:rsidR="00FA345A" w14:paraId="7A06E803" w14:textId="77777777">
        <w:tc>
          <w:tcPr>
            <w:tcW w:w="1656" w:type="dxa"/>
            <w:shd w:val="clear" w:color="auto" w:fill="FFFFFF"/>
          </w:tcPr>
          <w:p w14:paraId="32D326C0" w14:textId="77777777" w:rsidR="00FA345A" w:rsidRDefault="00000000">
            <w:pPr>
              <w:spacing w:before="40" w:after="40"/>
            </w:pPr>
            <w:r>
              <w:rPr>
                <w:sz w:val="16"/>
              </w:rPr>
              <w:t>Finland</w:t>
            </w:r>
          </w:p>
        </w:tc>
        <w:tc>
          <w:tcPr>
            <w:tcW w:w="1224" w:type="dxa"/>
            <w:shd w:val="clear" w:color="auto" w:fill="FFFFFF"/>
          </w:tcPr>
          <w:p w14:paraId="69826C9D" w14:textId="77777777" w:rsidR="00FA345A" w:rsidRDefault="00000000">
            <w:pPr>
              <w:spacing w:before="40" w:after="40"/>
            </w:pPr>
            <w:r>
              <w:rPr>
                <w:sz w:val="16"/>
              </w:rPr>
              <w:t>40</w:t>
            </w:r>
          </w:p>
        </w:tc>
        <w:tc>
          <w:tcPr>
            <w:tcW w:w="1296" w:type="dxa"/>
            <w:shd w:val="clear" w:color="auto" w:fill="FFFFFF"/>
          </w:tcPr>
          <w:p w14:paraId="4B8DAD35" w14:textId="77777777" w:rsidR="00FA345A" w:rsidRDefault="00000000">
            <w:pPr>
              <w:spacing w:before="40" w:after="40"/>
            </w:pPr>
            <w:r>
              <w:rPr>
                <w:sz w:val="16"/>
              </w:rPr>
              <w:t>20</w:t>
            </w:r>
          </w:p>
        </w:tc>
        <w:tc>
          <w:tcPr>
            <w:tcW w:w="1080" w:type="dxa"/>
            <w:shd w:val="clear" w:color="auto" w:fill="FFFFFF"/>
          </w:tcPr>
          <w:p w14:paraId="153AB2DB" w14:textId="77777777" w:rsidR="00FA345A" w:rsidRDefault="00000000">
            <w:pPr>
              <w:spacing w:before="40" w:after="40"/>
            </w:pPr>
            <w:r>
              <w:rPr>
                <w:sz w:val="16"/>
              </w:rPr>
              <w:t>60</w:t>
            </w:r>
          </w:p>
        </w:tc>
        <w:tc>
          <w:tcPr>
            <w:tcW w:w="1080" w:type="dxa"/>
            <w:shd w:val="clear" w:color="auto" w:fill="FFFFFF"/>
          </w:tcPr>
          <w:p w14:paraId="07EC44EB" w14:textId="77777777" w:rsidR="00FA345A" w:rsidRDefault="00000000">
            <w:pPr>
              <w:spacing w:before="40" w:after="40"/>
            </w:pPr>
            <w:r>
              <w:rPr>
                <w:sz w:val="16"/>
              </w:rPr>
              <w:t>20</w:t>
            </w:r>
          </w:p>
        </w:tc>
        <w:tc>
          <w:tcPr>
            <w:tcW w:w="4464" w:type="dxa"/>
            <w:shd w:val="clear" w:color="auto" w:fill="FFFFFF"/>
          </w:tcPr>
          <w:p w14:paraId="0E1C982E" w14:textId="77777777" w:rsidR="00FA345A" w:rsidRDefault="00000000">
            <w:pPr>
              <w:spacing w:before="40" w:after="40"/>
            </w:pPr>
            <w:r>
              <w:rPr>
                <w:sz w:val="16"/>
              </w:rPr>
              <w:t>STUK; Loviisa extensions approved</w:t>
            </w:r>
          </w:p>
        </w:tc>
      </w:tr>
      <w:tr w:rsidR="00FA345A" w14:paraId="746A705A" w14:textId="77777777">
        <w:tc>
          <w:tcPr>
            <w:tcW w:w="1656" w:type="dxa"/>
            <w:shd w:val="clear" w:color="auto" w:fill="F2F7FD"/>
          </w:tcPr>
          <w:p w14:paraId="75FFA9FB" w14:textId="77777777" w:rsidR="00FA345A" w:rsidRDefault="00000000">
            <w:pPr>
              <w:spacing w:before="40" w:after="40"/>
            </w:pPr>
            <w:r>
              <w:rPr>
                <w:sz w:val="16"/>
              </w:rPr>
              <w:t>India</w:t>
            </w:r>
          </w:p>
        </w:tc>
        <w:tc>
          <w:tcPr>
            <w:tcW w:w="1224" w:type="dxa"/>
            <w:shd w:val="clear" w:color="auto" w:fill="F2F7FD"/>
          </w:tcPr>
          <w:p w14:paraId="6C28FBCA" w14:textId="77777777" w:rsidR="00FA345A" w:rsidRDefault="00000000">
            <w:pPr>
              <w:spacing w:before="40" w:after="40"/>
            </w:pPr>
            <w:r>
              <w:rPr>
                <w:sz w:val="16"/>
              </w:rPr>
              <w:t>40</w:t>
            </w:r>
          </w:p>
        </w:tc>
        <w:tc>
          <w:tcPr>
            <w:tcW w:w="1296" w:type="dxa"/>
            <w:shd w:val="clear" w:color="auto" w:fill="F2F7FD"/>
          </w:tcPr>
          <w:p w14:paraId="7B506D17" w14:textId="77777777" w:rsidR="00FA345A" w:rsidRDefault="00000000">
            <w:pPr>
              <w:spacing w:before="40" w:after="40"/>
            </w:pPr>
            <w:r>
              <w:rPr>
                <w:sz w:val="16"/>
              </w:rPr>
              <w:t>20</w:t>
            </w:r>
          </w:p>
        </w:tc>
        <w:tc>
          <w:tcPr>
            <w:tcW w:w="1080" w:type="dxa"/>
            <w:shd w:val="clear" w:color="auto" w:fill="F2F7FD"/>
          </w:tcPr>
          <w:p w14:paraId="5775FD2C" w14:textId="77777777" w:rsidR="00FA345A" w:rsidRDefault="00000000">
            <w:pPr>
              <w:spacing w:before="40" w:after="40"/>
            </w:pPr>
            <w:r>
              <w:rPr>
                <w:sz w:val="16"/>
              </w:rPr>
              <w:t>60</w:t>
            </w:r>
          </w:p>
        </w:tc>
        <w:tc>
          <w:tcPr>
            <w:tcW w:w="1080" w:type="dxa"/>
            <w:shd w:val="clear" w:color="auto" w:fill="F2F7FD"/>
          </w:tcPr>
          <w:p w14:paraId="647E5786" w14:textId="77777777" w:rsidR="00FA345A" w:rsidRDefault="00000000">
            <w:pPr>
              <w:spacing w:before="40" w:after="40"/>
            </w:pPr>
            <w:r>
              <w:rPr>
                <w:sz w:val="16"/>
              </w:rPr>
              <w:t>20</w:t>
            </w:r>
          </w:p>
        </w:tc>
        <w:tc>
          <w:tcPr>
            <w:tcW w:w="4464" w:type="dxa"/>
            <w:shd w:val="clear" w:color="auto" w:fill="F2F7FD"/>
          </w:tcPr>
          <w:p w14:paraId="5DF0A803" w14:textId="77777777" w:rsidR="00FA345A" w:rsidRDefault="00000000">
            <w:pPr>
              <w:spacing w:before="40" w:after="40"/>
            </w:pPr>
            <w:r>
              <w:rPr>
                <w:sz w:val="16"/>
              </w:rPr>
              <w:t>AERB 40yr; case-by-case extensions</w:t>
            </w:r>
          </w:p>
        </w:tc>
      </w:tr>
      <w:tr w:rsidR="00FA345A" w14:paraId="1C47D0CA" w14:textId="77777777">
        <w:tc>
          <w:tcPr>
            <w:tcW w:w="1656" w:type="dxa"/>
            <w:shd w:val="clear" w:color="auto" w:fill="FFFFFF"/>
          </w:tcPr>
          <w:p w14:paraId="326510CD" w14:textId="77777777" w:rsidR="00FA345A" w:rsidRDefault="00000000">
            <w:pPr>
              <w:spacing w:before="40" w:after="40"/>
            </w:pPr>
            <w:r>
              <w:rPr>
                <w:sz w:val="16"/>
              </w:rPr>
              <w:t>Ukraine</w:t>
            </w:r>
          </w:p>
        </w:tc>
        <w:tc>
          <w:tcPr>
            <w:tcW w:w="1224" w:type="dxa"/>
            <w:shd w:val="clear" w:color="auto" w:fill="FFFFFF"/>
          </w:tcPr>
          <w:p w14:paraId="6A4255B9" w14:textId="77777777" w:rsidR="00FA345A" w:rsidRDefault="00000000">
            <w:pPr>
              <w:spacing w:before="40" w:after="40"/>
            </w:pPr>
            <w:r>
              <w:rPr>
                <w:sz w:val="16"/>
              </w:rPr>
              <w:t>30</w:t>
            </w:r>
          </w:p>
        </w:tc>
        <w:tc>
          <w:tcPr>
            <w:tcW w:w="1296" w:type="dxa"/>
            <w:shd w:val="clear" w:color="auto" w:fill="FFFFFF"/>
          </w:tcPr>
          <w:p w14:paraId="0DDF7E77" w14:textId="77777777" w:rsidR="00FA345A" w:rsidRDefault="00000000">
            <w:pPr>
              <w:spacing w:before="40" w:after="40"/>
            </w:pPr>
            <w:r>
              <w:rPr>
                <w:sz w:val="16"/>
              </w:rPr>
              <w:t>20</w:t>
            </w:r>
          </w:p>
        </w:tc>
        <w:tc>
          <w:tcPr>
            <w:tcW w:w="1080" w:type="dxa"/>
            <w:shd w:val="clear" w:color="auto" w:fill="FFFFFF"/>
          </w:tcPr>
          <w:p w14:paraId="5203500E" w14:textId="77777777" w:rsidR="00FA345A" w:rsidRDefault="00000000">
            <w:pPr>
              <w:spacing w:before="40" w:after="40"/>
            </w:pPr>
            <w:r>
              <w:rPr>
                <w:sz w:val="16"/>
              </w:rPr>
              <w:t>60</w:t>
            </w:r>
          </w:p>
        </w:tc>
        <w:tc>
          <w:tcPr>
            <w:tcW w:w="1080" w:type="dxa"/>
            <w:shd w:val="clear" w:color="auto" w:fill="FFFFFF"/>
          </w:tcPr>
          <w:p w14:paraId="64230519" w14:textId="77777777" w:rsidR="00FA345A" w:rsidRDefault="00000000">
            <w:pPr>
              <w:spacing w:before="40" w:after="40"/>
            </w:pPr>
            <w:r>
              <w:rPr>
                <w:sz w:val="16"/>
              </w:rPr>
              <w:t>20</w:t>
            </w:r>
          </w:p>
        </w:tc>
        <w:tc>
          <w:tcPr>
            <w:tcW w:w="4464" w:type="dxa"/>
            <w:shd w:val="clear" w:color="auto" w:fill="FFFFFF"/>
          </w:tcPr>
          <w:p w14:paraId="2E876C05" w14:textId="77777777" w:rsidR="00FA345A" w:rsidRDefault="00000000">
            <w:pPr>
              <w:spacing w:before="40" w:after="40"/>
            </w:pPr>
            <w:r>
              <w:rPr>
                <w:sz w:val="16"/>
              </w:rPr>
              <w:t>Soviet VVER; 30yr initial + extensions</w:t>
            </w:r>
          </w:p>
        </w:tc>
      </w:tr>
      <w:tr w:rsidR="00FA345A" w14:paraId="03C8A430" w14:textId="77777777">
        <w:tc>
          <w:tcPr>
            <w:tcW w:w="1656" w:type="dxa"/>
            <w:shd w:val="clear" w:color="auto" w:fill="F2F7FD"/>
          </w:tcPr>
          <w:p w14:paraId="0A21881D" w14:textId="77777777" w:rsidR="00FA345A" w:rsidRDefault="00000000">
            <w:pPr>
              <w:spacing w:before="40" w:after="40"/>
            </w:pPr>
            <w:r>
              <w:rPr>
                <w:sz w:val="16"/>
              </w:rPr>
              <w:t>Taiwan</w:t>
            </w:r>
          </w:p>
        </w:tc>
        <w:tc>
          <w:tcPr>
            <w:tcW w:w="1224" w:type="dxa"/>
            <w:shd w:val="clear" w:color="auto" w:fill="F2F7FD"/>
          </w:tcPr>
          <w:p w14:paraId="436F72E3" w14:textId="77777777" w:rsidR="00FA345A" w:rsidRDefault="00000000">
            <w:pPr>
              <w:spacing w:before="40" w:after="40"/>
            </w:pPr>
            <w:r>
              <w:rPr>
                <w:sz w:val="16"/>
              </w:rPr>
              <w:t>40</w:t>
            </w:r>
          </w:p>
        </w:tc>
        <w:tc>
          <w:tcPr>
            <w:tcW w:w="1296" w:type="dxa"/>
            <w:shd w:val="clear" w:color="auto" w:fill="F2F7FD"/>
          </w:tcPr>
          <w:p w14:paraId="25974AB4" w14:textId="77777777" w:rsidR="00FA345A" w:rsidRDefault="00000000">
            <w:pPr>
              <w:spacing w:before="40" w:after="40"/>
            </w:pPr>
            <w:r>
              <w:rPr>
                <w:sz w:val="16"/>
              </w:rPr>
              <w:t>0</w:t>
            </w:r>
          </w:p>
        </w:tc>
        <w:tc>
          <w:tcPr>
            <w:tcW w:w="1080" w:type="dxa"/>
            <w:shd w:val="clear" w:color="auto" w:fill="F2F7FD"/>
          </w:tcPr>
          <w:p w14:paraId="3819A5DF" w14:textId="77777777" w:rsidR="00FA345A" w:rsidRDefault="00000000">
            <w:pPr>
              <w:spacing w:before="40" w:after="40"/>
            </w:pPr>
            <w:r>
              <w:rPr>
                <w:sz w:val="16"/>
              </w:rPr>
              <w:t>40</w:t>
            </w:r>
          </w:p>
        </w:tc>
        <w:tc>
          <w:tcPr>
            <w:tcW w:w="1080" w:type="dxa"/>
            <w:shd w:val="clear" w:color="auto" w:fill="F2F7FD"/>
          </w:tcPr>
          <w:p w14:paraId="4AFD249E" w14:textId="77777777" w:rsidR="00FA345A" w:rsidRDefault="00000000">
            <w:pPr>
              <w:spacing w:before="40" w:after="40"/>
            </w:pPr>
            <w:r>
              <w:rPr>
                <w:sz w:val="16"/>
              </w:rPr>
              <w:t>0</w:t>
            </w:r>
          </w:p>
        </w:tc>
        <w:tc>
          <w:tcPr>
            <w:tcW w:w="4464" w:type="dxa"/>
            <w:shd w:val="clear" w:color="auto" w:fill="F2F7FD"/>
          </w:tcPr>
          <w:p w14:paraId="6C729B9C" w14:textId="77777777" w:rsidR="00FA345A" w:rsidRDefault="00000000">
            <w:pPr>
              <w:spacing w:before="40" w:after="40"/>
            </w:pPr>
            <w:r>
              <w:rPr>
                <w:sz w:val="16"/>
              </w:rPr>
              <w:t>Phase-out policy; no extensions approved</w:t>
            </w:r>
          </w:p>
        </w:tc>
      </w:tr>
      <w:tr w:rsidR="00FA345A" w14:paraId="25341AEF" w14:textId="77777777">
        <w:tc>
          <w:tcPr>
            <w:tcW w:w="1656" w:type="dxa"/>
            <w:shd w:val="clear" w:color="auto" w:fill="FFFFFF"/>
          </w:tcPr>
          <w:p w14:paraId="434F8A4C" w14:textId="77777777" w:rsidR="00FA345A" w:rsidRDefault="00000000">
            <w:pPr>
              <w:spacing w:before="40" w:after="40"/>
            </w:pPr>
            <w:r>
              <w:rPr>
                <w:sz w:val="16"/>
              </w:rPr>
              <w:t>UAE</w:t>
            </w:r>
          </w:p>
        </w:tc>
        <w:tc>
          <w:tcPr>
            <w:tcW w:w="1224" w:type="dxa"/>
            <w:shd w:val="clear" w:color="auto" w:fill="FFFFFF"/>
          </w:tcPr>
          <w:p w14:paraId="5D795CAD" w14:textId="77777777" w:rsidR="00FA345A" w:rsidRDefault="00000000">
            <w:pPr>
              <w:spacing w:before="40" w:after="40"/>
            </w:pPr>
            <w:r>
              <w:rPr>
                <w:sz w:val="16"/>
              </w:rPr>
              <w:t>60</w:t>
            </w:r>
          </w:p>
        </w:tc>
        <w:tc>
          <w:tcPr>
            <w:tcW w:w="1296" w:type="dxa"/>
            <w:shd w:val="clear" w:color="auto" w:fill="FFFFFF"/>
          </w:tcPr>
          <w:p w14:paraId="13E5353D" w14:textId="77777777" w:rsidR="00FA345A" w:rsidRDefault="00000000">
            <w:pPr>
              <w:spacing w:before="40" w:after="40"/>
            </w:pPr>
            <w:r>
              <w:rPr>
                <w:sz w:val="16"/>
              </w:rPr>
              <w:t>0</w:t>
            </w:r>
          </w:p>
        </w:tc>
        <w:tc>
          <w:tcPr>
            <w:tcW w:w="1080" w:type="dxa"/>
            <w:shd w:val="clear" w:color="auto" w:fill="FFFFFF"/>
          </w:tcPr>
          <w:p w14:paraId="5B381736" w14:textId="77777777" w:rsidR="00FA345A" w:rsidRDefault="00000000">
            <w:pPr>
              <w:spacing w:before="40" w:after="40"/>
            </w:pPr>
            <w:r>
              <w:rPr>
                <w:sz w:val="16"/>
              </w:rPr>
              <w:t>60</w:t>
            </w:r>
          </w:p>
        </w:tc>
        <w:tc>
          <w:tcPr>
            <w:tcW w:w="1080" w:type="dxa"/>
            <w:shd w:val="clear" w:color="auto" w:fill="FFFFFF"/>
          </w:tcPr>
          <w:p w14:paraId="11DF5959" w14:textId="77777777" w:rsidR="00FA345A" w:rsidRDefault="00000000">
            <w:pPr>
              <w:spacing w:before="40" w:after="40"/>
            </w:pPr>
            <w:r>
              <w:rPr>
                <w:sz w:val="16"/>
              </w:rPr>
              <w:t>0</w:t>
            </w:r>
          </w:p>
        </w:tc>
        <w:tc>
          <w:tcPr>
            <w:tcW w:w="4464" w:type="dxa"/>
            <w:shd w:val="clear" w:color="auto" w:fill="FFFFFF"/>
          </w:tcPr>
          <w:p w14:paraId="40735FEF" w14:textId="77777777" w:rsidR="00FA345A" w:rsidRDefault="00000000">
            <w:pPr>
              <w:spacing w:before="40" w:after="40"/>
            </w:pPr>
            <w:r>
              <w:rPr>
                <w:sz w:val="16"/>
              </w:rPr>
              <w:t>Barakah: 60yr design life; new fleet</w:t>
            </w:r>
          </w:p>
        </w:tc>
      </w:tr>
      <w:tr w:rsidR="00FA345A" w14:paraId="43008393" w14:textId="77777777">
        <w:tc>
          <w:tcPr>
            <w:tcW w:w="1656" w:type="dxa"/>
            <w:shd w:val="clear" w:color="auto" w:fill="F2F7FD"/>
          </w:tcPr>
          <w:p w14:paraId="5AFA04C3" w14:textId="77777777" w:rsidR="00FA345A" w:rsidRDefault="00000000">
            <w:pPr>
              <w:spacing w:before="40" w:after="40"/>
            </w:pPr>
            <w:r>
              <w:rPr>
                <w:sz w:val="16"/>
              </w:rPr>
              <w:t>Hungary</w:t>
            </w:r>
          </w:p>
        </w:tc>
        <w:tc>
          <w:tcPr>
            <w:tcW w:w="1224" w:type="dxa"/>
            <w:shd w:val="clear" w:color="auto" w:fill="F2F7FD"/>
          </w:tcPr>
          <w:p w14:paraId="449580AF" w14:textId="77777777" w:rsidR="00FA345A" w:rsidRDefault="00000000">
            <w:pPr>
              <w:spacing w:before="40" w:after="40"/>
            </w:pPr>
            <w:r>
              <w:rPr>
                <w:sz w:val="16"/>
              </w:rPr>
              <w:t>30</w:t>
            </w:r>
          </w:p>
        </w:tc>
        <w:tc>
          <w:tcPr>
            <w:tcW w:w="1296" w:type="dxa"/>
            <w:shd w:val="clear" w:color="auto" w:fill="F2F7FD"/>
          </w:tcPr>
          <w:p w14:paraId="36769D3B" w14:textId="77777777" w:rsidR="00FA345A" w:rsidRDefault="00000000">
            <w:pPr>
              <w:spacing w:before="40" w:after="40"/>
            </w:pPr>
            <w:r>
              <w:rPr>
                <w:sz w:val="16"/>
              </w:rPr>
              <w:t>20</w:t>
            </w:r>
          </w:p>
        </w:tc>
        <w:tc>
          <w:tcPr>
            <w:tcW w:w="1080" w:type="dxa"/>
            <w:shd w:val="clear" w:color="auto" w:fill="F2F7FD"/>
          </w:tcPr>
          <w:p w14:paraId="7F7AAA3C" w14:textId="77777777" w:rsidR="00FA345A" w:rsidRDefault="00000000">
            <w:pPr>
              <w:spacing w:before="40" w:after="40"/>
            </w:pPr>
            <w:r>
              <w:rPr>
                <w:sz w:val="16"/>
              </w:rPr>
              <w:t>60</w:t>
            </w:r>
          </w:p>
        </w:tc>
        <w:tc>
          <w:tcPr>
            <w:tcW w:w="1080" w:type="dxa"/>
            <w:shd w:val="clear" w:color="auto" w:fill="F2F7FD"/>
          </w:tcPr>
          <w:p w14:paraId="1FE1BCC8" w14:textId="77777777" w:rsidR="00FA345A" w:rsidRDefault="00000000">
            <w:pPr>
              <w:spacing w:before="40" w:after="40"/>
            </w:pPr>
            <w:r>
              <w:rPr>
                <w:sz w:val="16"/>
              </w:rPr>
              <w:t>20</w:t>
            </w:r>
          </w:p>
        </w:tc>
        <w:tc>
          <w:tcPr>
            <w:tcW w:w="4464" w:type="dxa"/>
            <w:shd w:val="clear" w:color="auto" w:fill="F2F7FD"/>
          </w:tcPr>
          <w:p w14:paraId="3213F73C" w14:textId="77777777" w:rsidR="00FA345A" w:rsidRDefault="00000000">
            <w:pPr>
              <w:spacing w:before="40" w:after="40"/>
            </w:pPr>
            <w:r>
              <w:rPr>
                <w:sz w:val="16"/>
              </w:rPr>
              <w:t>Paks 1-4 extended to ~50yr; Paks II under construction</w:t>
            </w:r>
          </w:p>
        </w:tc>
      </w:tr>
      <w:tr w:rsidR="00FA345A" w14:paraId="05258873" w14:textId="77777777">
        <w:tc>
          <w:tcPr>
            <w:tcW w:w="1656" w:type="dxa"/>
            <w:shd w:val="clear" w:color="auto" w:fill="FFFFFF"/>
          </w:tcPr>
          <w:p w14:paraId="05C482E3" w14:textId="77777777" w:rsidR="00FA345A" w:rsidRDefault="00000000">
            <w:pPr>
              <w:spacing w:before="40" w:after="40"/>
            </w:pPr>
            <w:r>
              <w:rPr>
                <w:sz w:val="16"/>
              </w:rPr>
              <w:t>Slovakia</w:t>
            </w:r>
          </w:p>
        </w:tc>
        <w:tc>
          <w:tcPr>
            <w:tcW w:w="1224" w:type="dxa"/>
            <w:shd w:val="clear" w:color="auto" w:fill="FFFFFF"/>
          </w:tcPr>
          <w:p w14:paraId="5EDDE1D4" w14:textId="77777777" w:rsidR="00FA345A" w:rsidRDefault="00000000">
            <w:pPr>
              <w:spacing w:before="40" w:after="40"/>
            </w:pPr>
            <w:r>
              <w:rPr>
                <w:sz w:val="16"/>
              </w:rPr>
              <w:t>30</w:t>
            </w:r>
          </w:p>
        </w:tc>
        <w:tc>
          <w:tcPr>
            <w:tcW w:w="1296" w:type="dxa"/>
            <w:shd w:val="clear" w:color="auto" w:fill="FFFFFF"/>
          </w:tcPr>
          <w:p w14:paraId="012D7808" w14:textId="77777777" w:rsidR="00FA345A" w:rsidRDefault="00000000">
            <w:pPr>
              <w:spacing w:before="40" w:after="40"/>
            </w:pPr>
            <w:r>
              <w:rPr>
                <w:sz w:val="16"/>
              </w:rPr>
              <w:t>20</w:t>
            </w:r>
          </w:p>
        </w:tc>
        <w:tc>
          <w:tcPr>
            <w:tcW w:w="1080" w:type="dxa"/>
            <w:shd w:val="clear" w:color="auto" w:fill="FFFFFF"/>
          </w:tcPr>
          <w:p w14:paraId="4862819B" w14:textId="77777777" w:rsidR="00FA345A" w:rsidRDefault="00000000">
            <w:pPr>
              <w:spacing w:before="40" w:after="40"/>
            </w:pPr>
            <w:r>
              <w:rPr>
                <w:sz w:val="16"/>
              </w:rPr>
              <w:t>60</w:t>
            </w:r>
          </w:p>
        </w:tc>
        <w:tc>
          <w:tcPr>
            <w:tcW w:w="1080" w:type="dxa"/>
            <w:shd w:val="clear" w:color="auto" w:fill="FFFFFF"/>
          </w:tcPr>
          <w:p w14:paraId="0612E1B8" w14:textId="77777777" w:rsidR="00FA345A" w:rsidRDefault="00000000">
            <w:pPr>
              <w:spacing w:before="40" w:after="40"/>
            </w:pPr>
            <w:r>
              <w:rPr>
                <w:sz w:val="16"/>
              </w:rPr>
              <w:t>20</w:t>
            </w:r>
          </w:p>
        </w:tc>
        <w:tc>
          <w:tcPr>
            <w:tcW w:w="4464" w:type="dxa"/>
            <w:shd w:val="clear" w:color="auto" w:fill="FFFFFF"/>
          </w:tcPr>
          <w:p w14:paraId="1D69F696" w14:textId="77777777" w:rsidR="00FA345A" w:rsidRDefault="00000000">
            <w:pPr>
              <w:spacing w:before="40" w:after="40"/>
            </w:pPr>
            <w:r>
              <w:rPr>
                <w:sz w:val="16"/>
              </w:rPr>
              <w:t>UJD; Bohunice/Mochovce extensions</w:t>
            </w:r>
          </w:p>
        </w:tc>
      </w:tr>
      <w:tr w:rsidR="00FA345A" w14:paraId="4858513C" w14:textId="77777777">
        <w:tc>
          <w:tcPr>
            <w:tcW w:w="1656" w:type="dxa"/>
            <w:shd w:val="clear" w:color="auto" w:fill="F2F7FD"/>
          </w:tcPr>
          <w:p w14:paraId="0BF060D9" w14:textId="77777777" w:rsidR="00FA345A" w:rsidRDefault="00000000">
            <w:pPr>
              <w:spacing w:before="40" w:after="40"/>
            </w:pPr>
            <w:r>
              <w:rPr>
                <w:sz w:val="16"/>
              </w:rPr>
              <w:t>Romania</w:t>
            </w:r>
          </w:p>
        </w:tc>
        <w:tc>
          <w:tcPr>
            <w:tcW w:w="1224" w:type="dxa"/>
            <w:shd w:val="clear" w:color="auto" w:fill="F2F7FD"/>
          </w:tcPr>
          <w:p w14:paraId="1FC019BC" w14:textId="77777777" w:rsidR="00FA345A" w:rsidRDefault="00000000">
            <w:pPr>
              <w:spacing w:before="40" w:after="40"/>
            </w:pPr>
            <w:r>
              <w:rPr>
                <w:sz w:val="16"/>
              </w:rPr>
              <w:t>30</w:t>
            </w:r>
          </w:p>
        </w:tc>
        <w:tc>
          <w:tcPr>
            <w:tcW w:w="1296" w:type="dxa"/>
            <w:shd w:val="clear" w:color="auto" w:fill="F2F7FD"/>
          </w:tcPr>
          <w:p w14:paraId="27A7FDEA" w14:textId="77777777" w:rsidR="00FA345A" w:rsidRDefault="00000000">
            <w:pPr>
              <w:spacing w:before="40" w:after="40"/>
            </w:pPr>
            <w:r>
              <w:rPr>
                <w:sz w:val="16"/>
              </w:rPr>
              <w:t>20</w:t>
            </w:r>
          </w:p>
        </w:tc>
        <w:tc>
          <w:tcPr>
            <w:tcW w:w="1080" w:type="dxa"/>
            <w:shd w:val="clear" w:color="auto" w:fill="F2F7FD"/>
          </w:tcPr>
          <w:p w14:paraId="72C4D1D2" w14:textId="77777777" w:rsidR="00FA345A" w:rsidRDefault="00000000">
            <w:pPr>
              <w:spacing w:before="40" w:after="40"/>
            </w:pPr>
            <w:r>
              <w:rPr>
                <w:sz w:val="16"/>
              </w:rPr>
              <w:t>60</w:t>
            </w:r>
          </w:p>
        </w:tc>
        <w:tc>
          <w:tcPr>
            <w:tcW w:w="1080" w:type="dxa"/>
            <w:shd w:val="clear" w:color="auto" w:fill="F2F7FD"/>
          </w:tcPr>
          <w:p w14:paraId="03B26100" w14:textId="77777777" w:rsidR="00FA345A" w:rsidRDefault="00000000">
            <w:pPr>
              <w:spacing w:before="40" w:after="40"/>
            </w:pPr>
            <w:r>
              <w:rPr>
                <w:sz w:val="16"/>
              </w:rPr>
              <w:t>20</w:t>
            </w:r>
          </w:p>
        </w:tc>
        <w:tc>
          <w:tcPr>
            <w:tcW w:w="4464" w:type="dxa"/>
            <w:shd w:val="clear" w:color="auto" w:fill="F2F7FD"/>
          </w:tcPr>
          <w:p w14:paraId="6D3FEC47" w14:textId="77777777" w:rsidR="00FA345A" w:rsidRDefault="00000000">
            <w:pPr>
              <w:spacing w:before="40" w:after="40"/>
            </w:pPr>
            <w:r>
              <w:rPr>
                <w:sz w:val="16"/>
              </w:rPr>
              <w:t>Cernavoda refurbishment planned</w:t>
            </w:r>
          </w:p>
        </w:tc>
      </w:tr>
      <w:tr w:rsidR="00FA345A" w14:paraId="223FAC79" w14:textId="77777777">
        <w:tc>
          <w:tcPr>
            <w:tcW w:w="1656" w:type="dxa"/>
            <w:shd w:val="clear" w:color="auto" w:fill="FFFFFF"/>
          </w:tcPr>
          <w:p w14:paraId="7F3144C8" w14:textId="77777777" w:rsidR="00FA345A" w:rsidRDefault="00000000">
            <w:pPr>
              <w:spacing w:before="40" w:after="40"/>
            </w:pPr>
            <w:r>
              <w:rPr>
                <w:sz w:val="16"/>
              </w:rPr>
              <w:t>South Africa</w:t>
            </w:r>
          </w:p>
        </w:tc>
        <w:tc>
          <w:tcPr>
            <w:tcW w:w="1224" w:type="dxa"/>
            <w:shd w:val="clear" w:color="auto" w:fill="FFFFFF"/>
          </w:tcPr>
          <w:p w14:paraId="2028B2A1" w14:textId="77777777" w:rsidR="00FA345A" w:rsidRDefault="00000000">
            <w:pPr>
              <w:spacing w:before="40" w:after="40"/>
            </w:pPr>
            <w:r>
              <w:rPr>
                <w:sz w:val="16"/>
              </w:rPr>
              <w:t>40</w:t>
            </w:r>
          </w:p>
        </w:tc>
        <w:tc>
          <w:tcPr>
            <w:tcW w:w="1296" w:type="dxa"/>
            <w:shd w:val="clear" w:color="auto" w:fill="FFFFFF"/>
          </w:tcPr>
          <w:p w14:paraId="54599BA2" w14:textId="77777777" w:rsidR="00FA345A" w:rsidRDefault="00000000">
            <w:pPr>
              <w:spacing w:before="40" w:after="40"/>
            </w:pPr>
            <w:r>
              <w:rPr>
                <w:sz w:val="16"/>
              </w:rPr>
              <w:t>20</w:t>
            </w:r>
          </w:p>
        </w:tc>
        <w:tc>
          <w:tcPr>
            <w:tcW w:w="1080" w:type="dxa"/>
            <w:shd w:val="clear" w:color="auto" w:fill="FFFFFF"/>
          </w:tcPr>
          <w:p w14:paraId="0CB48B31" w14:textId="77777777" w:rsidR="00FA345A" w:rsidRDefault="00000000">
            <w:pPr>
              <w:spacing w:before="40" w:after="40"/>
            </w:pPr>
            <w:r>
              <w:rPr>
                <w:sz w:val="16"/>
              </w:rPr>
              <w:t>60</w:t>
            </w:r>
          </w:p>
        </w:tc>
        <w:tc>
          <w:tcPr>
            <w:tcW w:w="1080" w:type="dxa"/>
            <w:shd w:val="clear" w:color="auto" w:fill="FFFFFF"/>
          </w:tcPr>
          <w:p w14:paraId="054C9B84" w14:textId="77777777" w:rsidR="00FA345A" w:rsidRDefault="00000000">
            <w:pPr>
              <w:spacing w:before="40" w:after="40"/>
            </w:pPr>
            <w:r>
              <w:rPr>
                <w:sz w:val="16"/>
              </w:rPr>
              <w:t>20</w:t>
            </w:r>
          </w:p>
        </w:tc>
        <w:tc>
          <w:tcPr>
            <w:tcW w:w="4464" w:type="dxa"/>
            <w:shd w:val="clear" w:color="auto" w:fill="FFFFFF"/>
          </w:tcPr>
          <w:p w14:paraId="66F6B9B8" w14:textId="77777777" w:rsidR="00FA345A" w:rsidRDefault="00000000">
            <w:pPr>
              <w:spacing w:before="40" w:after="40"/>
            </w:pPr>
            <w:r>
              <w:rPr>
                <w:sz w:val="16"/>
              </w:rPr>
              <w:t>NNR; Koeberg extended to 60yr</w:t>
            </w:r>
          </w:p>
        </w:tc>
      </w:tr>
    </w:tbl>
    <w:p w14:paraId="7FC8759F" w14:textId="77777777" w:rsidR="00FA345A" w:rsidRDefault="00FA345A"/>
    <w:p w14:paraId="48554288" w14:textId="77777777" w:rsidR="00FA345A" w:rsidRDefault="00000000">
      <w:pPr>
        <w:spacing w:after="160"/>
      </w:pPr>
      <w:r>
        <w:t>* Germany phase-out complete; units removed from active fleet.</w:t>
      </w:r>
    </w:p>
    <w:p w14:paraId="09E6394C" w14:textId="77777777" w:rsidR="00FA345A" w:rsidRDefault="00000000">
      <w:pPr>
        <w:spacing w:after="0"/>
      </w:pPr>
      <w:r>
        <w:br w:type="page"/>
      </w:r>
    </w:p>
    <w:p w14:paraId="6030BC93" w14:textId="77777777" w:rsidR="00FA345A" w:rsidRDefault="00000000">
      <w:pPr>
        <w:pBdr>
          <w:bottom w:val="single" w:sz="6" w:space="4" w:color="2E75B6"/>
        </w:pBdr>
        <w:spacing w:before="360"/>
      </w:pPr>
      <w:r>
        <w:rPr>
          <w:b/>
          <w:color w:val="1A375E"/>
          <w:sz w:val="40"/>
        </w:rPr>
        <w:lastRenderedPageBreak/>
        <w:t>5.  Pipeline Realization Framework</w:t>
      </w:r>
    </w:p>
    <w:p w14:paraId="48BF346F" w14:textId="77777777" w:rsidR="00FA345A" w:rsidRDefault="00000000">
      <w:pPr>
        <w:spacing w:before="80" w:after="80"/>
      </w:pPr>
      <w:r>
        <w:t>The pipeline realization framework determines what fraction of reactors that are not yet operational actually enter service by their expected online year. The framework distinguishes three pipeline status categories and applies binary realization rates (0% or 100% per reactor, not fractional).</w:t>
      </w:r>
    </w:p>
    <w:p w14:paraId="6A4B68C7" w14:textId="77777777" w:rsidR="00FA345A" w:rsidRDefault="00000000">
      <w:pPr>
        <w:spacing w:before="280" w:after="80"/>
      </w:pPr>
      <w:r>
        <w:rPr>
          <w:b/>
          <w:color w:val="1A375E"/>
          <w:sz w:val="30"/>
        </w:rPr>
        <w:t>5.1  Pipeline Status Categories</w:t>
      </w:r>
    </w:p>
    <w:tbl>
      <w:tblPr>
        <w:tblStyle w:val="TableGrid"/>
        <w:tblW w:w="0" w:type="auto"/>
        <w:tblLook w:val="04A0" w:firstRow="1" w:lastRow="0" w:firstColumn="1" w:lastColumn="0" w:noHBand="0" w:noVBand="1"/>
      </w:tblPr>
      <w:tblGrid>
        <w:gridCol w:w="1943"/>
        <w:gridCol w:w="3528"/>
        <w:gridCol w:w="1644"/>
        <w:gridCol w:w="2461"/>
      </w:tblGrid>
      <w:tr w:rsidR="00FA345A" w14:paraId="2C3EE222" w14:textId="77777777">
        <w:tc>
          <w:tcPr>
            <w:tcW w:w="2016" w:type="dxa"/>
            <w:shd w:val="clear" w:color="auto" w:fill="1A375E"/>
          </w:tcPr>
          <w:p w14:paraId="69FF8E0E" w14:textId="77777777" w:rsidR="00FA345A" w:rsidRDefault="00000000">
            <w:pPr>
              <w:spacing w:before="40" w:after="40"/>
            </w:pPr>
            <w:r>
              <w:rPr>
                <w:b/>
                <w:color w:val="FFFFFF"/>
                <w:sz w:val="18"/>
              </w:rPr>
              <w:t>Status Category</w:t>
            </w:r>
          </w:p>
        </w:tc>
        <w:tc>
          <w:tcPr>
            <w:tcW w:w="3744" w:type="dxa"/>
            <w:shd w:val="clear" w:color="auto" w:fill="1A375E"/>
          </w:tcPr>
          <w:p w14:paraId="0BF9A148" w14:textId="77777777" w:rsidR="00FA345A" w:rsidRDefault="00000000">
            <w:pPr>
              <w:spacing w:before="40" w:after="40"/>
            </w:pPr>
            <w:r>
              <w:rPr>
                <w:b/>
                <w:color w:val="FFFFFF"/>
                <w:sz w:val="18"/>
              </w:rPr>
              <w:t>Definition</w:t>
            </w:r>
          </w:p>
        </w:tc>
        <w:tc>
          <w:tcPr>
            <w:tcW w:w="1728" w:type="dxa"/>
            <w:shd w:val="clear" w:color="auto" w:fill="1A375E"/>
          </w:tcPr>
          <w:p w14:paraId="02ACF3BE" w14:textId="77777777" w:rsidR="00FA345A" w:rsidRDefault="00000000">
            <w:pPr>
              <w:spacing w:before="40" w:after="40"/>
            </w:pPr>
            <w:r>
              <w:rPr>
                <w:b/>
                <w:color w:val="FFFFFF"/>
                <w:sz w:val="18"/>
              </w:rPr>
              <w:t>Typical Rate Range</w:t>
            </w:r>
          </w:p>
        </w:tc>
        <w:tc>
          <w:tcPr>
            <w:tcW w:w="2592" w:type="dxa"/>
            <w:shd w:val="clear" w:color="auto" w:fill="1A375E"/>
          </w:tcPr>
          <w:p w14:paraId="400F766C" w14:textId="77777777" w:rsidR="00FA345A" w:rsidRDefault="00000000">
            <w:pPr>
              <w:spacing w:before="40" w:after="40"/>
            </w:pPr>
            <w:r>
              <w:rPr>
                <w:b/>
                <w:color w:val="FFFFFF"/>
                <w:sz w:val="18"/>
              </w:rPr>
              <w:t>Rationale</w:t>
            </w:r>
          </w:p>
        </w:tc>
      </w:tr>
      <w:tr w:rsidR="00FA345A" w14:paraId="2FB8DC0D" w14:textId="77777777">
        <w:tc>
          <w:tcPr>
            <w:tcW w:w="2016" w:type="dxa"/>
            <w:shd w:val="clear" w:color="auto" w:fill="F2F7FD"/>
          </w:tcPr>
          <w:p w14:paraId="0375F51E" w14:textId="77777777" w:rsidR="00FA345A" w:rsidRDefault="00000000">
            <w:pPr>
              <w:spacing w:before="40" w:after="40"/>
            </w:pPr>
            <w:r>
              <w:rPr>
                <w:sz w:val="18"/>
              </w:rPr>
              <w:t>Under Construction (UC)</w:t>
            </w:r>
          </w:p>
        </w:tc>
        <w:tc>
          <w:tcPr>
            <w:tcW w:w="3744" w:type="dxa"/>
            <w:shd w:val="clear" w:color="auto" w:fill="F2F7FD"/>
          </w:tcPr>
          <w:p w14:paraId="5F492D4E" w14:textId="77777777" w:rsidR="00FA345A" w:rsidRDefault="00000000">
            <w:pPr>
              <w:spacing w:before="40" w:after="40"/>
            </w:pPr>
            <w:r>
              <w:rPr>
                <w:sz w:val="18"/>
              </w:rPr>
              <w:t>Major civil construction underway; first concrete poured or equivalent milestone reached. Verified from IAEA PRIS construction start dates.</w:t>
            </w:r>
          </w:p>
        </w:tc>
        <w:tc>
          <w:tcPr>
            <w:tcW w:w="1728" w:type="dxa"/>
            <w:shd w:val="clear" w:color="auto" w:fill="F2F7FD"/>
          </w:tcPr>
          <w:p w14:paraId="155BE606" w14:textId="77777777" w:rsidR="00FA345A" w:rsidRDefault="00000000">
            <w:pPr>
              <w:spacing w:before="40" w:after="40"/>
            </w:pPr>
            <w:r>
              <w:rPr>
                <w:sz w:val="18"/>
              </w:rPr>
              <w:t>95–100%</w:t>
            </w:r>
          </w:p>
        </w:tc>
        <w:tc>
          <w:tcPr>
            <w:tcW w:w="2592" w:type="dxa"/>
            <w:shd w:val="clear" w:color="auto" w:fill="F2F7FD"/>
          </w:tcPr>
          <w:p w14:paraId="0194421C" w14:textId="77777777" w:rsidR="00FA345A" w:rsidRDefault="00000000">
            <w:pPr>
              <w:spacing w:before="40" w:after="40"/>
            </w:pPr>
            <w:r>
              <w:rPr>
                <w:sz w:val="18"/>
              </w:rPr>
              <w:t>Very high — physical assets committed</w:t>
            </w:r>
          </w:p>
        </w:tc>
      </w:tr>
      <w:tr w:rsidR="00FA345A" w14:paraId="56CDAA3E" w14:textId="77777777">
        <w:tc>
          <w:tcPr>
            <w:tcW w:w="2016" w:type="dxa"/>
            <w:shd w:val="clear" w:color="auto" w:fill="FFFFFF"/>
          </w:tcPr>
          <w:p w14:paraId="61DEBB2F" w14:textId="77777777" w:rsidR="00FA345A" w:rsidRDefault="00000000">
            <w:pPr>
              <w:spacing w:before="40" w:after="40"/>
            </w:pPr>
            <w:r>
              <w:rPr>
                <w:sz w:val="18"/>
              </w:rPr>
              <w:t>Planned</w:t>
            </w:r>
          </w:p>
        </w:tc>
        <w:tc>
          <w:tcPr>
            <w:tcW w:w="3744" w:type="dxa"/>
            <w:shd w:val="clear" w:color="auto" w:fill="FFFFFF"/>
          </w:tcPr>
          <w:p w14:paraId="38BFE4F6" w14:textId="77777777" w:rsidR="00FA345A" w:rsidRDefault="00000000">
            <w:pPr>
              <w:spacing w:before="40" w:after="40"/>
            </w:pPr>
            <w:r>
              <w:rPr>
                <w:sz w:val="18"/>
              </w:rPr>
              <w:t>Firm government or utility commitment: site licensed, significant engineering investment made, financial close expected. Typically includes projects with construction scheduled within 3–5 years.</w:t>
            </w:r>
          </w:p>
        </w:tc>
        <w:tc>
          <w:tcPr>
            <w:tcW w:w="1728" w:type="dxa"/>
            <w:shd w:val="clear" w:color="auto" w:fill="FFFFFF"/>
          </w:tcPr>
          <w:p w14:paraId="34BF7C4C" w14:textId="77777777" w:rsidR="00FA345A" w:rsidRDefault="00000000">
            <w:pPr>
              <w:spacing w:before="40" w:after="40"/>
            </w:pPr>
            <w:r>
              <w:rPr>
                <w:sz w:val="18"/>
              </w:rPr>
              <w:t>0–100%</w:t>
            </w:r>
          </w:p>
        </w:tc>
        <w:tc>
          <w:tcPr>
            <w:tcW w:w="2592" w:type="dxa"/>
            <w:shd w:val="clear" w:color="auto" w:fill="FFFFFF"/>
          </w:tcPr>
          <w:p w14:paraId="31103BAA" w14:textId="77777777" w:rsidR="00FA345A" w:rsidRDefault="00000000">
            <w:pPr>
              <w:spacing w:before="40" w:after="40"/>
            </w:pPr>
            <w:r>
              <w:rPr>
                <w:sz w:val="18"/>
              </w:rPr>
              <w:t>Medium — depends on policy and financing</w:t>
            </w:r>
          </w:p>
        </w:tc>
      </w:tr>
      <w:tr w:rsidR="00FA345A" w14:paraId="07EC880F" w14:textId="77777777">
        <w:tc>
          <w:tcPr>
            <w:tcW w:w="2016" w:type="dxa"/>
            <w:shd w:val="clear" w:color="auto" w:fill="F2F7FD"/>
          </w:tcPr>
          <w:p w14:paraId="2B090349" w14:textId="77777777" w:rsidR="00FA345A" w:rsidRDefault="00000000">
            <w:pPr>
              <w:spacing w:before="40" w:after="40"/>
            </w:pPr>
            <w:r>
              <w:rPr>
                <w:sz w:val="18"/>
              </w:rPr>
              <w:t>Proposed</w:t>
            </w:r>
          </w:p>
        </w:tc>
        <w:tc>
          <w:tcPr>
            <w:tcW w:w="3744" w:type="dxa"/>
            <w:shd w:val="clear" w:color="auto" w:fill="F2F7FD"/>
          </w:tcPr>
          <w:p w14:paraId="13CFDD8A" w14:textId="77777777" w:rsidR="00FA345A" w:rsidRDefault="00000000">
            <w:pPr>
              <w:spacing w:before="40" w:after="40"/>
            </w:pPr>
            <w:r>
              <w:rPr>
                <w:sz w:val="18"/>
              </w:rPr>
              <w:t>Early-stage: announced, on national energy plans, or feasibility study stage. Significant permitting, financing, and regulatory hurdles remain.</w:t>
            </w:r>
          </w:p>
        </w:tc>
        <w:tc>
          <w:tcPr>
            <w:tcW w:w="1728" w:type="dxa"/>
            <w:shd w:val="clear" w:color="auto" w:fill="F2F7FD"/>
          </w:tcPr>
          <w:p w14:paraId="2872BEB1" w14:textId="77777777" w:rsidR="00FA345A" w:rsidRDefault="00000000">
            <w:pPr>
              <w:spacing w:before="40" w:after="40"/>
            </w:pPr>
            <w:r>
              <w:rPr>
                <w:sz w:val="18"/>
              </w:rPr>
              <w:t>0–100%</w:t>
            </w:r>
          </w:p>
        </w:tc>
        <w:tc>
          <w:tcPr>
            <w:tcW w:w="2592" w:type="dxa"/>
            <w:shd w:val="clear" w:color="auto" w:fill="F2F7FD"/>
          </w:tcPr>
          <w:p w14:paraId="550A51AF" w14:textId="77777777" w:rsidR="00FA345A" w:rsidRDefault="00000000">
            <w:pPr>
              <w:spacing w:before="40" w:after="40"/>
            </w:pPr>
            <w:r>
              <w:rPr>
                <w:sz w:val="18"/>
              </w:rPr>
              <w:t>Low in most scenarios — high uncertainty</w:t>
            </w:r>
          </w:p>
        </w:tc>
      </w:tr>
    </w:tbl>
    <w:p w14:paraId="182C66FE" w14:textId="77777777" w:rsidR="00FA345A" w:rsidRDefault="00FA345A"/>
    <w:p w14:paraId="7A77D2F2" w14:textId="77777777" w:rsidR="00FA345A" w:rsidRDefault="00000000">
      <w:pPr>
        <w:spacing w:before="280" w:after="80"/>
      </w:pPr>
      <w:r>
        <w:rPr>
          <w:b/>
          <w:color w:val="1A375E"/>
          <w:sz w:val="30"/>
        </w:rPr>
        <w:t>5.2  The Three Pipeline Presets</w:t>
      </w:r>
    </w:p>
    <w:p w14:paraId="61E4825A" w14:textId="77777777" w:rsidR="00FA345A" w:rsidRDefault="00000000">
      <w:pPr>
        <w:spacing w:before="80" w:after="80"/>
      </w:pPr>
      <w:r>
        <w:t>Three named presets simplify the lever interface. The same preset definitions apply to both large reactors (&gt;300 MW) and small modular reactors (SMRs):</w:t>
      </w:r>
    </w:p>
    <w:tbl>
      <w:tblPr>
        <w:tblStyle w:val="TableGrid"/>
        <w:tblW w:w="0" w:type="auto"/>
        <w:tblLook w:val="04A0" w:firstRow="1" w:lastRow="0" w:firstColumn="1" w:lastColumn="0" w:noHBand="0" w:noVBand="1"/>
      </w:tblPr>
      <w:tblGrid>
        <w:gridCol w:w="1091"/>
        <w:gridCol w:w="933"/>
        <w:gridCol w:w="1148"/>
        <w:gridCol w:w="1167"/>
        <w:gridCol w:w="5237"/>
      </w:tblGrid>
      <w:tr w:rsidR="00FA345A" w14:paraId="1EBFDAD2" w14:textId="77777777">
        <w:tc>
          <w:tcPr>
            <w:tcW w:w="1152" w:type="dxa"/>
            <w:shd w:val="clear" w:color="auto" w:fill="1A375E"/>
          </w:tcPr>
          <w:p w14:paraId="16699AE1" w14:textId="77777777" w:rsidR="00FA345A" w:rsidRDefault="00000000">
            <w:pPr>
              <w:spacing w:before="40" w:after="40"/>
            </w:pPr>
            <w:r>
              <w:rPr>
                <w:b/>
                <w:color w:val="FFFFFF"/>
                <w:sz w:val="18"/>
              </w:rPr>
              <w:t>Preset</w:t>
            </w:r>
          </w:p>
        </w:tc>
        <w:tc>
          <w:tcPr>
            <w:tcW w:w="1008" w:type="dxa"/>
            <w:shd w:val="clear" w:color="auto" w:fill="1A375E"/>
          </w:tcPr>
          <w:p w14:paraId="6C675798" w14:textId="77777777" w:rsidR="00FA345A" w:rsidRDefault="00000000">
            <w:pPr>
              <w:spacing w:before="40" w:after="40"/>
            </w:pPr>
            <w:r>
              <w:rPr>
                <w:b/>
                <w:color w:val="FFFFFF"/>
                <w:sz w:val="18"/>
              </w:rPr>
              <w:t>UC Rate</w:t>
            </w:r>
          </w:p>
        </w:tc>
        <w:tc>
          <w:tcPr>
            <w:tcW w:w="1224" w:type="dxa"/>
            <w:shd w:val="clear" w:color="auto" w:fill="1A375E"/>
          </w:tcPr>
          <w:p w14:paraId="5398425A" w14:textId="77777777" w:rsidR="00FA345A" w:rsidRDefault="00000000">
            <w:pPr>
              <w:spacing w:before="40" w:after="40"/>
            </w:pPr>
            <w:r>
              <w:rPr>
                <w:b/>
                <w:color w:val="FFFFFF"/>
                <w:sz w:val="18"/>
              </w:rPr>
              <w:t>Planned Rate</w:t>
            </w:r>
          </w:p>
        </w:tc>
        <w:tc>
          <w:tcPr>
            <w:tcW w:w="1224" w:type="dxa"/>
            <w:shd w:val="clear" w:color="auto" w:fill="1A375E"/>
          </w:tcPr>
          <w:p w14:paraId="13365256" w14:textId="77777777" w:rsidR="00FA345A" w:rsidRDefault="00000000">
            <w:pPr>
              <w:spacing w:before="40" w:after="40"/>
            </w:pPr>
            <w:r>
              <w:rPr>
                <w:b/>
                <w:color w:val="FFFFFF"/>
                <w:sz w:val="18"/>
              </w:rPr>
              <w:t>Proposed Rate</w:t>
            </w:r>
          </w:p>
        </w:tc>
        <w:tc>
          <w:tcPr>
            <w:tcW w:w="6192" w:type="dxa"/>
            <w:shd w:val="clear" w:color="auto" w:fill="1A375E"/>
          </w:tcPr>
          <w:p w14:paraId="26016657" w14:textId="77777777" w:rsidR="00FA345A" w:rsidRDefault="00000000">
            <w:pPr>
              <w:spacing w:before="40" w:after="40"/>
            </w:pPr>
            <w:r>
              <w:rPr>
                <w:b/>
                <w:color w:val="FFFFFF"/>
                <w:sz w:val="18"/>
              </w:rPr>
              <w:t>Rationale</w:t>
            </w:r>
          </w:p>
        </w:tc>
      </w:tr>
      <w:tr w:rsidR="00FA345A" w14:paraId="367D8DBC" w14:textId="77777777">
        <w:tc>
          <w:tcPr>
            <w:tcW w:w="1152" w:type="dxa"/>
            <w:shd w:val="clear" w:color="auto" w:fill="F2F7FD"/>
          </w:tcPr>
          <w:p w14:paraId="413A5B24" w14:textId="77777777" w:rsidR="00FA345A" w:rsidRDefault="00000000">
            <w:pPr>
              <w:spacing w:before="40" w:after="40"/>
            </w:pPr>
            <w:r>
              <w:rPr>
                <w:sz w:val="18"/>
              </w:rPr>
              <w:t>High</w:t>
            </w:r>
          </w:p>
        </w:tc>
        <w:tc>
          <w:tcPr>
            <w:tcW w:w="1008" w:type="dxa"/>
            <w:shd w:val="clear" w:color="auto" w:fill="F2F7FD"/>
          </w:tcPr>
          <w:p w14:paraId="76C75E66" w14:textId="77777777" w:rsidR="00FA345A" w:rsidRDefault="00000000">
            <w:pPr>
              <w:spacing w:before="40" w:after="40"/>
            </w:pPr>
            <w:r>
              <w:rPr>
                <w:sz w:val="18"/>
              </w:rPr>
              <w:t>100%</w:t>
            </w:r>
          </w:p>
        </w:tc>
        <w:tc>
          <w:tcPr>
            <w:tcW w:w="1224" w:type="dxa"/>
            <w:shd w:val="clear" w:color="auto" w:fill="F2F7FD"/>
          </w:tcPr>
          <w:p w14:paraId="597D6597" w14:textId="77777777" w:rsidR="00FA345A" w:rsidRDefault="00000000">
            <w:pPr>
              <w:spacing w:before="40" w:after="40"/>
            </w:pPr>
            <w:r>
              <w:rPr>
                <w:sz w:val="18"/>
              </w:rPr>
              <w:t>100%</w:t>
            </w:r>
          </w:p>
        </w:tc>
        <w:tc>
          <w:tcPr>
            <w:tcW w:w="1224" w:type="dxa"/>
            <w:shd w:val="clear" w:color="auto" w:fill="F2F7FD"/>
          </w:tcPr>
          <w:p w14:paraId="3AAF3955" w14:textId="77777777" w:rsidR="00FA345A" w:rsidRDefault="00000000">
            <w:pPr>
              <w:spacing w:before="40" w:after="40"/>
            </w:pPr>
            <w:r>
              <w:rPr>
                <w:sz w:val="18"/>
              </w:rPr>
              <w:t>100%</w:t>
            </w:r>
          </w:p>
        </w:tc>
        <w:tc>
          <w:tcPr>
            <w:tcW w:w="6192" w:type="dxa"/>
            <w:shd w:val="clear" w:color="auto" w:fill="F2F7FD"/>
          </w:tcPr>
          <w:p w14:paraId="6F3745CC" w14:textId="77777777" w:rsidR="00FA345A" w:rsidRDefault="00000000">
            <w:pPr>
              <w:spacing w:before="40" w:after="40"/>
            </w:pPr>
            <w:r>
              <w:rPr>
                <w:sz w:val="18"/>
              </w:rPr>
              <w:t>All announced projects complete; used in Optimistic scenario. Aggressive but represents stated government targets (China, Russia, India, South Korea combined pipeline).</w:t>
            </w:r>
          </w:p>
        </w:tc>
      </w:tr>
      <w:tr w:rsidR="00FA345A" w14:paraId="7C67117A" w14:textId="77777777">
        <w:tc>
          <w:tcPr>
            <w:tcW w:w="1152" w:type="dxa"/>
            <w:shd w:val="clear" w:color="auto" w:fill="FFFFFF"/>
          </w:tcPr>
          <w:p w14:paraId="09B32B0F" w14:textId="77777777" w:rsidR="00FA345A" w:rsidRDefault="00000000">
            <w:pPr>
              <w:spacing w:before="40" w:after="40"/>
            </w:pPr>
            <w:r>
              <w:rPr>
                <w:sz w:val="18"/>
              </w:rPr>
              <w:t>Medium</w:t>
            </w:r>
          </w:p>
        </w:tc>
        <w:tc>
          <w:tcPr>
            <w:tcW w:w="1008" w:type="dxa"/>
            <w:shd w:val="clear" w:color="auto" w:fill="FFFFFF"/>
          </w:tcPr>
          <w:p w14:paraId="3987960C" w14:textId="77777777" w:rsidR="00FA345A" w:rsidRDefault="00000000">
            <w:pPr>
              <w:spacing w:before="40" w:after="40"/>
            </w:pPr>
            <w:r>
              <w:rPr>
                <w:sz w:val="18"/>
              </w:rPr>
              <w:t>100%</w:t>
            </w:r>
          </w:p>
        </w:tc>
        <w:tc>
          <w:tcPr>
            <w:tcW w:w="1224" w:type="dxa"/>
            <w:shd w:val="clear" w:color="auto" w:fill="FFFFFF"/>
          </w:tcPr>
          <w:p w14:paraId="21941BA9" w14:textId="77777777" w:rsidR="00FA345A" w:rsidRDefault="00000000">
            <w:pPr>
              <w:spacing w:before="40" w:after="40"/>
            </w:pPr>
            <w:r>
              <w:rPr>
                <w:sz w:val="18"/>
              </w:rPr>
              <w:t>100%</w:t>
            </w:r>
          </w:p>
        </w:tc>
        <w:tc>
          <w:tcPr>
            <w:tcW w:w="1224" w:type="dxa"/>
            <w:shd w:val="clear" w:color="auto" w:fill="FFFFFF"/>
          </w:tcPr>
          <w:p w14:paraId="49F5D8F1" w14:textId="77777777" w:rsidR="00FA345A" w:rsidRDefault="00000000">
            <w:pPr>
              <w:spacing w:before="40" w:after="40"/>
            </w:pPr>
            <w:r>
              <w:rPr>
                <w:sz w:val="18"/>
              </w:rPr>
              <w:t>0%</w:t>
            </w:r>
          </w:p>
        </w:tc>
        <w:tc>
          <w:tcPr>
            <w:tcW w:w="6192" w:type="dxa"/>
            <w:shd w:val="clear" w:color="auto" w:fill="FFFFFF"/>
          </w:tcPr>
          <w:p w14:paraId="77907861" w14:textId="77777777" w:rsidR="00FA345A" w:rsidRDefault="00000000">
            <w:pPr>
              <w:spacing w:before="40" w:after="40"/>
            </w:pPr>
            <w:r>
              <w:rPr>
                <w:sz w:val="18"/>
              </w:rPr>
              <w:t>UC and firm Planned projects complete; Proposed excluded. Used in Base and Conservative scenarios. Reflects observed track record of projects with committed financing.</w:t>
            </w:r>
          </w:p>
        </w:tc>
      </w:tr>
      <w:tr w:rsidR="00FA345A" w14:paraId="2725F29F" w14:textId="77777777">
        <w:tc>
          <w:tcPr>
            <w:tcW w:w="1152" w:type="dxa"/>
            <w:shd w:val="clear" w:color="auto" w:fill="F2F7FD"/>
          </w:tcPr>
          <w:p w14:paraId="19167946" w14:textId="77777777" w:rsidR="00FA345A" w:rsidRDefault="00000000">
            <w:pPr>
              <w:spacing w:before="40" w:after="40"/>
            </w:pPr>
            <w:r>
              <w:rPr>
                <w:sz w:val="18"/>
              </w:rPr>
              <w:t>Low</w:t>
            </w:r>
          </w:p>
        </w:tc>
        <w:tc>
          <w:tcPr>
            <w:tcW w:w="1008" w:type="dxa"/>
            <w:shd w:val="clear" w:color="auto" w:fill="F2F7FD"/>
          </w:tcPr>
          <w:p w14:paraId="0E3720F7" w14:textId="77777777" w:rsidR="00FA345A" w:rsidRDefault="00000000">
            <w:pPr>
              <w:spacing w:before="40" w:after="40"/>
            </w:pPr>
            <w:r>
              <w:rPr>
                <w:sz w:val="18"/>
              </w:rPr>
              <w:t>100%</w:t>
            </w:r>
          </w:p>
        </w:tc>
        <w:tc>
          <w:tcPr>
            <w:tcW w:w="1224" w:type="dxa"/>
            <w:shd w:val="clear" w:color="auto" w:fill="F2F7FD"/>
          </w:tcPr>
          <w:p w14:paraId="73F84F7C" w14:textId="77777777" w:rsidR="00FA345A" w:rsidRDefault="00000000">
            <w:pPr>
              <w:spacing w:before="40" w:after="40"/>
            </w:pPr>
            <w:r>
              <w:rPr>
                <w:sz w:val="18"/>
              </w:rPr>
              <w:t>0%</w:t>
            </w:r>
          </w:p>
        </w:tc>
        <w:tc>
          <w:tcPr>
            <w:tcW w:w="1224" w:type="dxa"/>
            <w:shd w:val="clear" w:color="auto" w:fill="F2F7FD"/>
          </w:tcPr>
          <w:p w14:paraId="180E4B40" w14:textId="77777777" w:rsidR="00FA345A" w:rsidRDefault="00000000">
            <w:pPr>
              <w:spacing w:before="40" w:after="40"/>
            </w:pPr>
            <w:r>
              <w:rPr>
                <w:sz w:val="18"/>
              </w:rPr>
              <w:t>0%</w:t>
            </w:r>
          </w:p>
        </w:tc>
        <w:tc>
          <w:tcPr>
            <w:tcW w:w="6192" w:type="dxa"/>
            <w:shd w:val="clear" w:color="auto" w:fill="F2F7FD"/>
          </w:tcPr>
          <w:p w14:paraId="77698BD2" w14:textId="77777777" w:rsidR="00FA345A" w:rsidRDefault="00000000">
            <w:pPr>
              <w:spacing w:before="40" w:after="40"/>
            </w:pPr>
            <w:r>
              <w:rPr>
                <w:sz w:val="18"/>
              </w:rPr>
              <w:t>Only units already under construction complete. Used in Decline scenario. Conservative: accounts for high cancellation rates of Planned projects in most Western markets historically.</w:t>
            </w:r>
          </w:p>
        </w:tc>
      </w:tr>
    </w:tbl>
    <w:p w14:paraId="75D996D9" w14:textId="77777777" w:rsidR="00FA345A" w:rsidRDefault="00FA345A"/>
    <w:p w14:paraId="377D01E9" w14:textId="77777777" w:rsidR="00FA345A" w:rsidRDefault="00000000">
      <w:pPr>
        <w:spacing w:before="280" w:after="80"/>
      </w:pPr>
      <w:r>
        <w:rPr>
          <w:b/>
          <w:color w:val="1A375E"/>
          <w:sz w:val="30"/>
        </w:rPr>
        <w:t>5.3  Why Binary (Not Probabilistic) Realization?</w:t>
      </w:r>
    </w:p>
    <w:p w14:paraId="51BF23E1" w14:textId="77777777" w:rsidR="00FA345A" w:rsidRDefault="00000000">
      <w:pPr>
        <w:spacing w:before="80" w:after="80"/>
      </w:pPr>
      <w:r>
        <w:t>The pipeline_probability field exists in the database and is displayed in the reactor detail tables. However, the four preset scenarios use binary realization rates (0 or 1) rather than fractional probabilities for two reasons:</w:t>
      </w:r>
    </w:p>
    <w:p w14:paraId="2CD05F95" w14:textId="77777777" w:rsidR="00FA345A" w:rsidRDefault="00000000">
      <w:pPr>
        <w:pStyle w:val="ListBullet"/>
        <w:spacing w:before="40" w:after="40"/>
      </w:pPr>
      <w:r>
        <w:t>Scenario clarity: each scenario represents a coherent policy world, not a probability-weighted average. A "Base" scenario that shows 0.6× of every reactor is less interpretable than one where a defined set of reactors either does or does not build.</w:t>
      </w:r>
    </w:p>
    <w:p w14:paraId="50EF9FBC" w14:textId="77777777" w:rsidR="00FA345A" w:rsidRDefault="00000000">
      <w:pPr>
        <w:pStyle w:val="ListBullet"/>
        <w:spacing w:before="40" w:after="40"/>
      </w:pPr>
      <w:r>
        <w:lastRenderedPageBreak/>
        <w:t>Benchmark anchoring: the post-2040 bridge rates are calibrated against IAEA/IEA totals; using fractional rates in the bottom-up phase would require recalibration for every intermediate value.</w:t>
      </w:r>
    </w:p>
    <w:p w14:paraId="13CFC983" w14:textId="77777777" w:rsidR="00FA345A" w:rsidRDefault="00000000">
      <w:pPr>
        <w:spacing w:before="80" w:after="80"/>
      </w:pPr>
      <w:r>
        <w:t>The Scenario Lab allows users to set continuous pipeline rates (e.g., 40% Proposed realization) for custom scenarios, where individual reactor probabilities are applied directly.</w:t>
      </w:r>
    </w:p>
    <w:p w14:paraId="257274BE" w14:textId="77777777" w:rsidR="00FA345A" w:rsidRDefault="00000000">
      <w:pPr>
        <w:spacing w:before="280" w:after="80"/>
      </w:pPr>
      <w:r>
        <w:rPr>
          <w:b/>
          <w:color w:val="1A375E"/>
          <w:sz w:val="30"/>
        </w:rPr>
        <w:t>5.4  Construction Delay Adder</w:t>
      </w:r>
    </w:p>
    <w:p w14:paraId="32F561CF" w14:textId="77777777" w:rsidR="00FA345A" w:rsidRDefault="00000000">
      <w:pPr>
        <w:spacing w:before="80" w:after="80"/>
      </w:pPr>
      <w:r>
        <w:t>Each scenario includes a construction_delay_adder_years parameter that shifts all pipeline reactor online years forward by the specified amount. This captures systemic supply-chain and labour constraints:</w:t>
      </w:r>
    </w:p>
    <w:tbl>
      <w:tblPr>
        <w:tblStyle w:val="TableGrid"/>
        <w:tblW w:w="0" w:type="auto"/>
        <w:tblLook w:val="04A0" w:firstRow="1" w:lastRow="0" w:firstColumn="1" w:lastColumn="0" w:noHBand="0" w:noVBand="1"/>
      </w:tblPr>
      <w:tblGrid>
        <w:gridCol w:w="1728"/>
        <w:gridCol w:w="1584"/>
        <w:gridCol w:w="6048"/>
      </w:tblGrid>
      <w:tr w:rsidR="00FA345A" w14:paraId="3920DD70" w14:textId="77777777">
        <w:tc>
          <w:tcPr>
            <w:tcW w:w="1728" w:type="dxa"/>
            <w:shd w:val="clear" w:color="auto" w:fill="1A375E"/>
          </w:tcPr>
          <w:p w14:paraId="0AB6124D" w14:textId="77777777" w:rsidR="00FA345A" w:rsidRDefault="00000000">
            <w:pPr>
              <w:spacing w:before="40" w:after="40"/>
            </w:pPr>
            <w:r>
              <w:rPr>
                <w:b/>
                <w:color w:val="FFFFFF"/>
                <w:sz w:val="18"/>
              </w:rPr>
              <w:t>Scenario</w:t>
            </w:r>
          </w:p>
        </w:tc>
        <w:tc>
          <w:tcPr>
            <w:tcW w:w="1584" w:type="dxa"/>
            <w:shd w:val="clear" w:color="auto" w:fill="1A375E"/>
          </w:tcPr>
          <w:p w14:paraId="05E8CE1F" w14:textId="77777777" w:rsidR="00FA345A" w:rsidRDefault="00000000">
            <w:pPr>
              <w:spacing w:before="40" w:after="40"/>
            </w:pPr>
            <w:r>
              <w:rPr>
                <w:b/>
                <w:color w:val="FFFFFF"/>
                <w:sz w:val="18"/>
              </w:rPr>
              <w:t>Delay Adder</w:t>
            </w:r>
          </w:p>
        </w:tc>
        <w:tc>
          <w:tcPr>
            <w:tcW w:w="6048" w:type="dxa"/>
            <w:shd w:val="clear" w:color="auto" w:fill="1A375E"/>
          </w:tcPr>
          <w:p w14:paraId="4F382CF0" w14:textId="77777777" w:rsidR="00FA345A" w:rsidRDefault="00000000">
            <w:pPr>
              <w:spacing w:before="40" w:after="40"/>
            </w:pPr>
            <w:r>
              <w:rPr>
                <w:b/>
                <w:color w:val="FFFFFF"/>
                <w:sz w:val="18"/>
              </w:rPr>
              <w:t>Rationale</w:t>
            </w:r>
          </w:p>
        </w:tc>
      </w:tr>
      <w:tr w:rsidR="00FA345A" w14:paraId="6E91C038" w14:textId="77777777">
        <w:tc>
          <w:tcPr>
            <w:tcW w:w="1728" w:type="dxa"/>
            <w:shd w:val="clear" w:color="auto" w:fill="F2F7FD"/>
          </w:tcPr>
          <w:p w14:paraId="3CDBDAE5" w14:textId="77777777" w:rsidR="00FA345A" w:rsidRDefault="00000000">
            <w:pPr>
              <w:spacing w:before="40" w:after="40"/>
            </w:pPr>
            <w:r>
              <w:rPr>
                <w:sz w:val="18"/>
              </w:rPr>
              <w:t>Decline</w:t>
            </w:r>
          </w:p>
        </w:tc>
        <w:tc>
          <w:tcPr>
            <w:tcW w:w="1584" w:type="dxa"/>
            <w:shd w:val="clear" w:color="auto" w:fill="F2F7FD"/>
          </w:tcPr>
          <w:p w14:paraId="5969486D" w14:textId="77777777" w:rsidR="00FA345A" w:rsidRDefault="00000000">
            <w:pPr>
              <w:spacing w:before="40" w:after="40"/>
            </w:pPr>
            <w:r>
              <w:rPr>
                <w:sz w:val="18"/>
              </w:rPr>
              <w:t>3 years</w:t>
            </w:r>
          </w:p>
        </w:tc>
        <w:tc>
          <w:tcPr>
            <w:tcW w:w="6048" w:type="dxa"/>
            <w:shd w:val="clear" w:color="auto" w:fill="F2F7FD"/>
          </w:tcPr>
          <w:p w14:paraId="370C5125" w14:textId="77777777" w:rsidR="00FA345A" w:rsidRDefault="00000000">
            <w:pPr>
              <w:spacing w:before="40" w:after="40"/>
            </w:pPr>
            <w:r>
              <w:rPr>
                <w:sz w:val="18"/>
              </w:rPr>
              <w:t>High delay environment — reflects recent Western experience (Hinkley Point C, Vogtle, Flamanville)</w:t>
            </w:r>
          </w:p>
        </w:tc>
      </w:tr>
      <w:tr w:rsidR="00FA345A" w14:paraId="6ED79D70" w14:textId="77777777">
        <w:tc>
          <w:tcPr>
            <w:tcW w:w="1728" w:type="dxa"/>
            <w:shd w:val="clear" w:color="auto" w:fill="FFFFFF"/>
          </w:tcPr>
          <w:p w14:paraId="688824FE" w14:textId="77777777" w:rsidR="00FA345A" w:rsidRDefault="00000000">
            <w:pPr>
              <w:spacing w:before="40" w:after="40"/>
            </w:pPr>
            <w:r>
              <w:rPr>
                <w:sz w:val="18"/>
              </w:rPr>
              <w:t>Conservative</w:t>
            </w:r>
          </w:p>
        </w:tc>
        <w:tc>
          <w:tcPr>
            <w:tcW w:w="1584" w:type="dxa"/>
            <w:shd w:val="clear" w:color="auto" w:fill="FFFFFF"/>
          </w:tcPr>
          <w:p w14:paraId="4A001FD4" w14:textId="77777777" w:rsidR="00FA345A" w:rsidRDefault="00000000">
            <w:pPr>
              <w:spacing w:before="40" w:after="40"/>
            </w:pPr>
            <w:r>
              <w:rPr>
                <w:sz w:val="18"/>
              </w:rPr>
              <w:t>2 years</w:t>
            </w:r>
          </w:p>
        </w:tc>
        <w:tc>
          <w:tcPr>
            <w:tcW w:w="6048" w:type="dxa"/>
            <w:shd w:val="clear" w:color="auto" w:fill="FFFFFF"/>
          </w:tcPr>
          <w:p w14:paraId="01D1F604" w14:textId="77777777" w:rsidR="00FA345A" w:rsidRDefault="00000000">
            <w:pPr>
              <w:spacing w:before="40" w:after="40"/>
            </w:pPr>
            <w:r>
              <w:rPr>
                <w:sz w:val="18"/>
              </w:rPr>
              <w:t>Moderate delays — some improvement in supply chain but structural constraints persist</w:t>
            </w:r>
          </w:p>
        </w:tc>
      </w:tr>
      <w:tr w:rsidR="00FA345A" w14:paraId="2FFFC121" w14:textId="77777777">
        <w:tc>
          <w:tcPr>
            <w:tcW w:w="1728" w:type="dxa"/>
            <w:shd w:val="clear" w:color="auto" w:fill="F2F7FD"/>
          </w:tcPr>
          <w:p w14:paraId="60BFD569" w14:textId="77777777" w:rsidR="00FA345A" w:rsidRDefault="00000000">
            <w:pPr>
              <w:spacing w:before="40" w:after="40"/>
            </w:pPr>
            <w:r>
              <w:rPr>
                <w:sz w:val="18"/>
              </w:rPr>
              <w:t>Base</w:t>
            </w:r>
          </w:p>
        </w:tc>
        <w:tc>
          <w:tcPr>
            <w:tcW w:w="1584" w:type="dxa"/>
            <w:shd w:val="clear" w:color="auto" w:fill="F2F7FD"/>
          </w:tcPr>
          <w:p w14:paraId="3A6B1A5A" w14:textId="77777777" w:rsidR="00FA345A" w:rsidRDefault="00000000">
            <w:pPr>
              <w:spacing w:before="40" w:after="40"/>
            </w:pPr>
            <w:r>
              <w:rPr>
                <w:sz w:val="18"/>
              </w:rPr>
              <w:t>0 years</w:t>
            </w:r>
          </w:p>
        </w:tc>
        <w:tc>
          <w:tcPr>
            <w:tcW w:w="6048" w:type="dxa"/>
            <w:shd w:val="clear" w:color="auto" w:fill="F2F7FD"/>
          </w:tcPr>
          <w:p w14:paraId="39DEB62D" w14:textId="77777777" w:rsidR="00FA345A" w:rsidRDefault="00000000">
            <w:pPr>
              <w:spacing w:before="40" w:after="40"/>
            </w:pPr>
            <w:r>
              <w:rPr>
                <w:sz w:val="18"/>
              </w:rPr>
              <w:t>No additional delay — modelled expected online years taken as stated</w:t>
            </w:r>
          </w:p>
        </w:tc>
      </w:tr>
      <w:tr w:rsidR="00FA345A" w14:paraId="58203B42" w14:textId="77777777">
        <w:tc>
          <w:tcPr>
            <w:tcW w:w="1728" w:type="dxa"/>
            <w:shd w:val="clear" w:color="auto" w:fill="FFFFFF"/>
          </w:tcPr>
          <w:p w14:paraId="01A0CE3B" w14:textId="77777777" w:rsidR="00FA345A" w:rsidRDefault="00000000">
            <w:pPr>
              <w:spacing w:before="40" w:after="40"/>
            </w:pPr>
            <w:r>
              <w:rPr>
                <w:sz w:val="18"/>
              </w:rPr>
              <w:t>Optimistic</w:t>
            </w:r>
          </w:p>
        </w:tc>
        <w:tc>
          <w:tcPr>
            <w:tcW w:w="1584" w:type="dxa"/>
            <w:shd w:val="clear" w:color="auto" w:fill="FFFFFF"/>
          </w:tcPr>
          <w:p w14:paraId="11146C9A" w14:textId="77777777" w:rsidR="00FA345A" w:rsidRDefault="00000000">
            <w:pPr>
              <w:spacing w:before="40" w:after="40"/>
            </w:pPr>
            <w:r>
              <w:rPr>
                <w:sz w:val="18"/>
              </w:rPr>
              <w:t>0 years</w:t>
            </w:r>
          </w:p>
        </w:tc>
        <w:tc>
          <w:tcPr>
            <w:tcW w:w="6048" w:type="dxa"/>
            <w:shd w:val="clear" w:color="auto" w:fill="FFFFFF"/>
          </w:tcPr>
          <w:p w14:paraId="57970824" w14:textId="77777777" w:rsidR="00FA345A" w:rsidRDefault="00000000">
            <w:pPr>
              <w:spacing w:before="40" w:after="40"/>
            </w:pPr>
            <w:r>
              <w:rPr>
                <w:sz w:val="18"/>
              </w:rPr>
              <w:t>No additional delay — assumes policy and supply chain support for timely delivery</w:t>
            </w:r>
          </w:p>
        </w:tc>
      </w:tr>
    </w:tbl>
    <w:p w14:paraId="678E43F7" w14:textId="77777777" w:rsidR="00FA345A" w:rsidRDefault="00FA345A"/>
    <w:p w14:paraId="57D257A3" w14:textId="77777777" w:rsidR="00FA345A" w:rsidRDefault="00000000">
      <w:pPr>
        <w:spacing w:after="0"/>
      </w:pPr>
      <w:r>
        <w:br w:type="page"/>
      </w:r>
    </w:p>
    <w:p w14:paraId="3B78DA30" w14:textId="77777777" w:rsidR="00FA345A" w:rsidRDefault="00000000">
      <w:pPr>
        <w:pBdr>
          <w:bottom w:val="single" w:sz="6" w:space="4" w:color="2E75B6"/>
        </w:pBdr>
        <w:spacing w:before="360"/>
      </w:pPr>
      <w:r>
        <w:rPr>
          <w:b/>
          <w:color w:val="1A375E"/>
          <w:sz w:val="40"/>
        </w:rPr>
        <w:lastRenderedPageBreak/>
        <w:t>6.  Scenarios in Detail</w:t>
      </w:r>
    </w:p>
    <w:p w14:paraId="26573257" w14:textId="77777777" w:rsidR="00FA345A" w:rsidRDefault="00000000">
      <w:pPr>
        <w:spacing w:before="80" w:after="80"/>
      </w:pPr>
      <w:r>
        <w:t>This section documents each scenario's full parameter set and rationale. All scenario parameters are stored in the scenarios and scenario_regional_params tables in the database and are directly used by the projection engine — there are no undocumented adjustments.</w:t>
      </w:r>
    </w:p>
    <w:tbl>
      <w:tblPr>
        <w:tblW w:w="0" w:type="auto"/>
        <w:tblLook w:val="04A0" w:firstRow="1" w:lastRow="0" w:firstColumn="1" w:lastColumn="0" w:noHBand="0" w:noVBand="1"/>
      </w:tblPr>
      <w:tblGrid>
        <w:gridCol w:w="9360"/>
      </w:tblGrid>
      <w:tr w:rsidR="00FA345A" w14:paraId="0F61B096" w14:textId="77777777">
        <w:tc>
          <w:tcPr>
            <w:tcW w:w="9360" w:type="dxa"/>
            <w:shd w:val="clear" w:color="auto" w:fill="C0392B"/>
          </w:tcPr>
          <w:p w14:paraId="7A32F158" w14:textId="77777777" w:rsidR="00FA345A" w:rsidRDefault="00000000">
            <w:pPr>
              <w:spacing w:before="80" w:after="80"/>
              <w:jc w:val="center"/>
            </w:pPr>
            <w:r>
              <w:rPr>
                <w:b/>
                <w:color w:val="FFFFFF"/>
                <w:sz w:val="26"/>
              </w:rPr>
              <w:t>6.1  Decline Scenario</w:t>
            </w:r>
          </w:p>
        </w:tc>
      </w:tr>
    </w:tbl>
    <w:p w14:paraId="33DCF2A9" w14:textId="77777777" w:rsidR="00FA345A" w:rsidRDefault="00000000">
      <w:pPr>
        <w:spacing w:before="80" w:after="80"/>
      </w:pPr>
      <w:r>
        <w:t>The Decline scenario represents a world where policy support for nuclear fades, construction programs stall, and life extensions are not pursued. It anchors to the IEA Low Nuclear Case, which represents approximately 250 GW of global capacity by 2050 — a scenario IEA describes as where "nuclear power faces severe constraints." This is not a "nuclear disappears" scenario; it is a world of managed decline from the current ~380 GW base to a residual fleet concentrated in geographies with long-term state support (China, Russia, India).</w:t>
      </w:r>
    </w:p>
    <w:p w14:paraId="3E561549" w14:textId="77777777" w:rsidR="00FA345A" w:rsidRDefault="00000000">
      <w:pPr>
        <w:pStyle w:val="ListBullet"/>
        <w:spacing w:before="40" w:after="40"/>
      </w:pPr>
      <w:r>
        <w:rPr>
          <w:b/>
        </w:rPr>
        <w:t xml:space="preserve">Life extension policy: </w:t>
      </w:r>
      <w:r>
        <w:t>AcceleratedRetirement — No Tier 2 extensions. Every reactor retires at its initial license expiry or declared date, whichever comes first. Already-approved extensions (Tier 1) are honored.</w:t>
      </w:r>
    </w:p>
    <w:tbl>
      <w:tblPr>
        <w:tblStyle w:val="TableGrid"/>
        <w:tblW w:w="0" w:type="auto"/>
        <w:tblLook w:val="04A0" w:firstRow="1" w:lastRow="0" w:firstColumn="1" w:lastColumn="0" w:noHBand="0" w:noVBand="1"/>
      </w:tblPr>
      <w:tblGrid>
        <w:gridCol w:w="3168"/>
        <w:gridCol w:w="6192"/>
      </w:tblGrid>
      <w:tr w:rsidR="00FA345A" w14:paraId="70B66A7F" w14:textId="77777777">
        <w:tc>
          <w:tcPr>
            <w:tcW w:w="3168" w:type="dxa"/>
            <w:shd w:val="clear" w:color="auto" w:fill="1A375E"/>
          </w:tcPr>
          <w:p w14:paraId="077B6DD6" w14:textId="77777777" w:rsidR="00FA345A" w:rsidRDefault="00000000">
            <w:pPr>
              <w:spacing w:before="40" w:after="40"/>
            </w:pPr>
            <w:r>
              <w:rPr>
                <w:b/>
                <w:color w:val="FFFFFF"/>
                <w:sz w:val="18"/>
              </w:rPr>
              <w:t>Parameter</w:t>
            </w:r>
          </w:p>
        </w:tc>
        <w:tc>
          <w:tcPr>
            <w:tcW w:w="6192" w:type="dxa"/>
            <w:shd w:val="clear" w:color="auto" w:fill="1A375E"/>
          </w:tcPr>
          <w:p w14:paraId="253155D4" w14:textId="77777777" w:rsidR="00FA345A" w:rsidRDefault="00000000">
            <w:pPr>
              <w:spacing w:before="40" w:after="40"/>
            </w:pPr>
            <w:r>
              <w:rPr>
                <w:b/>
                <w:color w:val="FFFFFF"/>
                <w:sz w:val="18"/>
              </w:rPr>
              <w:t>Value</w:t>
            </w:r>
          </w:p>
        </w:tc>
      </w:tr>
      <w:tr w:rsidR="00FA345A" w14:paraId="172F68F6" w14:textId="77777777">
        <w:tc>
          <w:tcPr>
            <w:tcW w:w="3168" w:type="dxa"/>
            <w:shd w:val="clear" w:color="auto" w:fill="F2F7FD"/>
          </w:tcPr>
          <w:p w14:paraId="21208B17" w14:textId="77777777" w:rsidR="00FA345A" w:rsidRDefault="00000000">
            <w:pPr>
              <w:spacing w:before="40" w:after="40"/>
            </w:pPr>
            <w:r>
              <w:rPr>
                <w:sz w:val="18"/>
              </w:rPr>
              <w:t>Pipeline (large reactors)</w:t>
            </w:r>
          </w:p>
        </w:tc>
        <w:tc>
          <w:tcPr>
            <w:tcW w:w="6192" w:type="dxa"/>
            <w:shd w:val="clear" w:color="auto" w:fill="F2F7FD"/>
          </w:tcPr>
          <w:p w14:paraId="7884BC0E" w14:textId="77777777" w:rsidR="00FA345A" w:rsidRDefault="00000000">
            <w:pPr>
              <w:spacing w:before="40" w:after="40"/>
            </w:pPr>
            <w:r>
              <w:rPr>
                <w:sz w:val="18"/>
              </w:rPr>
              <w:t>Low: 100% UC / 0% Planned / 0% Proposed</w:t>
            </w:r>
          </w:p>
        </w:tc>
      </w:tr>
      <w:tr w:rsidR="00FA345A" w14:paraId="66D55FFB" w14:textId="77777777">
        <w:tc>
          <w:tcPr>
            <w:tcW w:w="3168" w:type="dxa"/>
            <w:shd w:val="clear" w:color="auto" w:fill="FFFFFF"/>
          </w:tcPr>
          <w:p w14:paraId="10DA7339" w14:textId="77777777" w:rsidR="00FA345A" w:rsidRDefault="00000000">
            <w:pPr>
              <w:spacing w:before="40" w:after="40"/>
            </w:pPr>
            <w:r>
              <w:rPr>
                <w:sz w:val="18"/>
              </w:rPr>
              <w:t>Pipeline (SMRs)</w:t>
            </w:r>
          </w:p>
        </w:tc>
        <w:tc>
          <w:tcPr>
            <w:tcW w:w="6192" w:type="dxa"/>
            <w:shd w:val="clear" w:color="auto" w:fill="FFFFFF"/>
          </w:tcPr>
          <w:p w14:paraId="2782FA9F" w14:textId="77777777" w:rsidR="00FA345A" w:rsidRDefault="00000000">
            <w:pPr>
              <w:spacing w:before="40" w:after="40"/>
            </w:pPr>
            <w:r>
              <w:rPr>
                <w:sz w:val="18"/>
              </w:rPr>
              <w:t>Low: 100% UC / 0% Planned / 0% Proposed</w:t>
            </w:r>
          </w:p>
        </w:tc>
      </w:tr>
      <w:tr w:rsidR="00FA345A" w14:paraId="182AD40B" w14:textId="77777777">
        <w:tc>
          <w:tcPr>
            <w:tcW w:w="3168" w:type="dxa"/>
            <w:shd w:val="clear" w:color="auto" w:fill="F2F7FD"/>
          </w:tcPr>
          <w:p w14:paraId="22CFFF32" w14:textId="77777777" w:rsidR="00FA345A" w:rsidRDefault="00000000">
            <w:pPr>
              <w:spacing w:before="40" w:after="40"/>
            </w:pPr>
            <w:r>
              <w:rPr>
                <w:sz w:val="18"/>
              </w:rPr>
              <w:t>Construction delay adder</w:t>
            </w:r>
          </w:p>
        </w:tc>
        <w:tc>
          <w:tcPr>
            <w:tcW w:w="6192" w:type="dxa"/>
            <w:shd w:val="clear" w:color="auto" w:fill="F2F7FD"/>
          </w:tcPr>
          <w:p w14:paraId="207DE0EE" w14:textId="77777777" w:rsidR="00FA345A" w:rsidRDefault="00000000">
            <w:pPr>
              <w:spacing w:before="40" w:after="40"/>
            </w:pPr>
            <w:r>
              <w:rPr>
                <w:sz w:val="18"/>
              </w:rPr>
              <w:t>3 years added to all pipeline online years</w:t>
            </w:r>
          </w:p>
        </w:tc>
      </w:tr>
      <w:tr w:rsidR="00FA345A" w14:paraId="4D26DD1A" w14:textId="77777777">
        <w:tc>
          <w:tcPr>
            <w:tcW w:w="3168" w:type="dxa"/>
            <w:shd w:val="clear" w:color="auto" w:fill="FFFFFF"/>
          </w:tcPr>
          <w:p w14:paraId="3E156BB5" w14:textId="77777777" w:rsidR="00FA345A" w:rsidRDefault="00000000">
            <w:pPr>
              <w:spacing w:before="40" w:after="40"/>
            </w:pPr>
            <w:r>
              <w:rPr>
                <w:sz w:val="18"/>
              </w:rPr>
              <w:t>Post-2040 new build</w:t>
            </w:r>
          </w:p>
        </w:tc>
        <w:tc>
          <w:tcPr>
            <w:tcW w:w="6192" w:type="dxa"/>
            <w:shd w:val="clear" w:color="auto" w:fill="FFFFFF"/>
          </w:tcPr>
          <w:p w14:paraId="56D1E40E" w14:textId="77777777" w:rsidR="00FA345A" w:rsidRDefault="00000000">
            <w:pPr>
              <w:spacing w:before="40" w:after="40"/>
            </w:pPr>
            <w:r>
              <w:rPr>
                <w:sz w:val="18"/>
              </w:rPr>
              <w:t>~10 GW/yr globally (barely offsetting retirements)</w:t>
            </w:r>
          </w:p>
        </w:tc>
      </w:tr>
      <w:tr w:rsidR="00FA345A" w14:paraId="04EC0240" w14:textId="77777777">
        <w:tc>
          <w:tcPr>
            <w:tcW w:w="3168" w:type="dxa"/>
            <w:shd w:val="clear" w:color="auto" w:fill="F2F7FD"/>
          </w:tcPr>
          <w:p w14:paraId="66FD1D7D" w14:textId="77777777" w:rsidR="00FA345A" w:rsidRDefault="00000000">
            <w:pPr>
              <w:spacing w:before="40" w:after="40"/>
            </w:pPr>
            <w:r>
              <w:rPr>
                <w:sz w:val="18"/>
              </w:rPr>
              <w:t>US extension policy</w:t>
            </w:r>
          </w:p>
        </w:tc>
        <w:tc>
          <w:tcPr>
            <w:tcW w:w="6192" w:type="dxa"/>
            <w:shd w:val="clear" w:color="auto" w:fill="F2F7FD"/>
          </w:tcPr>
          <w:p w14:paraId="17612598" w14:textId="77777777" w:rsidR="00FA345A" w:rsidRDefault="00000000">
            <w:pPr>
              <w:spacing w:before="40" w:after="40"/>
            </w:pPr>
            <w:r>
              <w:rPr>
                <w:sz w:val="18"/>
              </w:rPr>
              <w:t>AcceleratedRetirement (consistent with global policy)</w:t>
            </w:r>
          </w:p>
        </w:tc>
      </w:tr>
      <w:tr w:rsidR="00FA345A" w14:paraId="3B5C331C" w14:textId="77777777">
        <w:tc>
          <w:tcPr>
            <w:tcW w:w="3168" w:type="dxa"/>
            <w:shd w:val="clear" w:color="auto" w:fill="FFFFFF"/>
          </w:tcPr>
          <w:p w14:paraId="6D1F1668" w14:textId="77777777" w:rsidR="00FA345A" w:rsidRDefault="00000000">
            <w:pPr>
              <w:spacing w:before="40" w:after="40"/>
            </w:pPr>
            <w:r>
              <w:rPr>
                <w:sz w:val="18"/>
              </w:rPr>
              <w:t>Post-2040 China new build</w:t>
            </w:r>
          </w:p>
        </w:tc>
        <w:tc>
          <w:tcPr>
            <w:tcW w:w="6192" w:type="dxa"/>
            <w:shd w:val="clear" w:color="auto" w:fill="FFFFFF"/>
          </w:tcPr>
          <w:p w14:paraId="5CAB86B8" w14:textId="77777777" w:rsidR="00FA345A" w:rsidRDefault="00000000">
            <w:pPr>
              <w:spacing w:before="40" w:after="40"/>
            </w:pPr>
            <w:r>
              <w:rPr>
                <w:sz w:val="18"/>
              </w:rPr>
              <w:t>~2.8 GW/yr (much lower than other scenarios)</w:t>
            </w:r>
          </w:p>
        </w:tc>
      </w:tr>
      <w:tr w:rsidR="00FA345A" w14:paraId="593D9B1E" w14:textId="77777777">
        <w:tc>
          <w:tcPr>
            <w:tcW w:w="3168" w:type="dxa"/>
            <w:shd w:val="clear" w:color="auto" w:fill="F2F7FD"/>
          </w:tcPr>
          <w:p w14:paraId="5B219316" w14:textId="77777777" w:rsidR="00FA345A" w:rsidRDefault="00000000">
            <w:pPr>
              <w:spacing w:before="40" w:after="40"/>
            </w:pPr>
            <w:r>
              <w:rPr>
                <w:sz w:val="18"/>
              </w:rPr>
              <w:t>2050 target capacity</w:t>
            </w:r>
          </w:p>
        </w:tc>
        <w:tc>
          <w:tcPr>
            <w:tcW w:w="6192" w:type="dxa"/>
            <w:shd w:val="clear" w:color="auto" w:fill="F2F7FD"/>
          </w:tcPr>
          <w:p w14:paraId="32148BA2" w14:textId="77777777" w:rsidR="00FA345A" w:rsidRDefault="00000000">
            <w:pPr>
              <w:spacing w:before="40" w:after="40"/>
            </w:pPr>
            <w:r>
              <w:rPr>
                <w:sz w:val="18"/>
              </w:rPr>
              <w:t>~250 GW (IEA Low Nuclear Case)</w:t>
            </w:r>
          </w:p>
        </w:tc>
      </w:tr>
    </w:tbl>
    <w:p w14:paraId="2B74C2DD" w14:textId="77777777" w:rsidR="00FA345A" w:rsidRDefault="00FA345A"/>
    <w:p w14:paraId="39646084" w14:textId="77777777" w:rsidR="00FA345A" w:rsidRDefault="00000000">
      <w:pPr>
        <w:spacing w:before="80" w:after="80"/>
      </w:pPr>
      <w:r>
        <w:t>Benchmark alignment: The IEA Low Nuclear Case (WEO 2024, ~250 GW by 2050) represents "a challenging environment in which nuclear faces significant headwinds." Key comparators: IAEA Low Case (2050) = 561 GW, indicating the IEA Low Nuclear is more pessimistic than even the IAEA conservative view. This scenario is included to bracket the lower end of credible outcomes, not as a base expectation.</w:t>
      </w:r>
    </w:p>
    <w:tbl>
      <w:tblPr>
        <w:tblW w:w="0" w:type="auto"/>
        <w:tblLook w:val="04A0" w:firstRow="1" w:lastRow="0" w:firstColumn="1" w:lastColumn="0" w:noHBand="0" w:noVBand="1"/>
      </w:tblPr>
      <w:tblGrid>
        <w:gridCol w:w="9360"/>
      </w:tblGrid>
      <w:tr w:rsidR="00FA345A" w14:paraId="193093B2" w14:textId="77777777">
        <w:tc>
          <w:tcPr>
            <w:tcW w:w="9360" w:type="dxa"/>
            <w:tcBorders>
              <w:left w:val="single" w:sz="18" w:space="0" w:color="C0392B"/>
            </w:tcBorders>
            <w:shd w:val="clear" w:color="auto" w:fill="FFEBEB"/>
            <w:tcMar>
              <w:top w:w="80" w:type="dxa"/>
              <w:left w:w="160" w:type="dxa"/>
              <w:bottom w:w="80" w:type="dxa"/>
              <w:right w:w="160" w:type="dxa"/>
            </w:tcMar>
          </w:tcPr>
          <w:p w14:paraId="5AD785B0" w14:textId="77777777" w:rsidR="00FA345A" w:rsidRDefault="00000000">
            <w:pPr>
              <w:spacing w:before="40" w:after="40"/>
            </w:pPr>
            <w:r>
              <w:rPr>
                <w:b/>
                <w:color w:val="C0392B"/>
              </w:rPr>
              <w:t xml:space="preserve">Why this matters:  </w:t>
            </w:r>
            <w:r>
              <w:t>Even in Decline, China and Russia continue adding capacity under state-directed programs. The scenario does not assume zero new build globally — it assumes Western cancellations dominate, and Asian growth is insufficient to offset total retirements.</w:t>
            </w:r>
          </w:p>
        </w:tc>
      </w:tr>
    </w:tbl>
    <w:p w14:paraId="779ED692" w14:textId="77777777" w:rsidR="00FA345A" w:rsidRDefault="00FA345A"/>
    <w:p w14:paraId="239AA71C" w14:textId="77777777" w:rsidR="00FA345A" w:rsidRDefault="00FA345A"/>
    <w:tbl>
      <w:tblPr>
        <w:tblW w:w="0" w:type="auto"/>
        <w:tblLook w:val="04A0" w:firstRow="1" w:lastRow="0" w:firstColumn="1" w:lastColumn="0" w:noHBand="0" w:noVBand="1"/>
      </w:tblPr>
      <w:tblGrid>
        <w:gridCol w:w="9360"/>
      </w:tblGrid>
      <w:tr w:rsidR="00FA345A" w14:paraId="31EFC913" w14:textId="77777777">
        <w:tc>
          <w:tcPr>
            <w:tcW w:w="9360" w:type="dxa"/>
            <w:shd w:val="clear" w:color="auto" w:fill="E67E22"/>
          </w:tcPr>
          <w:p w14:paraId="7F09B19D" w14:textId="77777777" w:rsidR="00FA345A" w:rsidRDefault="00000000">
            <w:pPr>
              <w:spacing w:before="80" w:after="80"/>
              <w:jc w:val="center"/>
            </w:pPr>
            <w:r>
              <w:rPr>
                <w:b/>
                <w:color w:val="FFFFFF"/>
                <w:sz w:val="26"/>
              </w:rPr>
              <w:t>6.2  Conservative Scenario</w:t>
            </w:r>
          </w:p>
        </w:tc>
      </w:tr>
    </w:tbl>
    <w:p w14:paraId="765A980E" w14:textId="77777777" w:rsidR="00FA345A" w:rsidRDefault="00000000">
      <w:pPr>
        <w:spacing w:before="80" w:after="80"/>
      </w:pPr>
      <w:r>
        <w:t>The Conservative scenario reflects cautious but not catastrophic nuclear futures: existing reactors operate to historically observed (not maximum) lifetimes, committed pipeline projects complete with moderate delays, and post-2040 new build grows steadily but primarily in Asia. This anchors to the IAEA Low Case (~561 GW by 2050).</w:t>
      </w:r>
    </w:p>
    <w:tbl>
      <w:tblPr>
        <w:tblStyle w:val="TableGrid"/>
        <w:tblW w:w="0" w:type="auto"/>
        <w:tblLook w:val="04A0" w:firstRow="1" w:lastRow="0" w:firstColumn="1" w:lastColumn="0" w:noHBand="0" w:noVBand="1"/>
      </w:tblPr>
      <w:tblGrid>
        <w:gridCol w:w="3168"/>
        <w:gridCol w:w="6192"/>
      </w:tblGrid>
      <w:tr w:rsidR="00FA345A" w14:paraId="53342C4A" w14:textId="77777777">
        <w:tc>
          <w:tcPr>
            <w:tcW w:w="3168" w:type="dxa"/>
            <w:shd w:val="clear" w:color="auto" w:fill="1A375E"/>
          </w:tcPr>
          <w:p w14:paraId="0C885A95" w14:textId="77777777" w:rsidR="00FA345A" w:rsidRDefault="00000000">
            <w:pPr>
              <w:spacing w:before="40" w:after="40"/>
            </w:pPr>
            <w:r>
              <w:rPr>
                <w:b/>
                <w:color w:val="FFFFFF"/>
                <w:sz w:val="18"/>
              </w:rPr>
              <w:t>Parameter</w:t>
            </w:r>
          </w:p>
        </w:tc>
        <w:tc>
          <w:tcPr>
            <w:tcW w:w="6192" w:type="dxa"/>
            <w:shd w:val="clear" w:color="auto" w:fill="1A375E"/>
          </w:tcPr>
          <w:p w14:paraId="6607C597" w14:textId="77777777" w:rsidR="00FA345A" w:rsidRDefault="00000000">
            <w:pPr>
              <w:spacing w:before="40" w:after="40"/>
            </w:pPr>
            <w:r>
              <w:rPr>
                <w:b/>
                <w:color w:val="FFFFFF"/>
                <w:sz w:val="18"/>
              </w:rPr>
              <w:t>Value</w:t>
            </w:r>
          </w:p>
        </w:tc>
      </w:tr>
      <w:tr w:rsidR="00FA345A" w14:paraId="35B6CE48" w14:textId="77777777">
        <w:tc>
          <w:tcPr>
            <w:tcW w:w="3168" w:type="dxa"/>
            <w:shd w:val="clear" w:color="auto" w:fill="F2F7FD"/>
          </w:tcPr>
          <w:p w14:paraId="1393E515" w14:textId="77777777" w:rsidR="00FA345A" w:rsidRDefault="00000000">
            <w:pPr>
              <w:spacing w:before="40" w:after="40"/>
            </w:pPr>
            <w:r>
              <w:rPr>
                <w:sz w:val="18"/>
              </w:rPr>
              <w:t>Life extension policy</w:t>
            </w:r>
          </w:p>
        </w:tc>
        <w:tc>
          <w:tcPr>
            <w:tcW w:w="6192" w:type="dxa"/>
            <w:shd w:val="clear" w:color="auto" w:fill="F2F7FD"/>
          </w:tcPr>
          <w:p w14:paraId="2BC81412" w14:textId="77777777" w:rsidR="00FA345A" w:rsidRDefault="00000000">
            <w:pPr>
              <w:spacing w:before="40" w:after="40"/>
            </w:pPr>
            <w:r>
              <w:rPr>
                <w:sz w:val="18"/>
              </w:rPr>
              <w:t>CurrentPolicy: ~50% of eligible reactors receive one standard extension increment per country rules</w:t>
            </w:r>
          </w:p>
        </w:tc>
      </w:tr>
      <w:tr w:rsidR="00FA345A" w14:paraId="25254FD2" w14:textId="77777777">
        <w:tc>
          <w:tcPr>
            <w:tcW w:w="3168" w:type="dxa"/>
            <w:shd w:val="clear" w:color="auto" w:fill="FFFFFF"/>
          </w:tcPr>
          <w:p w14:paraId="41146E88" w14:textId="77777777" w:rsidR="00FA345A" w:rsidRDefault="00000000">
            <w:pPr>
              <w:spacing w:before="40" w:after="40"/>
            </w:pPr>
            <w:r>
              <w:rPr>
                <w:sz w:val="18"/>
              </w:rPr>
              <w:lastRenderedPageBreak/>
              <w:t>US exception</w:t>
            </w:r>
          </w:p>
        </w:tc>
        <w:tc>
          <w:tcPr>
            <w:tcW w:w="6192" w:type="dxa"/>
            <w:shd w:val="clear" w:color="auto" w:fill="FFFFFF"/>
          </w:tcPr>
          <w:p w14:paraId="47E13118" w14:textId="77777777" w:rsidR="00FA345A" w:rsidRDefault="00000000">
            <w:pPr>
              <w:spacing w:before="40" w:after="40"/>
            </w:pPr>
            <w:r>
              <w:rPr>
                <w:sz w:val="18"/>
              </w:rPr>
              <w:t>ExtendedOperations (all US plants treated as 60-80yr) — NRC data shows virtually all have already obtained 60yr licenses</w:t>
            </w:r>
          </w:p>
        </w:tc>
      </w:tr>
      <w:tr w:rsidR="00FA345A" w14:paraId="0C1C2D66" w14:textId="77777777">
        <w:tc>
          <w:tcPr>
            <w:tcW w:w="3168" w:type="dxa"/>
            <w:shd w:val="clear" w:color="auto" w:fill="F2F7FD"/>
          </w:tcPr>
          <w:p w14:paraId="2373E68F" w14:textId="77777777" w:rsidR="00FA345A" w:rsidRDefault="00000000">
            <w:pPr>
              <w:spacing w:before="40" w:after="40"/>
            </w:pPr>
            <w:r>
              <w:rPr>
                <w:sz w:val="18"/>
              </w:rPr>
              <w:t>Pipeline (large reactors)</w:t>
            </w:r>
          </w:p>
        </w:tc>
        <w:tc>
          <w:tcPr>
            <w:tcW w:w="6192" w:type="dxa"/>
            <w:shd w:val="clear" w:color="auto" w:fill="F2F7FD"/>
          </w:tcPr>
          <w:p w14:paraId="3060C96D" w14:textId="77777777" w:rsidR="00FA345A" w:rsidRDefault="00000000">
            <w:pPr>
              <w:spacing w:before="40" w:after="40"/>
            </w:pPr>
            <w:r>
              <w:rPr>
                <w:sz w:val="18"/>
              </w:rPr>
              <w:t>Medium: 100% UC / 100% Planned / 0% Proposed</w:t>
            </w:r>
          </w:p>
        </w:tc>
      </w:tr>
      <w:tr w:rsidR="00FA345A" w14:paraId="5DFC4EBA" w14:textId="77777777">
        <w:tc>
          <w:tcPr>
            <w:tcW w:w="3168" w:type="dxa"/>
            <w:shd w:val="clear" w:color="auto" w:fill="FFFFFF"/>
          </w:tcPr>
          <w:p w14:paraId="30064A84" w14:textId="77777777" w:rsidR="00FA345A" w:rsidRDefault="00000000">
            <w:pPr>
              <w:spacing w:before="40" w:after="40"/>
            </w:pPr>
            <w:r>
              <w:rPr>
                <w:sz w:val="18"/>
              </w:rPr>
              <w:t>Pipeline (SMRs)</w:t>
            </w:r>
          </w:p>
        </w:tc>
        <w:tc>
          <w:tcPr>
            <w:tcW w:w="6192" w:type="dxa"/>
            <w:shd w:val="clear" w:color="auto" w:fill="FFFFFF"/>
          </w:tcPr>
          <w:p w14:paraId="7C658716" w14:textId="77777777" w:rsidR="00FA345A" w:rsidRDefault="00000000">
            <w:pPr>
              <w:spacing w:before="40" w:after="40"/>
            </w:pPr>
            <w:r>
              <w:rPr>
                <w:sz w:val="18"/>
              </w:rPr>
              <w:t>Medium: 100% UC / 100% Planned / 0% Proposed</w:t>
            </w:r>
          </w:p>
        </w:tc>
      </w:tr>
      <w:tr w:rsidR="00FA345A" w14:paraId="11C098AB" w14:textId="77777777">
        <w:tc>
          <w:tcPr>
            <w:tcW w:w="3168" w:type="dxa"/>
            <w:shd w:val="clear" w:color="auto" w:fill="F2F7FD"/>
          </w:tcPr>
          <w:p w14:paraId="33651973" w14:textId="77777777" w:rsidR="00FA345A" w:rsidRDefault="00000000">
            <w:pPr>
              <w:spacing w:before="40" w:after="40"/>
            </w:pPr>
            <w:r>
              <w:rPr>
                <w:sz w:val="18"/>
              </w:rPr>
              <w:t>Construction delay adder</w:t>
            </w:r>
          </w:p>
        </w:tc>
        <w:tc>
          <w:tcPr>
            <w:tcW w:w="6192" w:type="dxa"/>
            <w:shd w:val="clear" w:color="auto" w:fill="F2F7FD"/>
          </w:tcPr>
          <w:p w14:paraId="488E2F7D" w14:textId="77777777" w:rsidR="00FA345A" w:rsidRDefault="00000000">
            <w:pPr>
              <w:spacing w:before="40" w:after="40"/>
            </w:pPr>
            <w:r>
              <w:rPr>
                <w:sz w:val="18"/>
              </w:rPr>
              <w:t>2 years added to all pipeline online years</w:t>
            </w:r>
          </w:p>
        </w:tc>
      </w:tr>
      <w:tr w:rsidR="00FA345A" w14:paraId="31215AAD" w14:textId="77777777">
        <w:tc>
          <w:tcPr>
            <w:tcW w:w="3168" w:type="dxa"/>
            <w:shd w:val="clear" w:color="auto" w:fill="FFFFFF"/>
          </w:tcPr>
          <w:p w14:paraId="24AD8BD3" w14:textId="77777777" w:rsidR="00FA345A" w:rsidRDefault="00000000">
            <w:pPr>
              <w:spacing w:before="40" w:after="40"/>
            </w:pPr>
            <w:r>
              <w:rPr>
                <w:sz w:val="18"/>
              </w:rPr>
              <w:t>Post-2040 new build</w:t>
            </w:r>
          </w:p>
        </w:tc>
        <w:tc>
          <w:tcPr>
            <w:tcW w:w="6192" w:type="dxa"/>
            <w:shd w:val="clear" w:color="auto" w:fill="FFFFFF"/>
          </w:tcPr>
          <w:p w14:paraId="30D9DDDE" w14:textId="77777777" w:rsidR="00FA345A" w:rsidRDefault="00000000">
            <w:pPr>
              <w:spacing w:before="40" w:after="40"/>
            </w:pPr>
            <w:r>
              <w:rPr>
                <w:sz w:val="18"/>
              </w:rPr>
              <w:t>~35 GW/yr globally; ~8.1 GW/yr China; ~4.9 GW/yr US; ~3.9 GW/yr South Asia</w:t>
            </w:r>
          </w:p>
        </w:tc>
      </w:tr>
      <w:tr w:rsidR="00FA345A" w14:paraId="58BB565E" w14:textId="77777777">
        <w:tc>
          <w:tcPr>
            <w:tcW w:w="3168" w:type="dxa"/>
            <w:shd w:val="clear" w:color="auto" w:fill="F2F7FD"/>
          </w:tcPr>
          <w:p w14:paraId="67A06E32" w14:textId="77777777" w:rsidR="00FA345A" w:rsidRDefault="00000000">
            <w:pPr>
              <w:spacing w:before="40" w:after="40"/>
            </w:pPr>
            <w:r>
              <w:rPr>
                <w:sz w:val="18"/>
              </w:rPr>
              <w:t>2050 target capacity</w:t>
            </w:r>
          </w:p>
        </w:tc>
        <w:tc>
          <w:tcPr>
            <w:tcW w:w="6192" w:type="dxa"/>
            <w:shd w:val="clear" w:color="auto" w:fill="F2F7FD"/>
          </w:tcPr>
          <w:p w14:paraId="10B05BB8" w14:textId="77777777" w:rsidR="00FA345A" w:rsidRDefault="00000000">
            <w:pPr>
              <w:spacing w:before="40" w:after="40"/>
            </w:pPr>
            <w:r>
              <w:rPr>
                <w:sz w:val="18"/>
              </w:rPr>
              <w:t>~561 GW (IAEA Low Case, RDS-1 2025)</w:t>
            </w:r>
          </w:p>
        </w:tc>
      </w:tr>
    </w:tbl>
    <w:p w14:paraId="25ED3AA7" w14:textId="77777777" w:rsidR="00FA345A" w:rsidRDefault="00FA345A"/>
    <w:p w14:paraId="18EFDEBB" w14:textId="77777777" w:rsidR="00FA345A" w:rsidRDefault="00000000">
      <w:pPr>
        <w:spacing w:before="80" w:after="80"/>
      </w:pPr>
      <w:r>
        <w:t>Key country assumptions: France operates Tier 1 fleet (already at ~60yr policy), no new large reactor connections assumed until Flamanville-3 (already UC). Germany: phase-out complete, no reversal modelled. Japan: conservative restart rate — only units with existing or imminent approvals assumed to return. Eastern Europe: modest new build (Poland, Czech Republic planned units included at Planned rate).</w:t>
      </w:r>
    </w:p>
    <w:tbl>
      <w:tblPr>
        <w:tblW w:w="0" w:type="auto"/>
        <w:tblLook w:val="04A0" w:firstRow="1" w:lastRow="0" w:firstColumn="1" w:lastColumn="0" w:noHBand="0" w:noVBand="1"/>
      </w:tblPr>
      <w:tblGrid>
        <w:gridCol w:w="9360"/>
      </w:tblGrid>
      <w:tr w:rsidR="00FA345A" w14:paraId="50A4BBCF" w14:textId="77777777">
        <w:tc>
          <w:tcPr>
            <w:tcW w:w="9360" w:type="dxa"/>
            <w:tcBorders>
              <w:left w:val="single" w:sz="18" w:space="0" w:color="E67E22"/>
            </w:tcBorders>
            <w:shd w:val="clear" w:color="auto" w:fill="FFF3E0"/>
            <w:tcMar>
              <w:top w:w="80" w:type="dxa"/>
              <w:left w:w="160" w:type="dxa"/>
              <w:bottom w:w="80" w:type="dxa"/>
              <w:right w:w="160" w:type="dxa"/>
            </w:tcMar>
          </w:tcPr>
          <w:p w14:paraId="4540590A" w14:textId="77777777" w:rsidR="00FA345A" w:rsidRDefault="00000000">
            <w:pPr>
              <w:spacing w:before="40" w:after="40"/>
            </w:pPr>
            <w:r>
              <w:rPr>
                <w:b/>
                <w:color w:val="E67E22"/>
              </w:rPr>
              <w:t xml:space="preserve">Why Conservative ≠ Decline:  </w:t>
            </w:r>
            <w:r>
              <w:t>Conservative includes 100% Planned realization (unlike Decline's 0%), the 2-year delay adder (vs. 3 years), and higher post-2040 new build (~35 vs ~10 GW/yr). The cumulative effect over 25 years is ~310 GW more capacity by 2050.</w:t>
            </w:r>
          </w:p>
        </w:tc>
      </w:tr>
    </w:tbl>
    <w:p w14:paraId="5AC5D29C" w14:textId="77777777" w:rsidR="00FA345A" w:rsidRDefault="00FA345A"/>
    <w:p w14:paraId="722D7F6A" w14:textId="77777777" w:rsidR="00FA345A" w:rsidRDefault="00FA345A"/>
    <w:tbl>
      <w:tblPr>
        <w:tblW w:w="0" w:type="auto"/>
        <w:tblLook w:val="04A0" w:firstRow="1" w:lastRow="0" w:firstColumn="1" w:lastColumn="0" w:noHBand="0" w:noVBand="1"/>
      </w:tblPr>
      <w:tblGrid>
        <w:gridCol w:w="9360"/>
      </w:tblGrid>
      <w:tr w:rsidR="00FA345A" w14:paraId="386F2E2A" w14:textId="77777777">
        <w:tc>
          <w:tcPr>
            <w:tcW w:w="9360" w:type="dxa"/>
            <w:shd w:val="clear" w:color="auto" w:fill="276FBF"/>
          </w:tcPr>
          <w:p w14:paraId="567DF00E" w14:textId="77777777" w:rsidR="00FA345A" w:rsidRDefault="00000000">
            <w:pPr>
              <w:spacing w:before="80" w:after="80"/>
              <w:jc w:val="center"/>
            </w:pPr>
            <w:r>
              <w:rPr>
                <w:b/>
                <w:color w:val="FFFFFF"/>
                <w:sz w:val="26"/>
              </w:rPr>
              <w:t>6.3  Base Scenario (Central Case)</w:t>
            </w:r>
          </w:p>
        </w:tc>
      </w:tr>
    </w:tbl>
    <w:p w14:paraId="7EF4FD8D" w14:textId="77777777" w:rsidR="00FA345A" w:rsidRDefault="00000000">
      <w:pPr>
        <w:spacing w:before="80" w:after="80"/>
      </w:pPr>
      <w:r>
        <w:t>The Base scenario represents the most likely trajectory under current stated government policies and observed industry behavior. It uses the same extension policy and pipeline preset as Conservative, but removes construction delays (no adder) and has a slightly higher post-2040 growth rate, anchoring to IEA STEPS (~647 GW by 2050).</w:t>
      </w:r>
    </w:p>
    <w:p w14:paraId="17B010A6" w14:textId="77777777" w:rsidR="00FA345A" w:rsidRDefault="00000000">
      <w:pPr>
        <w:spacing w:before="80" w:after="80"/>
      </w:pPr>
      <w:r>
        <w:t>IEA STEPS (Stated Policies Scenario) is the IEA's central case for energy — it takes governments at their word on announced and legislated policies, without assuming additional ambition. For nuclear, STEPS implies steady growth in Asia, moderate fleet life in the US and France, and limited new build elsewhere.</w:t>
      </w:r>
    </w:p>
    <w:tbl>
      <w:tblPr>
        <w:tblStyle w:val="TableGrid"/>
        <w:tblW w:w="0" w:type="auto"/>
        <w:tblLook w:val="04A0" w:firstRow="1" w:lastRow="0" w:firstColumn="1" w:lastColumn="0" w:noHBand="0" w:noVBand="1"/>
      </w:tblPr>
      <w:tblGrid>
        <w:gridCol w:w="3168"/>
        <w:gridCol w:w="6192"/>
      </w:tblGrid>
      <w:tr w:rsidR="00FA345A" w14:paraId="1A579890" w14:textId="77777777">
        <w:tc>
          <w:tcPr>
            <w:tcW w:w="3168" w:type="dxa"/>
            <w:shd w:val="clear" w:color="auto" w:fill="1A375E"/>
          </w:tcPr>
          <w:p w14:paraId="587B5E89" w14:textId="77777777" w:rsidR="00FA345A" w:rsidRDefault="00000000">
            <w:pPr>
              <w:spacing w:before="40" w:after="40"/>
            </w:pPr>
            <w:r>
              <w:rPr>
                <w:b/>
                <w:color w:val="FFFFFF"/>
                <w:sz w:val="18"/>
              </w:rPr>
              <w:t>Parameter</w:t>
            </w:r>
          </w:p>
        </w:tc>
        <w:tc>
          <w:tcPr>
            <w:tcW w:w="6192" w:type="dxa"/>
            <w:shd w:val="clear" w:color="auto" w:fill="1A375E"/>
          </w:tcPr>
          <w:p w14:paraId="0FE68A62" w14:textId="77777777" w:rsidR="00FA345A" w:rsidRDefault="00000000">
            <w:pPr>
              <w:spacing w:before="40" w:after="40"/>
            </w:pPr>
            <w:r>
              <w:rPr>
                <w:b/>
                <w:color w:val="FFFFFF"/>
                <w:sz w:val="18"/>
              </w:rPr>
              <w:t>Value</w:t>
            </w:r>
          </w:p>
        </w:tc>
      </w:tr>
      <w:tr w:rsidR="00FA345A" w14:paraId="32D7E9B6" w14:textId="77777777">
        <w:tc>
          <w:tcPr>
            <w:tcW w:w="3168" w:type="dxa"/>
            <w:shd w:val="clear" w:color="auto" w:fill="F2F7FD"/>
          </w:tcPr>
          <w:p w14:paraId="2D848050" w14:textId="77777777" w:rsidR="00FA345A" w:rsidRDefault="00000000">
            <w:pPr>
              <w:spacing w:before="40" w:after="40"/>
            </w:pPr>
            <w:r>
              <w:rPr>
                <w:sz w:val="18"/>
              </w:rPr>
              <w:t>Life extension policy</w:t>
            </w:r>
          </w:p>
        </w:tc>
        <w:tc>
          <w:tcPr>
            <w:tcW w:w="6192" w:type="dxa"/>
            <w:shd w:val="clear" w:color="auto" w:fill="F2F7FD"/>
          </w:tcPr>
          <w:p w14:paraId="4F3B5926" w14:textId="77777777" w:rsidR="00FA345A" w:rsidRDefault="00000000">
            <w:pPr>
              <w:spacing w:before="40" w:after="40"/>
            </w:pPr>
            <w:r>
              <w:rPr>
                <w:sz w:val="18"/>
              </w:rPr>
              <w:t>CurrentPolicy globally; ExtendedOperations for US</w:t>
            </w:r>
          </w:p>
        </w:tc>
      </w:tr>
      <w:tr w:rsidR="00FA345A" w14:paraId="6EF66F5B" w14:textId="77777777">
        <w:tc>
          <w:tcPr>
            <w:tcW w:w="3168" w:type="dxa"/>
            <w:shd w:val="clear" w:color="auto" w:fill="FFFFFF"/>
          </w:tcPr>
          <w:p w14:paraId="202DBBF8" w14:textId="77777777" w:rsidR="00FA345A" w:rsidRDefault="00000000">
            <w:pPr>
              <w:spacing w:before="40" w:after="40"/>
            </w:pPr>
            <w:r>
              <w:rPr>
                <w:sz w:val="18"/>
              </w:rPr>
              <w:t>Pipeline (large reactors)</w:t>
            </w:r>
          </w:p>
        </w:tc>
        <w:tc>
          <w:tcPr>
            <w:tcW w:w="6192" w:type="dxa"/>
            <w:shd w:val="clear" w:color="auto" w:fill="FFFFFF"/>
          </w:tcPr>
          <w:p w14:paraId="1590CC33" w14:textId="77777777" w:rsidR="00FA345A" w:rsidRDefault="00000000">
            <w:pPr>
              <w:spacing w:before="40" w:after="40"/>
            </w:pPr>
            <w:r>
              <w:rPr>
                <w:sz w:val="18"/>
              </w:rPr>
              <w:t>Medium: 100% UC / 100% Planned / 0% Proposed</w:t>
            </w:r>
          </w:p>
        </w:tc>
      </w:tr>
      <w:tr w:rsidR="00FA345A" w14:paraId="67F5DB1F" w14:textId="77777777">
        <w:tc>
          <w:tcPr>
            <w:tcW w:w="3168" w:type="dxa"/>
            <w:shd w:val="clear" w:color="auto" w:fill="F2F7FD"/>
          </w:tcPr>
          <w:p w14:paraId="7F1AE40D" w14:textId="77777777" w:rsidR="00FA345A" w:rsidRDefault="00000000">
            <w:pPr>
              <w:spacing w:before="40" w:after="40"/>
            </w:pPr>
            <w:r>
              <w:rPr>
                <w:sz w:val="18"/>
              </w:rPr>
              <w:t>Pipeline (SMRs)</w:t>
            </w:r>
          </w:p>
        </w:tc>
        <w:tc>
          <w:tcPr>
            <w:tcW w:w="6192" w:type="dxa"/>
            <w:shd w:val="clear" w:color="auto" w:fill="F2F7FD"/>
          </w:tcPr>
          <w:p w14:paraId="45ABB970" w14:textId="77777777" w:rsidR="00FA345A" w:rsidRDefault="00000000">
            <w:pPr>
              <w:spacing w:before="40" w:after="40"/>
            </w:pPr>
            <w:r>
              <w:rPr>
                <w:sz w:val="18"/>
              </w:rPr>
              <w:t>Medium: 100% UC / 100% Planned / 0% Proposed</w:t>
            </w:r>
          </w:p>
        </w:tc>
      </w:tr>
      <w:tr w:rsidR="00FA345A" w14:paraId="04EFF2F9" w14:textId="77777777">
        <w:tc>
          <w:tcPr>
            <w:tcW w:w="3168" w:type="dxa"/>
            <w:shd w:val="clear" w:color="auto" w:fill="FFFFFF"/>
          </w:tcPr>
          <w:p w14:paraId="5DE42181" w14:textId="77777777" w:rsidR="00FA345A" w:rsidRDefault="00000000">
            <w:pPr>
              <w:spacing w:before="40" w:after="40"/>
            </w:pPr>
            <w:r>
              <w:rPr>
                <w:sz w:val="18"/>
              </w:rPr>
              <w:t>Construction delay adder</w:t>
            </w:r>
          </w:p>
        </w:tc>
        <w:tc>
          <w:tcPr>
            <w:tcW w:w="6192" w:type="dxa"/>
            <w:shd w:val="clear" w:color="auto" w:fill="FFFFFF"/>
          </w:tcPr>
          <w:p w14:paraId="13E64BA0" w14:textId="77777777" w:rsidR="00FA345A" w:rsidRDefault="00000000">
            <w:pPr>
              <w:spacing w:before="40" w:after="40"/>
            </w:pPr>
            <w:r>
              <w:rPr>
                <w:sz w:val="18"/>
              </w:rPr>
              <w:t>0 years (stated timelines taken as given)</w:t>
            </w:r>
          </w:p>
        </w:tc>
      </w:tr>
      <w:tr w:rsidR="00FA345A" w14:paraId="32F9CBD8" w14:textId="77777777">
        <w:tc>
          <w:tcPr>
            <w:tcW w:w="3168" w:type="dxa"/>
            <w:shd w:val="clear" w:color="auto" w:fill="F2F7FD"/>
          </w:tcPr>
          <w:p w14:paraId="0448F6A1" w14:textId="77777777" w:rsidR="00FA345A" w:rsidRDefault="00000000">
            <w:pPr>
              <w:spacing w:before="40" w:after="40"/>
            </w:pPr>
            <w:r>
              <w:rPr>
                <w:sz w:val="18"/>
              </w:rPr>
              <w:t>Post-2040 global new build</w:t>
            </w:r>
          </w:p>
        </w:tc>
        <w:tc>
          <w:tcPr>
            <w:tcW w:w="6192" w:type="dxa"/>
            <w:shd w:val="clear" w:color="auto" w:fill="F2F7FD"/>
          </w:tcPr>
          <w:p w14:paraId="7E2A2C7E" w14:textId="77777777" w:rsidR="00FA345A" w:rsidRDefault="00000000">
            <w:pPr>
              <w:spacing w:before="40" w:after="40"/>
            </w:pPr>
            <w:r>
              <w:rPr>
                <w:sz w:val="18"/>
              </w:rPr>
              <w:t>~30 GW/yr globally (~28 GW calibrated value)</w:t>
            </w:r>
          </w:p>
        </w:tc>
      </w:tr>
      <w:tr w:rsidR="00FA345A" w14:paraId="07AA7A4F" w14:textId="77777777">
        <w:tc>
          <w:tcPr>
            <w:tcW w:w="3168" w:type="dxa"/>
            <w:shd w:val="clear" w:color="auto" w:fill="FFFFFF"/>
          </w:tcPr>
          <w:p w14:paraId="340DF0DD" w14:textId="77777777" w:rsidR="00FA345A" w:rsidRDefault="00000000">
            <w:pPr>
              <w:spacing w:before="40" w:after="40"/>
            </w:pPr>
            <w:r>
              <w:rPr>
                <w:sz w:val="18"/>
              </w:rPr>
              <w:t>Post-2040 China new build</w:t>
            </w:r>
          </w:p>
        </w:tc>
        <w:tc>
          <w:tcPr>
            <w:tcW w:w="6192" w:type="dxa"/>
            <w:shd w:val="clear" w:color="auto" w:fill="FFFFFF"/>
          </w:tcPr>
          <w:p w14:paraId="15DE2E7F" w14:textId="77777777" w:rsidR="00FA345A" w:rsidRDefault="00000000">
            <w:pPr>
              <w:spacing w:before="40" w:after="40"/>
            </w:pPr>
            <w:r>
              <w:rPr>
                <w:sz w:val="18"/>
              </w:rPr>
              <w:t>~8.0 GW/yr</w:t>
            </w:r>
          </w:p>
        </w:tc>
      </w:tr>
      <w:tr w:rsidR="00FA345A" w14:paraId="243F7331" w14:textId="77777777">
        <w:tc>
          <w:tcPr>
            <w:tcW w:w="3168" w:type="dxa"/>
            <w:shd w:val="clear" w:color="auto" w:fill="F2F7FD"/>
          </w:tcPr>
          <w:p w14:paraId="3222D6B5" w14:textId="77777777" w:rsidR="00FA345A" w:rsidRDefault="00000000">
            <w:pPr>
              <w:spacing w:before="40" w:after="40"/>
            </w:pPr>
            <w:r>
              <w:rPr>
                <w:sz w:val="18"/>
              </w:rPr>
              <w:t>Post-2040 US new build</w:t>
            </w:r>
          </w:p>
        </w:tc>
        <w:tc>
          <w:tcPr>
            <w:tcW w:w="6192" w:type="dxa"/>
            <w:shd w:val="clear" w:color="auto" w:fill="F2F7FD"/>
          </w:tcPr>
          <w:p w14:paraId="7D93A575" w14:textId="77777777" w:rsidR="00FA345A" w:rsidRDefault="00000000">
            <w:pPr>
              <w:spacing w:before="40" w:after="40"/>
            </w:pPr>
            <w:r>
              <w:rPr>
                <w:sz w:val="18"/>
              </w:rPr>
              <w:t>~4.8 GW/yr</w:t>
            </w:r>
          </w:p>
        </w:tc>
      </w:tr>
      <w:tr w:rsidR="00FA345A" w14:paraId="4FBFC27E" w14:textId="77777777">
        <w:tc>
          <w:tcPr>
            <w:tcW w:w="3168" w:type="dxa"/>
            <w:shd w:val="clear" w:color="auto" w:fill="FFFFFF"/>
          </w:tcPr>
          <w:p w14:paraId="3132D1AE" w14:textId="77777777" w:rsidR="00FA345A" w:rsidRDefault="00000000">
            <w:pPr>
              <w:spacing w:before="40" w:after="40"/>
            </w:pPr>
            <w:r>
              <w:rPr>
                <w:sz w:val="18"/>
              </w:rPr>
              <w:t>Post-2040 South Asia</w:t>
            </w:r>
          </w:p>
        </w:tc>
        <w:tc>
          <w:tcPr>
            <w:tcW w:w="6192" w:type="dxa"/>
            <w:shd w:val="clear" w:color="auto" w:fill="FFFFFF"/>
          </w:tcPr>
          <w:p w14:paraId="05A2C081" w14:textId="77777777" w:rsidR="00FA345A" w:rsidRDefault="00000000">
            <w:pPr>
              <w:spacing w:before="40" w:after="40"/>
            </w:pPr>
            <w:r>
              <w:rPr>
                <w:sz w:val="18"/>
              </w:rPr>
              <w:t>~3.8 GW/yr (India-led)</w:t>
            </w:r>
          </w:p>
        </w:tc>
      </w:tr>
      <w:tr w:rsidR="00FA345A" w14:paraId="6BE4AD7B" w14:textId="77777777">
        <w:tc>
          <w:tcPr>
            <w:tcW w:w="3168" w:type="dxa"/>
            <w:shd w:val="clear" w:color="auto" w:fill="F2F7FD"/>
          </w:tcPr>
          <w:p w14:paraId="0A954D5E" w14:textId="77777777" w:rsidR="00FA345A" w:rsidRDefault="00000000">
            <w:pPr>
              <w:spacing w:before="40" w:after="40"/>
            </w:pPr>
            <w:r>
              <w:rPr>
                <w:sz w:val="18"/>
              </w:rPr>
              <w:t>Post-2040 Russia</w:t>
            </w:r>
          </w:p>
        </w:tc>
        <w:tc>
          <w:tcPr>
            <w:tcW w:w="6192" w:type="dxa"/>
            <w:shd w:val="clear" w:color="auto" w:fill="F2F7FD"/>
          </w:tcPr>
          <w:p w14:paraId="1CC5D0B7" w14:textId="77777777" w:rsidR="00FA345A" w:rsidRDefault="00000000">
            <w:pPr>
              <w:spacing w:before="40" w:after="40"/>
            </w:pPr>
            <w:r>
              <w:rPr>
                <w:sz w:val="18"/>
              </w:rPr>
              <w:t>~3.2 GW/yr</w:t>
            </w:r>
          </w:p>
        </w:tc>
      </w:tr>
      <w:tr w:rsidR="00FA345A" w14:paraId="31379C91" w14:textId="77777777">
        <w:tc>
          <w:tcPr>
            <w:tcW w:w="3168" w:type="dxa"/>
            <w:shd w:val="clear" w:color="auto" w:fill="FFFFFF"/>
          </w:tcPr>
          <w:p w14:paraId="3EE03FF2" w14:textId="77777777" w:rsidR="00FA345A" w:rsidRDefault="00000000">
            <w:pPr>
              <w:spacing w:before="40" w:after="40"/>
            </w:pPr>
            <w:r>
              <w:rPr>
                <w:sz w:val="18"/>
              </w:rPr>
              <w:t>Post-2040 East Asia</w:t>
            </w:r>
          </w:p>
        </w:tc>
        <w:tc>
          <w:tcPr>
            <w:tcW w:w="6192" w:type="dxa"/>
            <w:shd w:val="clear" w:color="auto" w:fill="FFFFFF"/>
          </w:tcPr>
          <w:p w14:paraId="3C01EEEC" w14:textId="77777777" w:rsidR="00FA345A" w:rsidRDefault="00000000">
            <w:pPr>
              <w:spacing w:before="40" w:after="40"/>
            </w:pPr>
            <w:r>
              <w:rPr>
                <w:sz w:val="18"/>
              </w:rPr>
              <w:t>~1.3 GW/yr (South Korea, Japan)</w:t>
            </w:r>
          </w:p>
        </w:tc>
      </w:tr>
      <w:tr w:rsidR="00FA345A" w14:paraId="535C5971" w14:textId="77777777">
        <w:tc>
          <w:tcPr>
            <w:tcW w:w="3168" w:type="dxa"/>
            <w:shd w:val="clear" w:color="auto" w:fill="F2F7FD"/>
          </w:tcPr>
          <w:p w14:paraId="3D7E2F6E" w14:textId="77777777" w:rsidR="00FA345A" w:rsidRDefault="00000000">
            <w:pPr>
              <w:spacing w:before="40" w:after="40"/>
            </w:pPr>
            <w:r>
              <w:rPr>
                <w:sz w:val="18"/>
              </w:rPr>
              <w:t>2050 target capacity</w:t>
            </w:r>
          </w:p>
        </w:tc>
        <w:tc>
          <w:tcPr>
            <w:tcW w:w="6192" w:type="dxa"/>
            <w:shd w:val="clear" w:color="auto" w:fill="F2F7FD"/>
          </w:tcPr>
          <w:p w14:paraId="2CEE771D" w14:textId="77777777" w:rsidR="00FA345A" w:rsidRDefault="00000000">
            <w:pPr>
              <w:spacing w:before="40" w:after="40"/>
            </w:pPr>
            <w:r>
              <w:rPr>
                <w:sz w:val="18"/>
              </w:rPr>
              <w:t>~647 GW (IEA STEPS, WEO 2024)</w:t>
            </w:r>
          </w:p>
        </w:tc>
      </w:tr>
    </w:tbl>
    <w:p w14:paraId="18E02FF3" w14:textId="77777777" w:rsidR="00FA345A" w:rsidRDefault="00FA345A"/>
    <w:tbl>
      <w:tblPr>
        <w:tblW w:w="0" w:type="auto"/>
        <w:tblLook w:val="04A0" w:firstRow="1" w:lastRow="0" w:firstColumn="1" w:lastColumn="0" w:noHBand="0" w:noVBand="1"/>
      </w:tblPr>
      <w:tblGrid>
        <w:gridCol w:w="9360"/>
      </w:tblGrid>
      <w:tr w:rsidR="00FA345A" w14:paraId="6543088A" w14:textId="77777777">
        <w:tc>
          <w:tcPr>
            <w:tcW w:w="9360" w:type="dxa"/>
            <w:tcBorders>
              <w:left w:val="single" w:sz="18" w:space="0" w:color="276FBF"/>
            </w:tcBorders>
            <w:shd w:val="clear" w:color="auto" w:fill="E8F2FF"/>
            <w:tcMar>
              <w:top w:w="80" w:type="dxa"/>
              <w:left w:w="160" w:type="dxa"/>
              <w:bottom w:w="80" w:type="dxa"/>
              <w:right w:w="160" w:type="dxa"/>
            </w:tcMar>
          </w:tcPr>
          <w:p w14:paraId="6B9C4655" w14:textId="77777777" w:rsidR="00FA345A" w:rsidRDefault="00000000">
            <w:pPr>
              <w:spacing w:before="40" w:after="40"/>
            </w:pPr>
            <w:r>
              <w:rPr>
                <w:b/>
                <w:color w:val="276FBF"/>
              </w:rPr>
              <w:t xml:space="preserve">Why STEPS and not IAEA Low?  </w:t>
            </w:r>
            <w:r>
              <w:t xml:space="preserve">IAEA Low (561 GW) and IEA STEPS (647 GW) bracket a similar "cautious progress" space. We use STEPS as the Base because it is explicitly conditioned on current policies — the most </w:t>
            </w:r>
            <w:r>
              <w:lastRenderedPageBreak/>
              <w:t>interpretable central case. IAEA Low is assigned to Conservative because it better reflects partial extension and conservative pipeline realization.</w:t>
            </w:r>
          </w:p>
        </w:tc>
      </w:tr>
    </w:tbl>
    <w:p w14:paraId="57AB71EB" w14:textId="77777777" w:rsidR="00FA345A" w:rsidRDefault="00FA345A"/>
    <w:p w14:paraId="673E31C4" w14:textId="77777777" w:rsidR="00FA345A" w:rsidRDefault="00FA345A"/>
    <w:tbl>
      <w:tblPr>
        <w:tblW w:w="0" w:type="auto"/>
        <w:tblLook w:val="04A0" w:firstRow="1" w:lastRow="0" w:firstColumn="1" w:lastColumn="0" w:noHBand="0" w:noVBand="1"/>
      </w:tblPr>
      <w:tblGrid>
        <w:gridCol w:w="9360"/>
      </w:tblGrid>
      <w:tr w:rsidR="00FA345A" w14:paraId="47FC18BC" w14:textId="77777777">
        <w:tc>
          <w:tcPr>
            <w:tcW w:w="9360" w:type="dxa"/>
            <w:shd w:val="clear" w:color="auto" w:fill="1E8B4C"/>
          </w:tcPr>
          <w:p w14:paraId="58080D89" w14:textId="77777777" w:rsidR="00FA345A" w:rsidRDefault="00000000">
            <w:pPr>
              <w:spacing w:before="80" w:after="80"/>
              <w:jc w:val="center"/>
            </w:pPr>
            <w:r>
              <w:rPr>
                <w:b/>
                <w:color w:val="FFFFFF"/>
                <w:sz w:val="26"/>
              </w:rPr>
              <w:t>6.4  Optimistic Scenario</w:t>
            </w:r>
          </w:p>
        </w:tc>
      </w:tr>
    </w:tbl>
    <w:p w14:paraId="1BEE4618" w14:textId="77777777" w:rsidR="00FA345A" w:rsidRDefault="00000000">
      <w:pPr>
        <w:spacing w:before="80" w:after="80"/>
      </w:pPr>
      <w:r>
        <w:t>The Optimistic scenario models a sustained nuclear renaissance: maximum life extensions globally, full pipeline realization (including speculative proposed projects), no construction delays, and high post-2040 new build. It anchors to the IAEA High Case (~992 GW by 2050).</w:t>
      </w:r>
    </w:p>
    <w:p w14:paraId="1F03CB95" w14:textId="77777777" w:rsidR="00FA345A" w:rsidRDefault="00000000">
      <w:pPr>
        <w:spacing w:before="80" w:after="80"/>
      </w:pPr>
      <w:r>
        <w:t>This scenario is not implausible: multiple governments (US, France, UK, South Korea, Japan) have announced nuclear expansion targets in recent years. AI and data-center electricity demand growth has materially increased corporate PPA interest in nuclear. The scenario does, however, require simultaneously high political will, supply chain capacity, and financing — conditions that have historically not coexisted globally.</w:t>
      </w:r>
    </w:p>
    <w:tbl>
      <w:tblPr>
        <w:tblStyle w:val="TableGrid"/>
        <w:tblW w:w="0" w:type="auto"/>
        <w:tblLook w:val="04A0" w:firstRow="1" w:lastRow="0" w:firstColumn="1" w:lastColumn="0" w:noHBand="0" w:noVBand="1"/>
      </w:tblPr>
      <w:tblGrid>
        <w:gridCol w:w="3168"/>
        <w:gridCol w:w="6192"/>
      </w:tblGrid>
      <w:tr w:rsidR="00FA345A" w14:paraId="27159DB2" w14:textId="77777777">
        <w:tc>
          <w:tcPr>
            <w:tcW w:w="3168" w:type="dxa"/>
            <w:shd w:val="clear" w:color="auto" w:fill="1A375E"/>
          </w:tcPr>
          <w:p w14:paraId="6FA5C3D4" w14:textId="77777777" w:rsidR="00FA345A" w:rsidRDefault="00000000">
            <w:pPr>
              <w:spacing w:before="40" w:after="40"/>
            </w:pPr>
            <w:r>
              <w:rPr>
                <w:b/>
                <w:color w:val="FFFFFF"/>
                <w:sz w:val="18"/>
              </w:rPr>
              <w:t>Parameter</w:t>
            </w:r>
          </w:p>
        </w:tc>
        <w:tc>
          <w:tcPr>
            <w:tcW w:w="6192" w:type="dxa"/>
            <w:shd w:val="clear" w:color="auto" w:fill="1A375E"/>
          </w:tcPr>
          <w:p w14:paraId="45569EC4" w14:textId="77777777" w:rsidR="00FA345A" w:rsidRDefault="00000000">
            <w:pPr>
              <w:spacing w:before="40" w:after="40"/>
            </w:pPr>
            <w:r>
              <w:rPr>
                <w:b/>
                <w:color w:val="FFFFFF"/>
                <w:sz w:val="18"/>
              </w:rPr>
              <w:t>Value</w:t>
            </w:r>
          </w:p>
        </w:tc>
      </w:tr>
      <w:tr w:rsidR="00FA345A" w14:paraId="5C8D4B2B" w14:textId="77777777">
        <w:tc>
          <w:tcPr>
            <w:tcW w:w="3168" w:type="dxa"/>
            <w:shd w:val="clear" w:color="auto" w:fill="F2F7FD"/>
          </w:tcPr>
          <w:p w14:paraId="034F7D00" w14:textId="77777777" w:rsidR="00FA345A" w:rsidRDefault="00000000">
            <w:pPr>
              <w:spacing w:before="40" w:after="40"/>
            </w:pPr>
            <w:r>
              <w:rPr>
                <w:sz w:val="18"/>
              </w:rPr>
              <w:t>Life extension policy</w:t>
            </w:r>
          </w:p>
        </w:tc>
        <w:tc>
          <w:tcPr>
            <w:tcW w:w="6192" w:type="dxa"/>
            <w:shd w:val="clear" w:color="auto" w:fill="F2F7FD"/>
          </w:tcPr>
          <w:p w14:paraId="1B7B197B" w14:textId="77777777" w:rsidR="00FA345A" w:rsidRDefault="00000000">
            <w:pPr>
              <w:spacing w:before="40" w:after="40"/>
            </w:pPr>
            <w:r>
              <w:rPr>
                <w:sz w:val="18"/>
              </w:rPr>
              <w:t>ExtendedOperations: all eligible reactors reach maximum permitted life (e.g., 80yr US, 60yr most of Europe, 60yr Russia)</w:t>
            </w:r>
          </w:p>
        </w:tc>
      </w:tr>
      <w:tr w:rsidR="00FA345A" w14:paraId="09DAF9FA" w14:textId="77777777">
        <w:tc>
          <w:tcPr>
            <w:tcW w:w="3168" w:type="dxa"/>
            <w:shd w:val="clear" w:color="auto" w:fill="FFFFFF"/>
          </w:tcPr>
          <w:p w14:paraId="3389860A" w14:textId="77777777" w:rsidR="00FA345A" w:rsidRDefault="00000000">
            <w:pPr>
              <w:spacing w:before="40" w:after="40"/>
            </w:pPr>
            <w:r>
              <w:rPr>
                <w:sz w:val="18"/>
              </w:rPr>
              <w:t>Pipeline (large reactors)</w:t>
            </w:r>
          </w:p>
        </w:tc>
        <w:tc>
          <w:tcPr>
            <w:tcW w:w="6192" w:type="dxa"/>
            <w:shd w:val="clear" w:color="auto" w:fill="FFFFFF"/>
          </w:tcPr>
          <w:p w14:paraId="3DE80A2B" w14:textId="77777777" w:rsidR="00FA345A" w:rsidRDefault="00000000">
            <w:pPr>
              <w:spacing w:before="40" w:after="40"/>
            </w:pPr>
            <w:r>
              <w:rPr>
                <w:sz w:val="18"/>
              </w:rPr>
              <w:t>High: 100% UC / 100% Planned / 100% Proposed</w:t>
            </w:r>
          </w:p>
        </w:tc>
      </w:tr>
      <w:tr w:rsidR="00FA345A" w14:paraId="780260C4" w14:textId="77777777">
        <w:tc>
          <w:tcPr>
            <w:tcW w:w="3168" w:type="dxa"/>
            <w:shd w:val="clear" w:color="auto" w:fill="F2F7FD"/>
          </w:tcPr>
          <w:p w14:paraId="30B4A3F1" w14:textId="77777777" w:rsidR="00FA345A" w:rsidRDefault="00000000">
            <w:pPr>
              <w:spacing w:before="40" w:after="40"/>
            </w:pPr>
            <w:r>
              <w:rPr>
                <w:sz w:val="18"/>
              </w:rPr>
              <w:t>Pipeline (SMRs)</w:t>
            </w:r>
          </w:p>
        </w:tc>
        <w:tc>
          <w:tcPr>
            <w:tcW w:w="6192" w:type="dxa"/>
            <w:shd w:val="clear" w:color="auto" w:fill="F2F7FD"/>
          </w:tcPr>
          <w:p w14:paraId="1D023044" w14:textId="77777777" w:rsidR="00FA345A" w:rsidRDefault="00000000">
            <w:pPr>
              <w:spacing w:before="40" w:after="40"/>
            </w:pPr>
            <w:r>
              <w:rPr>
                <w:sz w:val="18"/>
              </w:rPr>
              <w:t>High: 100% UC / 100% Planned / 100% Proposed</w:t>
            </w:r>
          </w:p>
        </w:tc>
      </w:tr>
      <w:tr w:rsidR="00FA345A" w14:paraId="33FB7290" w14:textId="77777777">
        <w:tc>
          <w:tcPr>
            <w:tcW w:w="3168" w:type="dxa"/>
            <w:shd w:val="clear" w:color="auto" w:fill="FFFFFF"/>
          </w:tcPr>
          <w:p w14:paraId="0E4724A9" w14:textId="77777777" w:rsidR="00FA345A" w:rsidRDefault="00000000">
            <w:pPr>
              <w:spacing w:before="40" w:after="40"/>
            </w:pPr>
            <w:r>
              <w:rPr>
                <w:sz w:val="18"/>
              </w:rPr>
              <w:t>Construction delay adder</w:t>
            </w:r>
          </w:p>
        </w:tc>
        <w:tc>
          <w:tcPr>
            <w:tcW w:w="6192" w:type="dxa"/>
            <w:shd w:val="clear" w:color="auto" w:fill="FFFFFF"/>
          </w:tcPr>
          <w:p w14:paraId="5A56189F" w14:textId="77777777" w:rsidR="00FA345A" w:rsidRDefault="00000000">
            <w:pPr>
              <w:spacing w:before="40" w:after="40"/>
            </w:pPr>
            <w:r>
              <w:rPr>
                <w:sz w:val="18"/>
              </w:rPr>
              <w:t>0 years — optimistic delivery</w:t>
            </w:r>
          </w:p>
        </w:tc>
      </w:tr>
      <w:tr w:rsidR="00FA345A" w14:paraId="71F6BAAF" w14:textId="77777777">
        <w:tc>
          <w:tcPr>
            <w:tcW w:w="3168" w:type="dxa"/>
            <w:shd w:val="clear" w:color="auto" w:fill="F2F7FD"/>
          </w:tcPr>
          <w:p w14:paraId="5066E03E" w14:textId="77777777" w:rsidR="00FA345A" w:rsidRDefault="00000000">
            <w:pPr>
              <w:spacing w:before="40" w:after="40"/>
            </w:pPr>
            <w:r>
              <w:rPr>
                <w:sz w:val="18"/>
              </w:rPr>
              <w:t>Post-2040 global new build</w:t>
            </w:r>
          </w:p>
        </w:tc>
        <w:tc>
          <w:tcPr>
            <w:tcW w:w="6192" w:type="dxa"/>
            <w:shd w:val="clear" w:color="auto" w:fill="F2F7FD"/>
          </w:tcPr>
          <w:p w14:paraId="15B593E0" w14:textId="77777777" w:rsidR="00FA345A" w:rsidRDefault="00000000">
            <w:pPr>
              <w:spacing w:before="40" w:after="40"/>
            </w:pPr>
            <w:r>
              <w:rPr>
                <w:sz w:val="18"/>
              </w:rPr>
              <w:t>~57 GW/yr globally (~54 GW calibrated value)</w:t>
            </w:r>
          </w:p>
        </w:tc>
      </w:tr>
      <w:tr w:rsidR="00FA345A" w14:paraId="2FF4EF02" w14:textId="77777777">
        <w:tc>
          <w:tcPr>
            <w:tcW w:w="3168" w:type="dxa"/>
            <w:shd w:val="clear" w:color="auto" w:fill="FFFFFF"/>
          </w:tcPr>
          <w:p w14:paraId="2164C243" w14:textId="77777777" w:rsidR="00FA345A" w:rsidRDefault="00000000">
            <w:pPr>
              <w:spacing w:before="40" w:after="40"/>
            </w:pPr>
            <w:r>
              <w:rPr>
                <w:sz w:val="18"/>
              </w:rPr>
              <w:t>Post-2040 China new build</w:t>
            </w:r>
          </w:p>
        </w:tc>
        <w:tc>
          <w:tcPr>
            <w:tcW w:w="6192" w:type="dxa"/>
            <w:shd w:val="clear" w:color="auto" w:fill="FFFFFF"/>
          </w:tcPr>
          <w:p w14:paraId="317D5364" w14:textId="77777777" w:rsidR="00FA345A" w:rsidRDefault="00000000">
            <w:pPr>
              <w:spacing w:before="40" w:after="40"/>
            </w:pPr>
            <w:r>
              <w:rPr>
                <w:sz w:val="18"/>
              </w:rPr>
              <w:t>~15.2 GW/yr (&gt;1 standard reactor per month)</w:t>
            </w:r>
          </w:p>
        </w:tc>
      </w:tr>
      <w:tr w:rsidR="00FA345A" w14:paraId="6AD98F1D" w14:textId="77777777">
        <w:tc>
          <w:tcPr>
            <w:tcW w:w="3168" w:type="dxa"/>
            <w:shd w:val="clear" w:color="auto" w:fill="F2F7FD"/>
          </w:tcPr>
          <w:p w14:paraId="6281E4BC" w14:textId="77777777" w:rsidR="00FA345A" w:rsidRDefault="00000000">
            <w:pPr>
              <w:spacing w:before="40" w:after="40"/>
            </w:pPr>
            <w:r>
              <w:rPr>
                <w:sz w:val="18"/>
              </w:rPr>
              <w:t>Post-2040 US new build</w:t>
            </w:r>
          </w:p>
        </w:tc>
        <w:tc>
          <w:tcPr>
            <w:tcW w:w="6192" w:type="dxa"/>
            <w:shd w:val="clear" w:color="auto" w:fill="F2F7FD"/>
          </w:tcPr>
          <w:p w14:paraId="2C30E54D" w14:textId="77777777" w:rsidR="00FA345A" w:rsidRDefault="00000000">
            <w:pPr>
              <w:spacing w:before="40" w:after="40"/>
            </w:pPr>
            <w:r>
              <w:rPr>
                <w:sz w:val="18"/>
              </w:rPr>
              <w:t>~9.1 GW/yr</w:t>
            </w:r>
          </w:p>
        </w:tc>
      </w:tr>
      <w:tr w:rsidR="00FA345A" w14:paraId="5577D440" w14:textId="77777777">
        <w:tc>
          <w:tcPr>
            <w:tcW w:w="3168" w:type="dxa"/>
            <w:shd w:val="clear" w:color="auto" w:fill="FFFFFF"/>
          </w:tcPr>
          <w:p w14:paraId="37544B10" w14:textId="77777777" w:rsidR="00FA345A" w:rsidRDefault="00000000">
            <w:pPr>
              <w:spacing w:before="40" w:after="40"/>
            </w:pPr>
            <w:r>
              <w:rPr>
                <w:sz w:val="18"/>
              </w:rPr>
              <w:t>Post-2040 South Asia</w:t>
            </w:r>
          </w:p>
        </w:tc>
        <w:tc>
          <w:tcPr>
            <w:tcW w:w="6192" w:type="dxa"/>
            <w:shd w:val="clear" w:color="auto" w:fill="FFFFFF"/>
          </w:tcPr>
          <w:p w14:paraId="37D0847F" w14:textId="77777777" w:rsidR="00FA345A" w:rsidRDefault="00000000">
            <w:pPr>
              <w:spacing w:before="40" w:after="40"/>
            </w:pPr>
            <w:r>
              <w:rPr>
                <w:sz w:val="18"/>
              </w:rPr>
              <w:t>~7.3 GW/yr</w:t>
            </w:r>
          </w:p>
        </w:tc>
      </w:tr>
      <w:tr w:rsidR="00FA345A" w14:paraId="69E284D1" w14:textId="77777777">
        <w:tc>
          <w:tcPr>
            <w:tcW w:w="3168" w:type="dxa"/>
            <w:shd w:val="clear" w:color="auto" w:fill="F2F7FD"/>
          </w:tcPr>
          <w:p w14:paraId="71168C77" w14:textId="77777777" w:rsidR="00FA345A" w:rsidRDefault="00000000">
            <w:pPr>
              <w:spacing w:before="40" w:after="40"/>
            </w:pPr>
            <w:r>
              <w:rPr>
                <w:sz w:val="18"/>
              </w:rPr>
              <w:t>Post-2040 Russia</w:t>
            </w:r>
          </w:p>
        </w:tc>
        <w:tc>
          <w:tcPr>
            <w:tcW w:w="6192" w:type="dxa"/>
            <w:shd w:val="clear" w:color="auto" w:fill="F2F7FD"/>
          </w:tcPr>
          <w:p w14:paraId="09179CAE" w14:textId="77777777" w:rsidR="00FA345A" w:rsidRDefault="00000000">
            <w:pPr>
              <w:spacing w:before="40" w:after="40"/>
            </w:pPr>
            <w:r>
              <w:rPr>
                <w:sz w:val="18"/>
              </w:rPr>
              <w:t>~6.1 GW/yr</w:t>
            </w:r>
          </w:p>
        </w:tc>
      </w:tr>
      <w:tr w:rsidR="00FA345A" w14:paraId="3666CA1C" w14:textId="77777777">
        <w:tc>
          <w:tcPr>
            <w:tcW w:w="3168" w:type="dxa"/>
            <w:shd w:val="clear" w:color="auto" w:fill="FFFFFF"/>
          </w:tcPr>
          <w:p w14:paraId="320E3C50" w14:textId="77777777" w:rsidR="00FA345A" w:rsidRDefault="00000000">
            <w:pPr>
              <w:spacing w:before="40" w:after="40"/>
            </w:pPr>
            <w:r>
              <w:rPr>
                <w:sz w:val="18"/>
              </w:rPr>
              <w:t>Post-2040 East Asia</w:t>
            </w:r>
          </w:p>
        </w:tc>
        <w:tc>
          <w:tcPr>
            <w:tcW w:w="6192" w:type="dxa"/>
            <w:shd w:val="clear" w:color="auto" w:fill="FFFFFF"/>
          </w:tcPr>
          <w:p w14:paraId="672CA29A" w14:textId="77777777" w:rsidR="00FA345A" w:rsidRDefault="00000000">
            <w:pPr>
              <w:spacing w:before="40" w:after="40"/>
            </w:pPr>
            <w:r>
              <w:rPr>
                <w:sz w:val="18"/>
              </w:rPr>
              <w:t>~2.4 GW/yr</w:t>
            </w:r>
          </w:p>
        </w:tc>
      </w:tr>
      <w:tr w:rsidR="00FA345A" w14:paraId="2F2CE0D0" w14:textId="77777777">
        <w:tc>
          <w:tcPr>
            <w:tcW w:w="3168" w:type="dxa"/>
            <w:shd w:val="clear" w:color="auto" w:fill="F2F7FD"/>
          </w:tcPr>
          <w:p w14:paraId="206457AF" w14:textId="77777777" w:rsidR="00FA345A" w:rsidRDefault="00000000">
            <w:pPr>
              <w:spacing w:before="40" w:after="40"/>
            </w:pPr>
            <w:r>
              <w:rPr>
                <w:sz w:val="18"/>
              </w:rPr>
              <w:t>Post-2040 Western Europe (France)</w:t>
            </w:r>
          </w:p>
        </w:tc>
        <w:tc>
          <w:tcPr>
            <w:tcW w:w="6192" w:type="dxa"/>
            <w:shd w:val="clear" w:color="auto" w:fill="F2F7FD"/>
          </w:tcPr>
          <w:p w14:paraId="4484A14D" w14:textId="77777777" w:rsidR="00FA345A" w:rsidRDefault="00000000">
            <w:pPr>
              <w:spacing w:before="40" w:after="40"/>
            </w:pPr>
            <w:r>
              <w:rPr>
                <w:sz w:val="18"/>
              </w:rPr>
              <w:t>~1.8 GW/yr</w:t>
            </w:r>
          </w:p>
        </w:tc>
      </w:tr>
      <w:tr w:rsidR="00FA345A" w14:paraId="5D201FA9" w14:textId="77777777">
        <w:tc>
          <w:tcPr>
            <w:tcW w:w="3168" w:type="dxa"/>
            <w:shd w:val="clear" w:color="auto" w:fill="FFFFFF"/>
          </w:tcPr>
          <w:p w14:paraId="67B95D3B" w14:textId="77777777" w:rsidR="00FA345A" w:rsidRDefault="00000000">
            <w:pPr>
              <w:spacing w:before="40" w:after="40"/>
            </w:pPr>
            <w:r>
              <w:rPr>
                <w:sz w:val="18"/>
              </w:rPr>
              <w:t>2050 target capacity</w:t>
            </w:r>
          </w:p>
        </w:tc>
        <w:tc>
          <w:tcPr>
            <w:tcW w:w="6192" w:type="dxa"/>
            <w:shd w:val="clear" w:color="auto" w:fill="FFFFFF"/>
          </w:tcPr>
          <w:p w14:paraId="4D3AA030" w14:textId="77777777" w:rsidR="00FA345A" w:rsidRDefault="00000000">
            <w:pPr>
              <w:spacing w:before="40" w:after="40"/>
            </w:pPr>
            <w:r>
              <w:rPr>
                <w:sz w:val="18"/>
              </w:rPr>
              <w:t>~992 GW (IAEA High Case, RDS-1 2025)</w:t>
            </w:r>
          </w:p>
        </w:tc>
      </w:tr>
    </w:tbl>
    <w:p w14:paraId="346B8883" w14:textId="77777777" w:rsidR="00FA345A" w:rsidRDefault="00FA345A"/>
    <w:tbl>
      <w:tblPr>
        <w:tblW w:w="0" w:type="auto"/>
        <w:tblLook w:val="04A0" w:firstRow="1" w:lastRow="0" w:firstColumn="1" w:lastColumn="0" w:noHBand="0" w:noVBand="1"/>
      </w:tblPr>
      <w:tblGrid>
        <w:gridCol w:w="9360"/>
      </w:tblGrid>
      <w:tr w:rsidR="00FA345A" w14:paraId="49EDFC8F" w14:textId="77777777">
        <w:tc>
          <w:tcPr>
            <w:tcW w:w="9360" w:type="dxa"/>
            <w:tcBorders>
              <w:left w:val="single" w:sz="18" w:space="0" w:color="1E8B4C"/>
            </w:tcBorders>
            <w:shd w:val="clear" w:color="auto" w:fill="E8F5EE"/>
            <w:tcMar>
              <w:top w:w="80" w:type="dxa"/>
              <w:left w:w="160" w:type="dxa"/>
              <w:bottom w:w="80" w:type="dxa"/>
              <w:right w:w="160" w:type="dxa"/>
            </w:tcMar>
          </w:tcPr>
          <w:p w14:paraId="1C60D592" w14:textId="77777777" w:rsidR="00FA345A" w:rsidRDefault="00000000">
            <w:pPr>
              <w:spacing w:before="40" w:after="40"/>
            </w:pPr>
            <w:r>
              <w:rPr>
                <w:b/>
                <w:color w:val="1E8B4C"/>
              </w:rPr>
              <w:t xml:space="preserve">Stress test:  </w:t>
            </w:r>
            <w:r>
              <w:t>~57 GW/yr of new nuclear additions by the 2040s equates to roughly 45–55 new standard reactors per year globally (at ~1.0–1.2 GW each), or a much larger number of SMR units. For context, the peak historical build rate (1980s) was ~30–35 GW/yr globally. IAEA High requires surpassing that peak — ambitious but cited in IAEA publications as achievable under a sustained policy push.</w:t>
            </w:r>
          </w:p>
        </w:tc>
      </w:tr>
    </w:tbl>
    <w:p w14:paraId="49FECE78" w14:textId="77777777" w:rsidR="00FA345A" w:rsidRDefault="00FA345A"/>
    <w:p w14:paraId="4F43A73C" w14:textId="77777777" w:rsidR="00FA345A" w:rsidRDefault="00000000">
      <w:pPr>
        <w:spacing w:after="0"/>
      </w:pPr>
      <w:r>
        <w:br w:type="page"/>
      </w:r>
    </w:p>
    <w:p w14:paraId="71739A3C" w14:textId="77777777" w:rsidR="00FA345A" w:rsidRDefault="00000000">
      <w:pPr>
        <w:pBdr>
          <w:bottom w:val="single" w:sz="6" w:space="4" w:color="2E75B6"/>
        </w:pBdr>
        <w:spacing w:before="360"/>
      </w:pPr>
      <w:r>
        <w:rPr>
          <w:b/>
          <w:color w:val="1A375E"/>
          <w:sz w:val="40"/>
        </w:rPr>
        <w:lastRenderedPageBreak/>
        <w:t>7.  Benchmark Alignment</w:t>
      </w:r>
    </w:p>
    <w:p w14:paraId="7AF0F025" w14:textId="77777777" w:rsidR="00FA345A" w:rsidRDefault="00000000">
      <w:pPr>
        <w:spacing w:before="80" w:after="80"/>
      </w:pPr>
      <w:r>
        <w:t>The four scenarios are calibrated against published IAEA and IEA benchmarks. The table below shows how model outputs compare to these benchmarks at key milestones. Small deviations from the benchmark at 2050 are expected because the model's bottom-up phase (2024–2040) is fixed by fleet data; only the post-2040 rate is calibrated.</w:t>
      </w:r>
    </w:p>
    <w:tbl>
      <w:tblPr>
        <w:tblStyle w:val="TableGrid"/>
        <w:tblW w:w="0" w:type="auto"/>
        <w:tblLook w:val="04A0" w:firstRow="1" w:lastRow="0" w:firstColumn="1" w:lastColumn="0" w:noHBand="0" w:noVBand="1"/>
      </w:tblPr>
      <w:tblGrid>
        <w:gridCol w:w="2184"/>
        <w:gridCol w:w="1099"/>
        <w:gridCol w:w="1099"/>
        <w:gridCol w:w="1804"/>
        <w:gridCol w:w="1759"/>
        <w:gridCol w:w="1631"/>
      </w:tblGrid>
      <w:tr w:rsidR="00FA345A" w14:paraId="235E3A51" w14:textId="77777777">
        <w:tc>
          <w:tcPr>
            <w:tcW w:w="2304" w:type="dxa"/>
            <w:shd w:val="clear" w:color="auto" w:fill="1A375E"/>
          </w:tcPr>
          <w:p w14:paraId="0839C17E" w14:textId="77777777" w:rsidR="00FA345A" w:rsidRDefault="00000000">
            <w:pPr>
              <w:spacing w:before="40" w:after="40"/>
            </w:pPr>
            <w:r>
              <w:rPr>
                <w:b/>
                <w:color w:val="FFFFFF"/>
                <w:sz w:val="18"/>
              </w:rPr>
              <w:t>Benchmark</w:t>
            </w:r>
          </w:p>
        </w:tc>
        <w:tc>
          <w:tcPr>
            <w:tcW w:w="1152" w:type="dxa"/>
            <w:shd w:val="clear" w:color="auto" w:fill="1A375E"/>
          </w:tcPr>
          <w:p w14:paraId="2AC0B09A" w14:textId="77777777" w:rsidR="00FA345A" w:rsidRDefault="00000000">
            <w:pPr>
              <w:spacing w:before="40" w:after="40"/>
            </w:pPr>
            <w:r>
              <w:rPr>
                <w:b/>
                <w:color w:val="FFFFFF"/>
                <w:sz w:val="18"/>
              </w:rPr>
              <w:t>2030 (GW)</w:t>
            </w:r>
          </w:p>
        </w:tc>
        <w:tc>
          <w:tcPr>
            <w:tcW w:w="1152" w:type="dxa"/>
            <w:shd w:val="clear" w:color="auto" w:fill="1A375E"/>
          </w:tcPr>
          <w:p w14:paraId="3D43D5C4" w14:textId="77777777" w:rsidR="00FA345A" w:rsidRDefault="00000000">
            <w:pPr>
              <w:spacing w:before="40" w:after="40"/>
            </w:pPr>
            <w:r>
              <w:rPr>
                <w:b/>
                <w:color w:val="FFFFFF"/>
                <w:sz w:val="18"/>
              </w:rPr>
              <w:t>2040 (GW)</w:t>
            </w:r>
          </w:p>
        </w:tc>
        <w:tc>
          <w:tcPr>
            <w:tcW w:w="1872" w:type="dxa"/>
            <w:shd w:val="clear" w:color="auto" w:fill="1A375E"/>
          </w:tcPr>
          <w:p w14:paraId="6E6CA787" w14:textId="77777777" w:rsidR="00FA345A" w:rsidRDefault="00000000">
            <w:pPr>
              <w:spacing w:before="40" w:after="40"/>
            </w:pPr>
            <w:r>
              <w:rPr>
                <w:b/>
                <w:color w:val="FFFFFF"/>
                <w:sz w:val="18"/>
              </w:rPr>
              <w:t>Matched Scenario</w:t>
            </w:r>
          </w:p>
        </w:tc>
        <w:tc>
          <w:tcPr>
            <w:tcW w:w="1872" w:type="dxa"/>
            <w:shd w:val="clear" w:color="auto" w:fill="1A375E"/>
          </w:tcPr>
          <w:p w14:paraId="5963D263" w14:textId="77777777" w:rsidR="00FA345A" w:rsidRDefault="00000000">
            <w:pPr>
              <w:spacing w:before="40" w:after="40"/>
            </w:pPr>
            <w:r>
              <w:rPr>
                <w:b/>
                <w:color w:val="FFFFFF"/>
                <w:sz w:val="18"/>
              </w:rPr>
              <w:t>2050 Target (GW)</w:t>
            </w:r>
          </w:p>
        </w:tc>
        <w:tc>
          <w:tcPr>
            <w:tcW w:w="1728" w:type="dxa"/>
            <w:shd w:val="clear" w:color="auto" w:fill="1A375E"/>
          </w:tcPr>
          <w:p w14:paraId="658B12D4" w14:textId="77777777" w:rsidR="00FA345A" w:rsidRDefault="00000000">
            <w:pPr>
              <w:spacing w:before="40" w:after="40"/>
            </w:pPr>
            <w:r>
              <w:rPr>
                <w:b/>
                <w:color w:val="FFFFFF"/>
                <w:sz w:val="18"/>
              </w:rPr>
              <w:t>Source</w:t>
            </w:r>
          </w:p>
        </w:tc>
      </w:tr>
      <w:tr w:rsidR="00FA345A" w14:paraId="210C5F54" w14:textId="77777777">
        <w:tc>
          <w:tcPr>
            <w:tcW w:w="2304" w:type="dxa"/>
            <w:shd w:val="clear" w:color="auto" w:fill="F2F7FD"/>
          </w:tcPr>
          <w:p w14:paraId="70EFED18" w14:textId="77777777" w:rsidR="00FA345A" w:rsidRDefault="00000000">
            <w:pPr>
              <w:spacing w:before="40" w:after="40"/>
            </w:pPr>
            <w:r>
              <w:rPr>
                <w:sz w:val="18"/>
              </w:rPr>
              <w:t>IEA Low Nuclear Case</w:t>
            </w:r>
          </w:p>
        </w:tc>
        <w:tc>
          <w:tcPr>
            <w:tcW w:w="1152" w:type="dxa"/>
            <w:shd w:val="clear" w:color="auto" w:fill="F2F7FD"/>
          </w:tcPr>
          <w:p w14:paraId="3F67B059" w14:textId="77777777" w:rsidR="00FA345A" w:rsidRDefault="00000000">
            <w:pPr>
              <w:spacing w:before="40" w:after="40"/>
            </w:pPr>
            <w:r>
              <w:rPr>
                <w:sz w:val="18"/>
              </w:rPr>
              <w:t>—</w:t>
            </w:r>
          </w:p>
        </w:tc>
        <w:tc>
          <w:tcPr>
            <w:tcW w:w="1152" w:type="dxa"/>
            <w:shd w:val="clear" w:color="auto" w:fill="F2F7FD"/>
          </w:tcPr>
          <w:p w14:paraId="07E51F20" w14:textId="77777777" w:rsidR="00FA345A" w:rsidRDefault="00000000">
            <w:pPr>
              <w:spacing w:before="40" w:after="40"/>
            </w:pPr>
            <w:r>
              <w:rPr>
                <w:sz w:val="18"/>
              </w:rPr>
              <w:t>~250 GW</w:t>
            </w:r>
          </w:p>
        </w:tc>
        <w:tc>
          <w:tcPr>
            <w:tcW w:w="1872" w:type="dxa"/>
            <w:shd w:val="clear" w:color="auto" w:fill="F2F7FD"/>
          </w:tcPr>
          <w:p w14:paraId="7BE7CB77" w14:textId="77777777" w:rsidR="00FA345A" w:rsidRDefault="00000000">
            <w:pPr>
              <w:spacing w:before="40" w:after="40"/>
            </w:pPr>
            <w:r>
              <w:rPr>
                <w:sz w:val="18"/>
              </w:rPr>
              <w:t>Decline</w:t>
            </w:r>
          </w:p>
        </w:tc>
        <w:tc>
          <w:tcPr>
            <w:tcW w:w="1872" w:type="dxa"/>
            <w:shd w:val="clear" w:color="auto" w:fill="F2F7FD"/>
          </w:tcPr>
          <w:p w14:paraId="067580F5" w14:textId="77777777" w:rsidR="00FA345A" w:rsidRDefault="00000000">
            <w:pPr>
              <w:spacing w:before="40" w:after="40"/>
            </w:pPr>
            <w:r>
              <w:rPr>
                <w:sz w:val="18"/>
              </w:rPr>
              <w:t>~250 GW</w:t>
            </w:r>
          </w:p>
        </w:tc>
        <w:tc>
          <w:tcPr>
            <w:tcW w:w="1728" w:type="dxa"/>
            <w:shd w:val="clear" w:color="auto" w:fill="F2F7FD"/>
          </w:tcPr>
          <w:p w14:paraId="64E0D9B2" w14:textId="77777777" w:rsidR="00FA345A" w:rsidRDefault="00000000">
            <w:pPr>
              <w:spacing w:before="40" w:after="40"/>
            </w:pPr>
            <w:r>
              <w:rPr>
                <w:sz w:val="18"/>
              </w:rPr>
              <w:t>IEA WEO 2024</w:t>
            </w:r>
          </w:p>
        </w:tc>
      </w:tr>
      <w:tr w:rsidR="00FA345A" w14:paraId="3DCFF111" w14:textId="77777777">
        <w:tc>
          <w:tcPr>
            <w:tcW w:w="2304" w:type="dxa"/>
            <w:shd w:val="clear" w:color="auto" w:fill="FFFFFF"/>
          </w:tcPr>
          <w:p w14:paraId="72B1CEF0" w14:textId="77777777" w:rsidR="00FA345A" w:rsidRDefault="00000000">
            <w:pPr>
              <w:spacing w:before="40" w:after="40"/>
            </w:pPr>
            <w:r>
              <w:rPr>
                <w:sz w:val="18"/>
              </w:rPr>
              <w:t>IAEA Low Case</w:t>
            </w:r>
          </w:p>
        </w:tc>
        <w:tc>
          <w:tcPr>
            <w:tcW w:w="1152" w:type="dxa"/>
            <w:shd w:val="clear" w:color="auto" w:fill="FFFFFF"/>
          </w:tcPr>
          <w:p w14:paraId="2A5CBA96" w14:textId="77777777" w:rsidR="00FA345A" w:rsidRDefault="00000000">
            <w:pPr>
              <w:spacing w:before="40" w:after="40"/>
            </w:pPr>
            <w:r>
              <w:rPr>
                <w:sz w:val="18"/>
              </w:rPr>
              <w:t>425 GW</w:t>
            </w:r>
          </w:p>
        </w:tc>
        <w:tc>
          <w:tcPr>
            <w:tcW w:w="1152" w:type="dxa"/>
            <w:shd w:val="clear" w:color="auto" w:fill="FFFFFF"/>
          </w:tcPr>
          <w:p w14:paraId="426EC776" w14:textId="77777777" w:rsidR="00FA345A" w:rsidRDefault="00000000">
            <w:pPr>
              <w:spacing w:before="40" w:after="40"/>
            </w:pPr>
            <w:r>
              <w:rPr>
                <w:sz w:val="18"/>
              </w:rPr>
              <w:t>519 GW</w:t>
            </w:r>
          </w:p>
        </w:tc>
        <w:tc>
          <w:tcPr>
            <w:tcW w:w="1872" w:type="dxa"/>
            <w:shd w:val="clear" w:color="auto" w:fill="FFFFFF"/>
          </w:tcPr>
          <w:p w14:paraId="2EE6D1D6" w14:textId="77777777" w:rsidR="00FA345A" w:rsidRDefault="00000000">
            <w:pPr>
              <w:spacing w:before="40" w:after="40"/>
            </w:pPr>
            <w:r>
              <w:rPr>
                <w:sz w:val="18"/>
              </w:rPr>
              <w:t>Conservative</w:t>
            </w:r>
          </w:p>
        </w:tc>
        <w:tc>
          <w:tcPr>
            <w:tcW w:w="1872" w:type="dxa"/>
            <w:shd w:val="clear" w:color="auto" w:fill="FFFFFF"/>
          </w:tcPr>
          <w:p w14:paraId="680CBBA8" w14:textId="77777777" w:rsidR="00FA345A" w:rsidRDefault="00000000">
            <w:pPr>
              <w:spacing w:before="40" w:after="40"/>
            </w:pPr>
            <w:r>
              <w:rPr>
                <w:sz w:val="18"/>
              </w:rPr>
              <w:t>~561 GW</w:t>
            </w:r>
          </w:p>
        </w:tc>
        <w:tc>
          <w:tcPr>
            <w:tcW w:w="1728" w:type="dxa"/>
            <w:shd w:val="clear" w:color="auto" w:fill="FFFFFF"/>
          </w:tcPr>
          <w:p w14:paraId="4B880FB8" w14:textId="77777777" w:rsidR="00FA345A" w:rsidRDefault="00000000">
            <w:pPr>
              <w:spacing w:before="40" w:after="40"/>
            </w:pPr>
            <w:r>
              <w:rPr>
                <w:sz w:val="18"/>
              </w:rPr>
              <w:t>RDS-1 2025</w:t>
            </w:r>
          </w:p>
        </w:tc>
      </w:tr>
      <w:tr w:rsidR="00FA345A" w14:paraId="7F7F1C96" w14:textId="77777777">
        <w:tc>
          <w:tcPr>
            <w:tcW w:w="2304" w:type="dxa"/>
            <w:shd w:val="clear" w:color="auto" w:fill="F2F7FD"/>
          </w:tcPr>
          <w:p w14:paraId="6D5FF03D" w14:textId="77777777" w:rsidR="00FA345A" w:rsidRDefault="00000000">
            <w:pPr>
              <w:spacing w:before="40" w:after="40"/>
            </w:pPr>
            <w:r>
              <w:rPr>
                <w:sz w:val="18"/>
              </w:rPr>
              <w:t>IEA STEPS</w:t>
            </w:r>
          </w:p>
        </w:tc>
        <w:tc>
          <w:tcPr>
            <w:tcW w:w="1152" w:type="dxa"/>
            <w:shd w:val="clear" w:color="auto" w:fill="F2F7FD"/>
          </w:tcPr>
          <w:p w14:paraId="149056EA" w14:textId="77777777" w:rsidR="00FA345A" w:rsidRDefault="00000000">
            <w:pPr>
              <w:spacing w:before="40" w:after="40"/>
            </w:pPr>
            <w:r>
              <w:rPr>
                <w:sz w:val="18"/>
              </w:rPr>
              <w:t>513 GW</w:t>
            </w:r>
          </w:p>
        </w:tc>
        <w:tc>
          <w:tcPr>
            <w:tcW w:w="1152" w:type="dxa"/>
            <w:shd w:val="clear" w:color="auto" w:fill="F2F7FD"/>
          </w:tcPr>
          <w:p w14:paraId="00630124" w14:textId="77777777" w:rsidR="00FA345A" w:rsidRDefault="00000000">
            <w:pPr>
              <w:spacing w:before="40" w:after="40"/>
            </w:pPr>
            <w:r>
              <w:rPr>
                <w:sz w:val="18"/>
              </w:rPr>
              <w:t>586 GW</w:t>
            </w:r>
          </w:p>
        </w:tc>
        <w:tc>
          <w:tcPr>
            <w:tcW w:w="1872" w:type="dxa"/>
            <w:shd w:val="clear" w:color="auto" w:fill="F2F7FD"/>
          </w:tcPr>
          <w:p w14:paraId="712F630B" w14:textId="77777777" w:rsidR="00FA345A" w:rsidRDefault="00000000">
            <w:pPr>
              <w:spacing w:before="40" w:after="40"/>
            </w:pPr>
            <w:r>
              <w:rPr>
                <w:sz w:val="18"/>
              </w:rPr>
              <w:t>Base</w:t>
            </w:r>
          </w:p>
        </w:tc>
        <w:tc>
          <w:tcPr>
            <w:tcW w:w="1872" w:type="dxa"/>
            <w:shd w:val="clear" w:color="auto" w:fill="F2F7FD"/>
          </w:tcPr>
          <w:p w14:paraId="41F79A34" w14:textId="77777777" w:rsidR="00FA345A" w:rsidRDefault="00000000">
            <w:pPr>
              <w:spacing w:before="40" w:after="40"/>
            </w:pPr>
            <w:r>
              <w:rPr>
                <w:sz w:val="18"/>
              </w:rPr>
              <w:t>~647 GW</w:t>
            </w:r>
          </w:p>
        </w:tc>
        <w:tc>
          <w:tcPr>
            <w:tcW w:w="1728" w:type="dxa"/>
            <w:shd w:val="clear" w:color="auto" w:fill="F2F7FD"/>
          </w:tcPr>
          <w:p w14:paraId="52E392AF" w14:textId="77777777" w:rsidR="00FA345A" w:rsidRDefault="00000000">
            <w:pPr>
              <w:spacing w:before="40" w:after="40"/>
            </w:pPr>
            <w:r>
              <w:rPr>
                <w:sz w:val="18"/>
              </w:rPr>
              <w:t>IEA WEO 2024</w:t>
            </w:r>
          </w:p>
        </w:tc>
      </w:tr>
      <w:tr w:rsidR="00FA345A" w14:paraId="472B21DA" w14:textId="77777777">
        <w:tc>
          <w:tcPr>
            <w:tcW w:w="2304" w:type="dxa"/>
            <w:shd w:val="clear" w:color="auto" w:fill="FFFFFF"/>
          </w:tcPr>
          <w:p w14:paraId="4A789E9A" w14:textId="77777777" w:rsidR="00FA345A" w:rsidRDefault="00000000">
            <w:pPr>
              <w:spacing w:before="40" w:after="40"/>
            </w:pPr>
            <w:r>
              <w:rPr>
                <w:sz w:val="18"/>
              </w:rPr>
              <w:t>IEA APS</w:t>
            </w:r>
          </w:p>
        </w:tc>
        <w:tc>
          <w:tcPr>
            <w:tcW w:w="1152" w:type="dxa"/>
            <w:shd w:val="clear" w:color="auto" w:fill="FFFFFF"/>
          </w:tcPr>
          <w:p w14:paraId="10695A62" w14:textId="77777777" w:rsidR="00FA345A" w:rsidRDefault="00000000">
            <w:pPr>
              <w:spacing w:before="40" w:after="40"/>
            </w:pPr>
            <w:r>
              <w:rPr>
                <w:sz w:val="18"/>
              </w:rPr>
              <w:t>551 GW</w:t>
            </w:r>
          </w:p>
        </w:tc>
        <w:tc>
          <w:tcPr>
            <w:tcW w:w="1152" w:type="dxa"/>
            <w:shd w:val="clear" w:color="auto" w:fill="FFFFFF"/>
          </w:tcPr>
          <w:p w14:paraId="34BD0C50" w14:textId="77777777" w:rsidR="00FA345A" w:rsidRDefault="00000000">
            <w:pPr>
              <w:spacing w:before="40" w:after="40"/>
            </w:pPr>
            <w:r>
              <w:rPr>
                <w:sz w:val="18"/>
              </w:rPr>
              <w:t>748 GW</w:t>
            </w:r>
          </w:p>
        </w:tc>
        <w:tc>
          <w:tcPr>
            <w:tcW w:w="1872" w:type="dxa"/>
            <w:shd w:val="clear" w:color="auto" w:fill="FFFFFF"/>
          </w:tcPr>
          <w:p w14:paraId="538E2111" w14:textId="77777777" w:rsidR="00FA345A" w:rsidRDefault="00000000">
            <w:pPr>
              <w:spacing w:before="40" w:after="40"/>
            </w:pPr>
            <w:r>
              <w:rPr>
                <w:sz w:val="18"/>
              </w:rPr>
              <w:t>(Reference)</w:t>
            </w:r>
          </w:p>
        </w:tc>
        <w:tc>
          <w:tcPr>
            <w:tcW w:w="1872" w:type="dxa"/>
            <w:shd w:val="clear" w:color="auto" w:fill="FFFFFF"/>
          </w:tcPr>
          <w:p w14:paraId="0E97785F" w14:textId="77777777" w:rsidR="00FA345A" w:rsidRDefault="00000000">
            <w:pPr>
              <w:spacing w:before="40" w:after="40"/>
            </w:pPr>
            <w:r>
              <w:rPr>
                <w:sz w:val="18"/>
              </w:rPr>
              <w:t>~874 GW</w:t>
            </w:r>
          </w:p>
        </w:tc>
        <w:tc>
          <w:tcPr>
            <w:tcW w:w="1728" w:type="dxa"/>
            <w:shd w:val="clear" w:color="auto" w:fill="FFFFFF"/>
          </w:tcPr>
          <w:p w14:paraId="63F19D44" w14:textId="77777777" w:rsidR="00FA345A" w:rsidRDefault="00000000">
            <w:pPr>
              <w:spacing w:before="40" w:after="40"/>
            </w:pPr>
            <w:r>
              <w:rPr>
                <w:sz w:val="18"/>
              </w:rPr>
              <w:t>IEA WEO 2024</w:t>
            </w:r>
          </w:p>
        </w:tc>
      </w:tr>
      <w:tr w:rsidR="00FA345A" w14:paraId="04B2B120" w14:textId="77777777">
        <w:tc>
          <w:tcPr>
            <w:tcW w:w="2304" w:type="dxa"/>
            <w:shd w:val="clear" w:color="auto" w:fill="F2F7FD"/>
          </w:tcPr>
          <w:p w14:paraId="5CBE9477" w14:textId="77777777" w:rsidR="00FA345A" w:rsidRDefault="00000000">
            <w:pPr>
              <w:spacing w:before="40" w:after="40"/>
            </w:pPr>
            <w:r>
              <w:rPr>
                <w:sz w:val="18"/>
              </w:rPr>
              <w:t>IAEA High Case</w:t>
            </w:r>
          </w:p>
        </w:tc>
        <w:tc>
          <w:tcPr>
            <w:tcW w:w="1152" w:type="dxa"/>
            <w:shd w:val="clear" w:color="auto" w:fill="F2F7FD"/>
          </w:tcPr>
          <w:p w14:paraId="16528521" w14:textId="77777777" w:rsidR="00FA345A" w:rsidRDefault="00000000">
            <w:pPr>
              <w:spacing w:before="40" w:after="40"/>
            </w:pPr>
            <w:r>
              <w:rPr>
                <w:sz w:val="18"/>
              </w:rPr>
              <w:t>445 GW</w:t>
            </w:r>
          </w:p>
        </w:tc>
        <w:tc>
          <w:tcPr>
            <w:tcW w:w="1152" w:type="dxa"/>
            <w:shd w:val="clear" w:color="auto" w:fill="F2F7FD"/>
          </w:tcPr>
          <w:p w14:paraId="76CA0C0A" w14:textId="77777777" w:rsidR="00FA345A" w:rsidRDefault="00000000">
            <w:pPr>
              <w:spacing w:before="40" w:after="40"/>
            </w:pPr>
            <w:r>
              <w:rPr>
                <w:sz w:val="18"/>
              </w:rPr>
              <w:t>710 GW</w:t>
            </w:r>
          </w:p>
        </w:tc>
        <w:tc>
          <w:tcPr>
            <w:tcW w:w="1872" w:type="dxa"/>
            <w:shd w:val="clear" w:color="auto" w:fill="F2F7FD"/>
          </w:tcPr>
          <w:p w14:paraId="403CDFA8" w14:textId="77777777" w:rsidR="00FA345A" w:rsidRDefault="00000000">
            <w:pPr>
              <w:spacing w:before="40" w:after="40"/>
            </w:pPr>
            <w:r>
              <w:rPr>
                <w:sz w:val="18"/>
              </w:rPr>
              <w:t>Optimistic</w:t>
            </w:r>
          </w:p>
        </w:tc>
        <w:tc>
          <w:tcPr>
            <w:tcW w:w="1872" w:type="dxa"/>
            <w:shd w:val="clear" w:color="auto" w:fill="F2F7FD"/>
          </w:tcPr>
          <w:p w14:paraId="7A5D0BD1" w14:textId="77777777" w:rsidR="00FA345A" w:rsidRDefault="00000000">
            <w:pPr>
              <w:spacing w:before="40" w:after="40"/>
            </w:pPr>
            <w:r>
              <w:rPr>
                <w:sz w:val="18"/>
              </w:rPr>
              <w:t>~992 GW</w:t>
            </w:r>
          </w:p>
        </w:tc>
        <w:tc>
          <w:tcPr>
            <w:tcW w:w="1728" w:type="dxa"/>
            <w:shd w:val="clear" w:color="auto" w:fill="F2F7FD"/>
          </w:tcPr>
          <w:p w14:paraId="5E9B3E52" w14:textId="77777777" w:rsidR="00FA345A" w:rsidRDefault="00000000">
            <w:pPr>
              <w:spacing w:before="40" w:after="40"/>
            </w:pPr>
            <w:r>
              <w:rPr>
                <w:sz w:val="18"/>
              </w:rPr>
              <w:t>RDS-1 2025</w:t>
            </w:r>
          </w:p>
        </w:tc>
      </w:tr>
    </w:tbl>
    <w:p w14:paraId="5641CA3A" w14:textId="77777777" w:rsidR="00FA345A" w:rsidRDefault="00FA345A"/>
    <w:p w14:paraId="34F7F65A" w14:textId="77777777" w:rsidR="00FA345A" w:rsidRDefault="00000000">
      <w:pPr>
        <w:spacing w:before="80" w:after="80"/>
      </w:pPr>
      <w:r>
        <w:t>Note on IEA APS: The Announced Pledges Scenario is shown as a reference point but is not directly matched by a scenario. Its 2050 value (~874 GW) falls between the Base and Optimistic scenarios. Users can approximate this level using the Scenario Lab with high pipeline realization and partial Proposed inclusion.</w:t>
      </w:r>
    </w:p>
    <w:p w14:paraId="27B2A806" w14:textId="77777777" w:rsidR="00FA345A" w:rsidRDefault="00000000">
      <w:pPr>
        <w:spacing w:before="280" w:after="80"/>
      </w:pPr>
      <w:r>
        <w:rPr>
          <w:b/>
          <w:color w:val="1A375E"/>
          <w:sz w:val="30"/>
        </w:rPr>
        <w:t>7.1  Convergence Method</w:t>
      </w:r>
    </w:p>
    <w:p w14:paraId="0BE4B30B" w14:textId="77777777" w:rsidR="00FA345A" w:rsidRDefault="00000000">
      <w:pPr>
        <w:spacing w:before="80" w:after="80"/>
      </w:pPr>
      <w:r>
        <w:t>Each scenario's post-2040 global_growth_gw_per_year is calibrated by solving for the value that hits the benchmark's 2050 total, given the model's projected 2040 capacity. Because the 2040 capacity changes with fleet data updates, these rates are re-calibrated annually. The rates stored in the database are the calibrated values as of the 2024 data vintage.</w:t>
      </w:r>
    </w:p>
    <w:p w14:paraId="5FB55DB3" w14:textId="77777777" w:rsidR="00FA345A" w:rsidRDefault="00000000">
      <w:pPr>
        <w:spacing w:before="80" w:after="80"/>
      </w:pPr>
      <w:r>
        <w:t>Regional allocation uses the proportions from IAEA/IEA regional breakdowns (Central &amp; Eastern Asia, Eastern Europe, Northern America, etc.) re-mapped to the dashboard's 12 regions. The mapping is documented in the scenario_regional_params table.</w:t>
      </w:r>
    </w:p>
    <w:tbl>
      <w:tblPr>
        <w:tblW w:w="0" w:type="auto"/>
        <w:tblLook w:val="04A0" w:firstRow="1" w:lastRow="0" w:firstColumn="1" w:lastColumn="0" w:noHBand="0" w:noVBand="1"/>
      </w:tblPr>
      <w:tblGrid>
        <w:gridCol w:w="9360"/>
      </w:tblGrid>
      <w:tr w:rsidR="00FA345A" w14:paraId="4A9052EC" w14:textId="77777777">
        <w:tc>
          <w:tcPr>
            <w:tcW w:w="9360" w:type="dxa"/>
            <w:tcBorders>
              <w:left w:val="single" w:sz="18" w:space="0" w:color="C99A00"/>
            </w:tcBorders>
            <w:shd w:val="clear" w:color="auto" w:fill="FFF3CD"/>
            <w:tcMar>
              <w:top w:w="80" w:type="dxa"/>
              <w:left w:w="160" w:type="dxa"/>
              <w:bottom w:w="80" w:type="dxa"/>
              <w:right w:w="160" w:type="dxa"/>
            </w:tcMar>
          </w:tcPr>
          <w:p w14:paraId="4BD8786A" w14:textId="77777777" w:rsidR="00FA345A" w:rsidRDefault="00000000">
            <w:pPr>
              <w:spacing w:before="40" w:after="40"/>
            </w:pPr>
            <w:r>
              <w:rPr>
                <w:b/>
                <w:color w:val="C99A00"/>
              </w:rPr>
              <w:t xml:space="preserve">Important caveat:  </w:t>
            </w:r>
            <w:r>
              <w:t>The 2030 and 2040 column values in the benchmark table above are from the external benchmark publications. The model's own 2030 and 2040 outputs are determined by the bottom-up phase and may differ from the benchmark's intermediate milestones, particularly if the benchmark uses different fleet assumptions for retirements or pipeline. Only the 2050 terminal value is explicitly calibrated.</w:t>
            </w:r>
          </w:p>
        </w:tc>
      </w:tr>
    </w:tbl>
    <w:p w14:paraId="1DCA0E77" w14:textId="77777777" w:rsidR="00FA345A" w:rsidRDefault="00FA345A"/>
    <w:p w14:paraId="6B999FD4" w14:textId="77777777" w:rsidR="00FA345A" w:rsidRDefault="00000000">
      <w:pPr>
        <w:spacing w:after="0"/>
      </w:pPr>
      <w:r>
        <w:br w:type="page"/>
      </w:r>
    </w:p>
    <w:p w14:paraId="7F95757B" w14:textId="77777777" w:rsidR="00FA345A" w:rsidRDefault="00000000">
      <w:pPr>
        <w:pBdr>
          <w:bottom w:val="single" w:sz="6" w:space="4" w:color="2E75B6"/>
        </w:pBdr>
        <w:spacing w:before="360"/>
      </w:pPr>
      <w:r>
        <w:rPr>
          <w:b/>
          <w:color w:val="1A375E"/>
          <w:sz w:val="40"/>
        </w:rPr>
        <w:lastRenderedPageBreak/>
        <w:t>8.  Small Modular Reactor (SMR) Assumptions</w:t>
      </w:r>
    </w:p>
    <w:p w14:paraId="23C8FE6D" w14:textId="77777777" w:rsidR="00FA345A" w:rsidRDefault="00000000">
      <w:pPr>
        <w:spacing w:before="80" w:after="80"/>
      </w:pPr>
      <w:r>
        <w:t>SMRs (reactors with net capacity ≤300 MW per unit) are tracked separately in the database using the is_smr flag. As of the 2024 baseline, very few SMRs are operational globally (a handful of demonstration units in China and Russia). The pipeline includes a modest number of planned and proposed projects.</w:t>
      </w:r>
    </w:p>
    <w:p w14:paraId="70D5501F" w14:textId="77777777" w:rsidR="00FA345A" w:rsidRDefault="00000000">
      <w:pPr>
        <w:spacing w:before="280" w:after="80"/>
      </w:pPr>
      <w:r>
        <w:rPr>
          <w:b/>
          <w:color w:val="1A375E"/>
          <w:sz w:val="30"/>
        </w:rPr>
        <w:t>8.1  Current Treatment</w:t>
      </w:r>
    </w:p>
    <w:p w14:paraId="426F9BC4" w14:textId="77777777" w:rsidR="00FA345A" w:rsidRDefault="00000000">
      <w:pPr>
        <w:pStyle w:val="ListBullet"/>
        <w:spacing w:before="40" w:after="40"/>
      </w:pPr>
      <w:r>
        <w:t>SMRs in Under Construction or Planned status: treated identically to large reactors — they enter service at their expected online year, subject to the SMR realization preset</w:t>
      </w:r>
    </w:p>
    <w:p w14:paraId="4EB77443" w14:textId="77777777" w:rsidR="00FA345A" w:rsidRDefault="00000000">
      <w:pPr>
        <w:pStyle w:val="ListBullet"/>
        <w:spacing w:before="40" w:after="40"/>
      </w:pPr>
      <w:r>
        <w:t>SMR pipeline preset: same H/M/L structure as large reactors (100/100/100%, 100/100/0%, 100/0/0%)</w:t>
      </w:r>
    </w:p>
    <w:p w14:paraId="6EF401CF" w14:textId="77777777" w:rsidR="00FA345A" w:rsidRDefault="00000000">
      <w:pPr>
        <w:pStyle w:val="ListBullet"/>
        <w:spacing w:before="40" w:after="40"/>
      </w:pPr>
      <w:r>
        <w:t>Post-2040 SMR contribution: currently folded into the global post-2040 new build rate (not split out separately in the pre-defined scenarios)</w:t>
      </w:r>
    </w:p>
    <w:p w14:paraId="21F64961" w14:textId="77777777" w:rsidR="00FA345A" w:rsidRDefault="00000000">
      <w:pPr>
        <w:spacing w:before="280" w:after="80"/>
      </w:pPr>
      <w:r>
        <w:rPr>
          <w:b/>
          <w:color w:val="1A375E"/>
          <w:sz w:val="30"/>
        </w:rPr>
        <w:t>8.2  Limitations</w:t>
      </w:r>
    </w:p>
    <w:p w14:paraId="0069C65D" w14:textId="77777777" w:rsidR="00FA345A" w:rsidRDefault="00000000">
      <w:pPr>
        <w:spacing w:before="80" w:after="80"/>
      </w:pPr>
      <w:r>
        <w:t>The SMR landscape is evolving rapidly (NuScale, GE-Hitachi BWRX-300, Rolls-Royce SMR, TerraPower Natrium, etc.). The dashboard does not model commercial SMR deployment curves separately from large reactor pipelines, for two reasons:</w:t>
      </w:r>
    </w:p>
    <w:p w14:paraId="74EB9322" w14:textId="77777777" w:rsidR="00FA345A" w:rsidRDefault="00000000">
      <w:pPr>
        <w:pStyle w:val="ListBullet"/>
        <w:spacing w:before="40" w:after="40"/>
      </w:pPr>
      <w:r>
        <w:t>Very few SMR designs have reached commercial operation; deployment timelines are highly speculative beyond 2030</w:t>
      </w:r>
    </w:p>
    <w:p w14:paraId="0C7865C9" w14:textId="77777777" w:rsidR="00FA345A" w:rsidRDefault="00000000">
      <w:pPr>
        <w:pStyle w:val="ListBullet"/>
        <w:spacing w:before="40" w:after="40"/>
      </w:pPr>
      <w:r>
        <w:t>The post-2040 top-down rate implicitly includes SMR deployment — it is calibrated to the same benchmark that includes IAEA/IEA SMR projections</w:t>
      </w:r>
    </w:p>
    <w:p w14:paraId="01E57710" w14:textId="77777777" w:rsidR="00FA345A" w:rsidRDefault="00000000">
      <w:pPr>
        <w:spacing w:before="80" w:after="80"/>
      </w:pPr>
      <w:r>
        <w:t>A future update may add an explicit SMR acceleration module (accelerated_gw_per_year from a specified year, modifiable via the Scenario Lab). This is already partially implemented in the levers interface.</w:t>
      </w:r>
    </w:p>
    <w:tbl>
      <w:tblPr>
        <w:tblW w:w="0" w:type="auto"/>
        <w:tblLook w:val="04A0" w:firstRow="1" w:lastRow="0" w:firstColumn="1" w:lastColumn="0" w:noHBand="0" w:noVBand="1"/>
      </w:tblPr>
      <w:tblGrid>
        <w:gridCol w:w="9360"/>
      </w:tblGrid>
      <w:tr w:rsidR="00FA345A" w14:paraId="5A35E4BD" w14:textId="77777777">
        <w:tc>
          <w:tcPr>
            <w:tcW w:w="9360" w:type="dxa"/>
            <w:tcBorders>
              <w:left w:val="single" w:sz="18" w:space="0" w:color="007080"/>
            </w:tcBorders>
            <w:shd w:val="clear" w:color="auto" w:fill="E8F4FD"/>
            <w:tcMar>
              <w:top w:w="80" w:type="dxa"/>
              <w:left w:w="160" w:type="dxa"/>
              <w:bottom w:w="80" w:type="dxa"/>
              <w:right w:w="160" w:type="dxa"/>
            </w:tcMar>
          </w:tcPr>
          <w:p w14:paraId="5B154646" w14:textId="77777777" w:rsidR="00FA345A" w:rsidRDefault="00000000">
            <w:pPr>
              <w:spacing w:before="40" w:after="40"/>
            </w:pPr>
            <w:r>
              <w:rPr>
                <w:b/>
                <w:color w:val="007080"/>
              </w:rPr>
              <w:t xml:space="preserve">SMR note for advanced users:  </w:t>
            </w:r>
            <w:r>
              <w:t>In the Scenario Lab, you can set a separate SMR pipeline preset (e.g., High for SMRs even if Large is Medium). This captures the view that near-term SMR commitments may have higher execution risk than currently operating large reactor construction projects.</w:t>
            </w:r>
          </w:p>
        </w:tc>
      </w:tr>
    </w:tbl>
    <w:p w14:paraId="60951A6C" w14:textId="77777777" w:rsidR="00FA345A" w:rsidRDefault="00FA345A"/>
    <w:p w14:paraId="5323936D" w14:textId="77777777" w:rsidR="00FA345A" w:rsidRDefault="00000000">
      <w:pPr>
        <w:spacing w:after="0"/>
      </w:pPr>
      <w:r>
        <w:br w:type="page"/>
      </w:r>
    </w:p>
    <w:p w14:paraId="16DB8F8C" w14:textId="77777777" w:rsidR="00FA345A" w:rsidRDefault="00000000">
      <w:pPr>
        <w:pBdr>
          <w:bottom w:val="single" w:sz="6" w:space="4" w:color="2E75B6"/>
        </w:pBdr>
        <w:spacing w:before="360"/>
      </w:pPr>
      <w:r>
        <w:rPr>
          <w:b/>
          <w:color w:val="1A375E"/>
          <w:sz w:val="40"/>
        </w:rPr>
        <w:lastRenderedPageBreak/>
        <w:t>9.  Limitations &amp; Caveats</w:t>
      </w:r>
    </w:p>
    <w:p w14:paraId="001EA443" w14:textId="77777777" w:rsidR="00FA345A" w:rsidRDefault="00000000">
      <w:pPr>
        <w:spacing w:before="80" w:after="80"/>
      </w:pPr>
      <w:r>
        <w:t>No projection tool eliminates uncertainty. The following limitations are inherent in the methodology and should be understood by users before drawing policy conclusions.</w:t>
      </w:r>
    </w:p>
    <w:tbl>
      <w:tblPr>
        <w:tblStyle w:val="TableGrid"/>
        <w:tblW w:w="0" w:type="auto"/>
        <w:tblLook w:val="04A0" w:firstRow="1" w:lastRow="0" w:firstColumn="1" w:lastColumn="0" w:noHBand="0" w:noVBand="1"/>
      </w:tblPr>
      <w:tblGrid>
        <w:gridCol w:w="1872"/>
        <w:gridCol w:w="3456"/>
        <w:gridCol w:w="1296"/>
        <w:gridCol w:w="2736"/>
      </w:tblGrid>
      <w:tr w:rsidR="00FA345A" w14:paraId="330A15FB" w14:textId="77777777">
        <w:tc>
          <w:tcPr>
            <w:tcW w:w="1872" w:type="dxa"/>
            <w:shd w:val="clear" w:color="auto" w:fill="1A375E"/>
          </w:tcPr>
          <w:p w14:paraId="32904CDF" w14:textId="77777777" w:rsidR="00FA345A" w:rsidRDefault="00000000">
            <w:pPr>
              <w:spacing w:before="40" w:after="40"/>
            </w:pPr>
            <w:r>
              <w:rPr>
                <w:b/>
                <w:color w:val="FFFFFF"/>
                <w:sz w:val="16"/>
              </w:rPr>
              <w:t>Limitation</w:t>
            </w:r>
          </w:p>
        </w:tc>
        <w:tc>
          <w:tcPr>
            <w:tcW w:w="3456" w:type="dxa"/>
            <w:shd w:val="clear" w:color="auto" w:fill="1A375E"/>
          </w:tcPr>
          <w:p w14:paraId="64E1D922" w14:textId="77777777" w:rsidR="00FA345A" w:rsidRDefault="00000000">
            <w:pPr>
              <w:spacing w:before="40" w:after="40"/>
            </w:pPr>
            <w:r>
              <w:rPr>
                <w:b/>
                <w:color w:val="FFFFFF"/>
                <w:sz w:val="16"/>
              </w:rPr>
              <w:t>Description</w:t>
            </w:r>
          </w:p>
        </w:tc>
        <w:tc>
          <w:tcPr>
            <w:tcW w:w="1296" w:type="dxa"/>
            <w:shd w:val="clear" w:color="auto" w:fill="1A375E"/>
          </w:tcPr>
          <w:p w14:paraId="4753D893" w14:textId="77777777" w:rsidR="00FA345A" w:rsidRDefault="00000000">
            <w:pPr>
              <w:spacing w:before="40" w:after="40"/>
            </w:pPr>
            <w:r>
              <w:rPr>
                <w:b/>
                <w:color w:val="FFFFFF"/>
                <w:sz w:val="16"/>
              </w:rPr>
              <w:t>Materiality</w:t>
            </w:r>
          </w:p>
        </w:tc>
        <w:tc>
          <w:tcPr>
            <w:tcW w:w="2736" w:type="dxa"/>
            <w:shd w:val="clear" w:color="auto" w:fill="1A375E"/>
          </w:tcPr>
          <w:p w14:paraId="76A85677" w14:textId="77777777" w:rsidR="00FA345A" w:rsidRDefault="00000000">
            <w:pPr>
              <w:spacing w:before="40" w:after="40"/>
            </w:pPr>
            <w:r>
              <w:rPr>
                <w:b/>
                <w:color w:val="FFFFFF"/>
                <w:sz w:val="16"/>
              </w:rPr>
              <w:t>Mitigation</w:t>
            </w:r>
          </w:p>
        </w:tc>
      </w:tr>
      <w:tr w:rsidR="00FA345A" w14:paraId="0C9D30F5" w14:textId="77777777">
        <w:tc>
          <w:tcPr>
            <w:tcW w:w="1872" w:type="dxa"/>
            <w:shd w:val="clear" w:color="auto" w:fill="F2F7FD"/>
          </w:tcPr>
          <w:p w14:paraId="24FA16AD" w14:textId="77777777" w:rsidR="00FA345A" w:rsidRDefault="00000000">
            <w:pPr>
              <w:spacing w:before="40" w:after="40"/>
            </w:pPr>
            <w:r>
              <w:rPr>
                <w:sz w:val="16"/>
              </w:rPr>
              <w:t>Post-2040 top-down</w:t>
            </w:r>
          </w:p>
        </w:tc>
        <w:tc>
          <w:tcPr>
            <w:tcW w:w="3456" w:type="dxa"/>
            <w:shd w:val="clear" w:color="auto" w:fill="F2F7FD"/>
          </w:tcPr>
          <w:p w14:paraId="2944B22E" w14:textId="77777777" w:rsidR="00FA345A" w:rsidRDefault="00000000">
            <w:pPr>
              <w:spacing w:before="40" w:after="40"/>
            </w:pPr>
            <w:r>
              <w:rPr>
                <w:sz w:val="16"/>
              </w:rPr>
              <w:t>Post-2040 growth is a single global rate calibrated to a benchmark. It cannot anticipate regional surprises (e.g., sudden German reversal, unexpected Chinese slowdown).</w:t>
            </w:r>
          </w:p>
        </w:tc>
        <w:tc>
          <w:tcPr>
            <w:tcW w:w="1296" w:type="dxa"/>
            <w:shd w:val="clear" w:color="auto" w:fill="F2F7FD"/>
          </w:tcPr>
          <w:p w14:paraId="4B74658D" w14:textId="77777777" w:rsidR="00FA345A" w:rsidRDefault="00000000">
            <w:pPr>
              <w:spacing w:before="40" w:after="40"/>
            </w:pPr>
            <w:r>
              <w:rPr>
                <w:sz w:val="16"/>
              </w:rPr>
              <w:t>High</w:t>
            </w:r>
          </w:p>
        </w:tc>
        <w:tc>
          <w:tcPr>
            <w:tcW w:w="2736" w:type="dxa"/>
            <w:shd w:val="clear" w:color="auto" w:fill="F2F7FD"/>
          </w:tcPr>
          <w:p w14:paraId="4B68C011" w14:textId="77777777" w:rsidR="00FA345A" w:rsidRDefault="00000000">
            <w:pPr>
              <w:spacing w:before="40" w:after="40"/>
            </w:pPr>
            <w:r>
              <w:rPr>
                <w:sz w:val="16"/>
              </w:rPr>
              <w:t>Compare multiple scenarios; treat post-2040 as indicative order-of-magnitude</w:t>
            </w:r>
          </w:p>
        </w:tc>
      </w:tr>
      <w:tr w:rsidR="00FA345A" w14:paraId="17CD3F0D" w14:textId="77777777">
        <w:tc>
          <w:tcPr>
            <w:tcW w:w="1872" w:type="dxa"/>
            <w:shd w:val="clear" w:color="auto" w:fill="FFFFFF"/>
          </w:tcPr>
          <w:p w14:paraId="056BE63F" w14:textId="77777777" w:rsidR="00FA345A" w:rsidRDefault="00000000">
            <w:pPr>
              <w:spacing w:before="40" w:after="40"/>
            </w:pPr>
            <w:r>
              <w:rPr>
                <w:sz w:val="16"/>
              </w:rPr>
              <w:t>Retirement date accuracy</w:t>
            </w:r>
          </w:p>
        </w:tc>
        <w:tc>
          <w:tcPr>
            <w:tcW w:w="3456" w:type="dxa"/>
            <w:shd w:val="clear" w:color="auto" w:fill="FFFFFF"/>
          </w:tcPr>
          <w:p w14:paraId="176CBE0E" w14:textId="77777777" w:rsidR="00FA345A" w:rsidRDefault="00000000">
            <w:pPr>
              <w:spacing w:before="40" w:after="40"/>
            </w:pPr>
            <w:r>
              <w:rPr>
                <w:sz w:val="16"/>
              </w:rPr>
              <w:t>Tier 2 retirement dates are derived from regulatory rules that may change. New life extension policies, phase-out decisions, or ownership changes can shift retirements by 10–20 years.</w:t>
            </w:r>
          </w:p>
        </w:tc>
        <w:tc>
          <w:tcPr>
            <w:tcW w:w="1296" w:type="dxa"/>
            <w:shd w:val="clear" w:color="auto" w:fill="FFFFFF"/>
          </w:tcPr>
          <w:p w14:paraId="41C3D748" w14:textId="77777777" w:rsidR="00FA345A" w:rsidRDefault="00000000">
            <w:pPr>
              <w:spacing w:before="40" w:after="40"/>
            </w:pPr>
            <w:r>
              <w:rPr>
                <w:sz w:val="16"/>
              </w:rPr>
              <w:t>High</w:t>
            </w:r>
          </w:p>
        </w:tc>
        <w:tc>
          <w:tcPr>
            <w:tcW w:w="2736" w:type="dxa"/>
            <w:shd w:val="clear" w:color="auto" w:fill="FFFFFF"/>
          </w:tcPr>
          <w:p w14:paraId="1126C7D7" w14:textId="77777777" w:rsidR="00FA345A" w:rsidRDefault="00000000">
            <w:pPr>
              <w:spacing w:before="40" w:after="40"/>
            </w:pPr>
            <w:r>
              <w:rPr>
                <w:sz w:val="16"/>
              </w:rPr>
              <w:t>Use What-If retirement overrides in the Scenario Lab</w:t>
            </w:r>
          </w:p>
        </w:tc>
      </w:tr>
      <w:tr w:rsidR="00FA345A" w14:paraId="7DD6715F" w14:textId="77777777">
        <w:tc>
          <w:tcPr>
            <w:tcW w:w="1872" w:type="dxa"/>
            <w:shd w:val="clear" w:color="auto" w:fill="F2F7FD"/>
          </w:tcPr>
          <w:p w14:paraId="37F89530" w14:textId="77777777" w:rsidR="00FA345A" w:rsidRDefault="00000000">
            <w:pPr>
              <w:spacing w:before="40" w:after="40"/>
            </w:pPr>
            <w:r>
              <w:rPr>
                <w:sz w:val="16"/>
              </w:rPr>
              <w:t>SMR uncertainty</w:t>
            </w:r>
          </w:p>
        </w:tc>
        <w:tc>
          <w:tcPr>
            <w:tcW w:w="3456" w:type="dxa"/>
            <w:shd w:val="clear" w:color="auto" w:fill="F2F7FD"/>
          </w:tcPr>
          <w:p w14:paraId="56802682" w14:textId="77777777" w:rsidR="00FA345A" w:rsidRDefault="00000000">
            <w:pPr>
              <w:spacing w:before="40" w:after="40"/>
            </w:pPr>
            <w:r>
              <w:rPr>
                <w:sz w:val="16"/>
              </w:rPr>
              <w:t>SMR deployment timelines are highly speculative. The post-2040 rate includes SMR contribution but cannot disaggregate it reliably.</w:t>
            </w:r>
          </w:p>
        </w:tc>
        <w:tc>
          <w:tcPr>
            <w:tcW w:w="1296" w:type="dxa"/>
            <w:shd w:val="clear" w:color="auto" w:fill="F2F7FD"/>
          </w:tcPr>
          <w:p w14:paraId="0D521B6D" w14:textId="77777777" w:rsidR="00FA345A" w:rsidRDefault="00000000">
            <w:pPr>
              <w:spacing w:before="40" w:after="40"/>
            </w:pPr>
            <w:r>
              <w:rPr>
                <w:sz w:val="16"/>
              </w:rPr>
              <w:t>High (post-2030)</w:t>
            </w:r>
          </w:p>
        </w:tc>
        <w:tc>
          <w:tcPr>
            <w:tcW w:w="2736" w:type="dxa"/>
            <w:shd w:val="clear" w:color="auto" w:fill="F2F7FD"/>
          </w:tcPr>
          <w:p w14:paraId="21F2E20B" w14:textId="77777777" w:rsidR="00FA345A" w:rsidRDefault="00000000">
            <w:pPr>
              <w:spacing w:before="40" w:after="40"/>
            </w:pPr>
            <w:r>
              <w:rPr>
                <w:sz w:val="16"/>
              </w:rPr>
              <w:t>Treat post-2040 optimistic cases with appropriate skepticism for SMR-dependent trajectories</w:t>
            </w:r>
          </w:p>
        </w:tc>
      </w:tr>
      <w:tr w:rsidR="00FA345A" w14:paraId="23C066A5" w14:textId="77777777">
        <w:tc>
          <w:tcPr>
            <w:tcW w:w="1872" w:type="dxa"/>
            <w:shd w:val="clear" w:color="auto" w:fill="FFFFFF"/>
          </w:tcPr>
          <w:p w14:paraId="26C83E40" w14:textId="77777777" w:rsidR="00FA345A" w:rsidRDefault="00000000">
            <w:pPr>
              <w:spacing w:before="40" w:after="40"/>
            </w:pPr>
            <w:r>
              <w:rPr>
                <w:sz w:val="16"/>
              </w:rPr>
              <w:t>Pipeline data lag</w:t>
            </w:r>
          </w:p>
        </w:tc>
        <w:tc>
          <w:tcPr>
            <w:tcW w:w="3456" w:type="dxa"/>
            <w:shd w:val="clear" w:color="auto" w:fill="FFFFFF"/>
          </w:tcPr>
          <w:p w14:paraId="6B08F6F0" w14:textId="77777777" w:rsidR="00FA345A" w:rsidRDefault="00000000">
            <w:pPr>
              <w:spacing w:before="40" w:after="40"/>
            </w:pPr>
            <w:r>
              <w:rPr>
                <w:sz w:val="16"/>
              </w:rPr>
              <w:t>PRIS and WNA can lag real-world announcements by 6–18 months, particularly in China and Russia.</w:t>
            </w:r>
          </w:p>
        </w:tc>
        <w:tc>
          <w:tcPr>
            <w:tcW w:w="1296" w:type="dxa"/>
            <w:shd w:val="clear" w:color="auto" w:fill="FFFFFF"/>
          </w:tcPr>
          <w:p w14:paraId="51F63F49" w14:textId="77777777" w:rsidR="00FA345A" w:rsidRDefault="00000000">
            <w:pPr>
              <w:spacing w:before="40" w:after="40"/>
            </w:pPr>
            <w:r>
              <w:rPr>
                <w:sz w:val="16"/>
              </w:rPr>
              <w:t>Medium</w:t>
            </w:r>
          </w:p>
        </w:tc>
        <w:tc>
          <w:tcPr>
            <w:tcW w:w="2736" w:type="dxa"/>
            <w:shd w:val="clear" w:color="auto" w:fill="FFFFFF"/>
          </w:tcPr>
          <w:p w14:paraId="6EE6B526" w14:textId="77777777" w:rsidR="00FA345A" w:rsidRDefault="00000000">
            <w:pPr>
              <w:spacing w:before="40" w:after="40"/>
            </w:pPr>
            <w:r>
              <w:rPr>
                <w:sz w:val="16"/>
              </w:rPr>
              <w:t>Internet-scraped sources supplement but do not eliminate this lag</w:t>
            </w:r>
          </w:p>
        </w:tc>
      </w:tr>
      <w:tr w:rsidR="00FA345A" w14:paraId="4E6EC64B" w14:textId="77777777">
        <w:tc>
          <w:tcPr>
            <w:tcW w:w="1872" w:type="dxa"/>
            <w:shd w:val="clear" w:color="auto" w:fill="F2F7FD"/>
          </w:tcPr>
          <w:p w14:paraId="272E9ABD" w14:textId="77777777" w:rsidR="00FA345A" w:rsidRDefault="00000000">
            <w:pPr>
              <w:spacing w:before="40" w:after="40"/>
            </w:pPr>
            <w:r>
              <w:rPr>
                <w:sz w:val="16"/>
              </w:rPr>
              <w:t>Annual vintage</w:t>
            </w:r>
          </w:p>
        </w:tc>
        <w:tc>
          <w:tcPr>
            <w:tcW w:w="3456" w:type="dxa"/>
            <w:shd w:val="clear" w:color="auto" w:fill="F2F7FD"/>
          </w:tcPr>
          <w:p w14:paraId="41F3137C" w14:textId="77777777" w:rsidR="00FA345A" w:rsidRDefault="00000000">
            <w:pPr>
              <w:spacing w:before="40" w:after="40"/>
            </w:pPr>
            <w:r>
              <w:rPr>
                <w:sz w:val="16"/>
              </w:rPr>
              <w:t>Data reflects end-2024 IAEA PRIS. Major 2025+ events (new approvals, cancellations, restarts) are not in the model unless manually entered via what-if overrides.</w:t>
            </w:r>
          </w:p>
        </w:tc>
        <w:tc>
          <w:tcPr>
            <w:tcW w:w="1296" w:type="dxa"/>
            <w:shd w:val="clear" w:color="auto" w:fill="F2F7FD"/>
          </w:tcPr>
          <w:p w14:paraId="253F592F" w14:textId="77777777" w:rsidR="00FA345A" w:rsidRDefault="00000000">
            <w:pPr>
              <w:spacing w:before="40" w:after="40"/>
            </w:pPr>
            <w:r>
              <w:rPr>
                <w:sz w:val="16"/>
              </w:rPr>
              <w:t>Medium</w:t>
            </w:r>
          </w:p>
        </w:tc>
        <w:tc>
          <w:tcPr>
            <w:tcW w:w="2736" w:type="dxa"/>
            <w:shd w:val="clear" w:color="auto" w:fill="F2F7FD"/>
          </w:tcPr>
          <w:p w14:paraId="0A4D3173" w14:textId="77777777" w:rsidR="00FA345A" w:rsidRDefault="00000000">
            <w:pPr>
              <w:spacing w:before="40" w:after="40"/>
            </w:pPr>
            <w:r>
              <w:rPr>
                <w:sz w:val="16"/>
              </w:rPr>
              <w:t>Use the What-If Builder to add known 2025+ developments</w:t>
            </w:r>
          </w:p>
        </w:tc>
      </w:tr>
      <w:tr w:rsidR="00FA345A" w14:paraId="26D4FEA5" w14:textId="77777777">
        <w:tc>
          <w:tcPr>
            <w:tcW w:w="1872" w:type="dxa"/>
            <w:shd w:val="clear" w:color="auto" w:fill="FFFFFF"/>
          </w:tcPr>
          <w:p w14:paraId="0ABA09F6" w14:textId="77777777" w:rsidR="00FA345A" w:rsidRDefault="00000000">
            <w:pPr>
              <w:spacing w:before="40" w:after="40"/>
            </w:pPr>
            <w:r>
              <w:rPr>
                <w:sz w:val="16"/>
              </w:rPr>
              <w:t>No market dynamics</w:t>
            </w:r>
          </w:p>
        </w:tc>
        <w:tc>
          <w:tcPr>
            <w:tcW w:w="3456" w:type="dxa"/>
            <w:shd w:val="clear" w:color="auto" w:fill="FFFFFF"/>
          </w:tcPr>
          <w:p w14:paraId="1E1CC643" w14:textId="77777777" w:rsidR="00FA345A" w:rsidRDefault="00000000">
            <w:pPr>
              <w:spacing w:before="40" w:after="40"/>
            </w:pPr>
            <w:r>
              <w:rPr>
                <w:sz w:val="16"/>
              </w:rPr>
              <w:t>The model does not respond to electricity prices, carbon prices, or gas competition. Retirements are rule-based, not economic.</w:t>
            </w:r>
          </w:p>
        </w:tc>
        <w:tc>
          <w:tcPr>
            <w:tcW w:w="1296" w:type="dxa"/>
            <w:shd w:val="clear" w:color="auto" w:fill="FFFFFF"/>
          </w:tcPr>
          <w:p w14:paraId="50EEAC0A" w14:textId="77777777" w:rsidR="00FA345A" w:rsidRDefault="00000000">
            <w:pPr>
              <w:spacing w:before="40" w:after="40"/>
            </w:pPr>
            <w:r>
              <w:rPr>
                <w:sz w:val="16"/>
              </w:rPr>
              <w:t>Low–Medium</w:t>
            </w:r>
          </w:p>
        </w:tc>
        <w:tc>
          <w:tcPr>
            <w:tcW w:w="2736" w:type="dxa"/>
            <w:shd w:val="clear" w:color="auto" w:fill="FFFFFF"/>
          </w:tcPr>
          <w:p w14:paraId="6F4AE235" w14:textId="77777777" w:rsidR="00FA345A" w:rsidRDefault="00000000">
            <w:pPr>
              <w:spacing w:before="40" w:after="40"/>
            </w:pPr>
            <w:r>
              <w:rPr>
                <w:sz w:val="16"/>
              </w:rPr>
              <w:t>Externally assess economic retirement risk for price-exposed markets (Germany 2011–2023 as a cautionary example)</w:t>
            </w:r>
          </w:p>
        </w:tc>
      </w:tr>
      <w:tr w:rsidR="00FA345A" w14:paraId="6738CB51" w14:textId="77777777">
        <w:tc>
          <w:tcPr>
            <w:tcW w:w="1872" w:type="dxa"/>
            <w:shd w:val="clear" w:color="auto" w:fill="F2F7FD"/>
          </w:tcPr>
          <w:p w14:paraId="5439CF4A" w14:textId="77777777" w:rsidR="00FA345A" w:rsidRDefault="00000000">
            <w:pPr>
              <w:spacing w:before="40" w:after="40"/>
            </w:pPr>
            <w:r>
              <w:rPr>
                <w:sz w:val="16"/>
              </w:rPr>
              <w:t>Capacity factor / generation</w:t>
            </w:r>
          </w:p>
        </w:tc>
        <w:tc>
          <w:tcPr>
            <w:tcW w:w="3456" w:type="dxa"/>
            <w:shd w:val="clear" w:color="auto" w:fill="F2F7FD"/>
          </w:tcPr>
          <w:p w14:paraId="48D2316F" w14:textId="77777777" w:rsidR="00FA345A" w:rsidRDefault="00000000">
            <w:pPr>
              <w:spacing w:before="40" w:after="40"/>
            </w:pPr>
            <w:r>
              <w:rPr>
                <w:sz w:val="16"/>
              </w:rPr>
              <w:t>Only installed capacity (GW) is modeled. Generation (TWh) depends on capacity factors, which vary by country and over reactor lifetime.</w:t>
            </w:r>
          </w:p>
        </w:tc>
        <w:tc>
          <w:tcPr>
            <w:tcW w:w="1296" w:type="dxa"/>
            <w:shd w:val="clear" w:color="auto" w:fill="F2F7FD"/>
          </w:tcPr>
          <w:p w14:paraId="42BF4A36" w14:textId="77777777" w:rsidR="00FA345A" w:rsidRDefault="00000000">
            <w:pPr>
              <w:spacing w:before="40" w:after="40"/>
            </w:pPr>
            <w:r>
              <w:rPr>
                <w:sz w:val="16"/>
              </w:rPr>
              <w:t>Low (for capacity questions)</w:t>
            </w:r>
          </w:p>
        </w:tc>
        <w:tc>
          <w:tcPr>
            <w:tcW w:w="2736" w:type="dxa"/>
            <w:shd w:val="clear" w:color="auto" w:fill="F2F7FD"/>
          </w:tcPr>
          <w:p w14:paraId="3F8EE01F" w14:textId="77777777" w:rsidR="00FA345A" w:rsidRDefault="00000000">
            <w:pPr>
              <w:spacing w:before="40" w:after="40"/>
            </w:pPr>
            <w:r>
              <w:rPr>
                <w:sz w:val="16"/>
              </w:rPr>
              <w:t>Multiply by national average capacity factors (~85–92% for baseload nuclear) to estimate generation</w:t>
            </w:r>
          </w:p>
        </w:tc>
      </w:tr>
    </w:tbl>
    <w:p w14:paraId="08DCDC43" w14:textId="77777777" w:rsidR="00FA345A" w:rsidRDefault="00FA345A"/>
    <w:p w14:paraId="1BFAB728" w14:textId="77777777" w:rsidR="00FA345A" w:rsidRDefault="00000000">
      <w:pPr>
        <w:spacing w:after="0"/>
      </w:pPr>
      <w:r>
        <w:br w:type="page"/>
      </w:r>
    </w:p>
    <w:p w14:paraId="7C513193" w14:textId="77777777" w:rsidR="00FA345A" w:rsidRDefault="00000000">
      <w:pPr>
        <w:pBdr>
          <w:bottom w:val="single" w:sz="6" w:space="4" w:color="2E75B6"/>
        </w:pBdr>
        <w:spacing w:before="360"/>
      </w:pPr>
      <w:r>
        <w:rPr>
          <w:b/>
          <w:color w:val="1A375E"/>
          <w:sz w:val="40"/>
        </w:rPr>
        <w:lastRenderedPageBreak/>
        <w:t>10.  Dashboard Tab Guide</w:t>
      </w:r>
    </w:p>
    <w:p w14:paraId="51E7CF82" w14:textId="77777777" w:rsidR="00FA345A" w:rsidRDefault="00000000">
      <w:pPr>
        <w:spacing w:before="80" w:after="80"/>
      </w:pPr>
      <w:r>
        <w:t>The dashboard has seven tabs, each designed for a specific analytical question. This section explains what each tab shows, how to use its controls, and what conclusions it supports.</w:t>
      </w:r>
    </w:p>
    <w:p w14:paraId="451098D9" w14:textId="77777777" w:rsidR="00FA345A" w:rsidRDefault="00000000">
      <w:pPr>
        <w:spacing w:before="280" w:after="80"/>
      </w:pPr>
      <w:r>
        <w:rPr>
          <w:b/>
          <w:color w:val="1A375E"/>
          <w:sz w:val="30"/>
        </w:rPr>
        <w:t>10.1  Global Projection</w:t>
      </w:r>
    </w:p>
    <w:p w14:paraId="28C4A8E1" w14:textId="77777777" w:rsidR="00FA345A" w:rsidRDefault="00000000">
      <w:pPr>
        <w:spacing w:before="80" w:after="80"/>
      </w:pPr>
      <w:r>
        <w:t>Displays total global nuclear capacity (GW) from 2005 to 2050, overlaying historical data (solid line) with the projected trajectory (dashed line from 2024). Up to four external benchmark lines (IAEA Low/High, IEA STEPS, IEA APS, IEA Low Nuclear) can be toggled on or off. A second scenario can be overlaid for direct comparison.</w:t>
      </w:r>
    </w:p>
    <w:p w14:paraId="1B8F96BC" w14:textId="77777777" w:rsidR="00FA345A" w:rsidRDefault="00000000">
      <w:pPr>
        <w:spacing w:before="200" w:after="60"/>
      </w:pPr>
      <w:r>
        <w:rPr>
          <w:b/>
          <w:color w:val="1A375E"/>
          <w:sz w:val="24"/>
        </w:rPr>
        <w:t>How to use</w:t>
      </w:r>
    </w:p>
    <w:p w14:paraId="6E965959" w14:textId="77777777" w:rsidR="00FA345A" w:rsidRDefault="00000000">
      <w:pPr>
        <w:pStyle w:val="ListBullet"/>
        <w:spacing w:before="40" w:after="40"/>
      </w:pPr>
      <w:r>
        <w:t>Select a preset scenario from the sidebar (Decline, Conservative, Base, Optimistic) or use the Scenario Lab for a custom configuration</w:t>
      </w:r>
    </w:p>
    <w:p w14:paraId="18EEAE3C" w14:textId="77777777" w:rsidR="00FA345A" w:rsidRDefault="00000000">
      <w:pPr>
        <w:pStyle w:val="ListBullet"/>
        <w:spacing w:before="40" w:after="40"/>
      </w:pPr>
      <w:r>
        <w:t>Toggle benchmark lines on/off using the checkboxes in the sidebar display options</w:t>
      </w:r>
    </w:p>
    <w:p w14:paraId="179EF3DD" w14:textId="77777777" w:rsidR="00FA345A" w:rsidRDefault="00000000">
      <w:pPr>
        <w:pStyle w:val="ListBullet"/>
        <w:spacing w:before="40" w:after="40"/>
      </w:pPr>
      <w:r>
        <w:t>Use "Compare with scenarios" to overlay a second trajectory for direct visual comparison</w:t>
      </w:r>
    </w:p>
    <w:p w14:paraId="47FE2460" w14:textId="77777777" w:rsidR="00FA345A" w:rsidRDefault="00000000">
      <w:pPr>
        <w:pStyle w:val="ListBullet"/>
        <w:spacing w:before="40" w:after="40"/>
      </w:pPr>
      <w:r>
        <w:t>Hover over the chart to read exact GW values at any year</w:t>
      </w:r>
    </w:p>
    <w:p w14:paraId="7BC64E76" w14:textId="77777777" w:rsidR="00FA345A" w:rsidRDefault="00000000">
      <w:pPr>
        <w:spacing w:before="200" w:after="60"/>
      </w:pPr>
      <w:r>
        <w:rPr>
          <w:b/>
          <w:color w:val="1A375E"/>
          <w:sz w:val="24"/>
        </w:rPr>
        <w:t>Key questions it answers</w:t>
      </w:r>
    </w:p>
    <w:p w14:paraId="01BD1209" w14:textId="77777777" w:rsidR="00FA345A" w:rsidRDefault="00000000">
      <w:pPr>
        <w:pStyle w:val="ListBullet"/>
        <w:spacing w:before="40" w:after="40"/>
      </w:pPr>
      <w:r>
        <w:t>Where does global nuclear capacity head under stated government policies?</w:t>
      </w:r>
    </w:p>
    <w:p w14:paraId="4D699ED6" w14:textId="77777777" w:rsidR="00FA345A" w:rsidRDefault="00000000">
      <w:pPr>
        <w:pStyle w:val="ListBullet"/>
        <w:spacing w:before="40" w:after="40"/>
      </w:pPr>
      <w:r>
        <w:t>How much does the choice of extension policy matter vs. new build rate?</w:t>
      </w:r>
    </w:p>
    <w:p w14:paraId="67FF6117" w14:textId="77777777" w:rsidR="00FA345A" w:rsidRDefault="00000000">
      <w:pPr>
        <w:pStyle w:val="ListBullet"/>
        <w:spacing w:before="40" w:after="40"/>
      </w:pPr>
      <w:r>
        <w:t>Which benchmark does our scenario most closely track, and from which year?</w:t>
      </w:r>
    </w:p>
    <w:p w14:paraId="4B3CAF08" w14:textId="77777777" w:rsidR="00FA345A" w:rsidRDefault="00FA345A"/>
    <w:p w14:paraId="7213B386" w14:textId="77777777" w:rsidR="00FA345A" w:rsidRDefault="00000000">
      <w:pPr>
        <w:spacing w:before="280" w:after="80"/>
      </w:pPr>
      <w:r>
        <w:rPr>
          <w:b/>
          <w:color w:val="1A375E"/>
          <w:sz w:val="30"/>
        </w:rPr>
        <w:t>10.2  Capacity Breakdown</w:t>
      </w:r>
    </w:p>
    <w:p w14:paraId="78DB11EA" w14:textId="77777777" w:rsidR="00FA345A" w:rsidRDefault="00000000">
      <w:pPr>
        <w:spacing w:before="80" w:after="80"/>
      </w:pPr>
      <w:r>
        <w:t>Stacked area charts showing capacity decomposed by either region or technology type, year by year. The chart uses a bottom-up stack (individual unit contributions) bridging to a top-down stack post-2040. A "Region" view shows the 12 geographic groupings; a "Technology" view shows PWR, BWR, CANDU, VVER, RBMK, and other types.</w:t>
      </w:r>
    </w:p>
    <w:p w14:paraId="074B2FFA" w14:textId="77777777" w:rsidR="00FA345A" w:rsidRDefault="00000000">
      <w:pPr>
        <w:spacing w:before="200" w:after="60"/>
      </w:pPr>
      <w:r>
        <w:rPr>
          <w:b/>
          <w:color w:val="1A375E"/>
          <w:sz w:val="24"/>
        </w:rPr>
        <w:t>How to use</w:t>
      </w:r>
    </w:p>
    <w:p w14:paraId="6A7C47EF" w14:textId="77777777" w:rsidR="00FA345A" w:rsidRDefault="00000000">
      <w:pPr>
        <w:pStyle w:val="ListBullet"/>
        <w:spacing w:before="40" w:after="40"/>
      </w:pPr>
      <w:r>
        <w:t>Switch between Region and Technology views using the toggle at the top of the chart</w:t>
      </w:r>
    </w:p>
    <w:p w14:paraId="3CE08BEB" w14:textId="77777777" w:rsidR="00FA345A" w:rsidRDefault="00000000">
      <w:pPr>
        <w:pStyle w:val="ListBullet"/>
        <w:spacing w:before="40" w:after="40"/>
      </w:pPr>
      <w:r>
        <w:t>Hover over the stacked areas — a unified tooltip shows all regions/technologies at that year</w:t>
      </w:r>
    </w:p>
    <w:p w14:paraId="0D648606" w14:textId="77777777" w:rsidR="00FA345A" w:rsidRDefault="00000000">
      <w:pPr>
        <w:pStyle w:val="ListBullet"/>
        <w:spacing w:before="40" w:after="40"/>
      </w:pPr>
      <w:r>
        <w:t>The dashed line at 2040 marks the bottom-up / top-down transition</w:t>
      </w:r>
    </w:p>
    <w:p w14:paraId="64764AE0" w14:textId="77777777" w:rsidR="00FA345A" w:rsidRDefault="00000000">
      <w:pPr>
        <w:pStyle w:val="ListBullet"/>
        <w:spacing w:before="40" w:after="40"/>
      </w:pPr>
      <w:r>
        <w:t>Filter to specific regions using the Geography filter in the sidebar</w:t>
      </w:r>
    </w:p>
    <w:p w14:paraId="29236425" w14:textId="77777777" w:rsidR="00FA345A" w:rsidRDefault="00000000">
      <w:pPr>
        <w:spacing w:before="200" w:after="60"/>
      </w:pPr>
      <w:r>
        <w:rPr>
          <w:b/>
          <w:color w:val="1A375E"/>
          <w:sz w:val="24"/>
        </w:rPr>
        <w:t>Key questions it answers</w:t>
      </w:r>
    </w:p>
    <w:p w14:paraId="4DC5A114" w14:textId="77777777" w:rsidR="00FA345A" w:rsidRDefault="00000000">
      <w:pPr>
        <w:pStyle w:val="ListBullet"/>
        <w:spacing w:before="40" w:after="40"/>
      </w:pPr>
      <w:r>
        <w:t>Which regions drive growth or decline in each scenario?</w:t>
      </w:r>
    </w:p>
    <w:p w14:paraId="31C15A9A" w14:textId="77777777" w:rsidR="00FA345A" w:rsidRDefault="00000000">
      <w:pPr>
        <w:pStyle w:val="ListBullet"/>
        <w:spacing w:before="40" w:after="40"/>
      </w:pPr>
      <w:r>
        <w:t>How does the technology mix change over time?</w:t>
      </w:r>
    </w:p>
    <w:p w14:paraId="61BD93B8" w14:textId="77777777" w:rsidR="00FA345A" w:rsidRDefault="00000000">
      <w:pPr>
        <w:pStyle w:val="ListBullet"/>
        <w:spacing w:before="40" w:after="40"/>
      </w:pPr>
      <w:r>
        <w:t>When does the Asian fleet overtake the Western fleet in total capacity?</w:t>
      </w:r>
    </w:p>
    <w:p w14:paraId="40D8E883" w14:textId="77777777" w:rsidR="00FA345A" w:rsidRDefault="00FA345A"/>
    <w:p w14:paraId="5C5CCE4B" w14:textId="77777777" w:rsidR="00FA345A" w:rsidRDefault="00000000">
      <w:pPr>
        <w:spacing w:before="280" w:after="80"/>
      </w:pPr>
      <w:r>
        <w:rPr>
          <w:b/>
          <w:color w:val="1A375E"/>
          <w:sz w:val="30"/>
        </w:rPr>
        <w:t>10.3  Retirements</w:t>
      </w:r>
    </w:p>
    <w:p w14:paraId="6F62F1E1" w14:textId="77777777" w:rsidR="00FA345A" w:rsidRDefault="00000000">
      <w:pPr>
        <w:spacing w:before="80" w:after="80"/>
      </w:pPr>
      <w:r>
        <w:lastRenderedPageBreak/>
        <w:t>A stacked bar chart of annual capacity retirements (GW/year), broken down by region. Shows which years have the heaviest retirement burden and how the retirement profile changes across scenarios — AcceleratedRetirement front-loads retirements in the late 2020s and 2030s; ExtendedOperations pushes the same retirements into the 2040s and 2050s.</w:t>
      </w:r>
    </w:p>
    <w:p w14:paraId="41E62E63" w14:textId="77777777" w:rsidR="00FA345A" w:rsidRDefault="00000000">
      <w:pPr>
        <w:spacing w:before="200" w:after="60"/>
      </w:pPr>
      <w:r>
        <w:rPr>
          <w:b/>
          <w:color w:val="1A375E"/>
          <w:sz w:val="24"/>
        </w:rPr>
        <w:t>How to use</w:t>
      </w:r>
    </w:p>
    <w:p w14:paraId="368E6A27" w14:textId="77777777" w:rsidR="00FA345A" w:rsidRDefault="00000000">
      <w:pPr>
        <w:pStyle w:val="ListBullet"/>
        <w:spacing w:before="40" w:after="40"/>
      </w:pPr>
      <w:r>
        <w:t>Select different scenarios to compare retirement profiles</w:t>
      </w:r>
    </w:p>
    <w:p w14:paraId="108B1A03" w14:textId="77777777" w:rsidR="00FA345A" w:rsidRDefault="00000000">
      <w:pPr>
        <w:pStyle w:val="ListBullet"/>
        <w:spacing w:before="40" w:after="40"/>
      </w:pPr>
      <w:r>
        <w:t>Hover to identify peak retirement years and the regions most affected</w:t>
      </w:r>
    </w:p>
    <w:p w14:paraId="43718F46" w14:textId="77777777" w:rsidR="00FA345A" w:rsidRDefault="00000000">
      <w:pPr>
        <w:pStyle w:val="ListBullet"/>
        <w:spacing w:before="40" w:after="40"/>
      </w:pPr>
      <w:r>
        <w:t>Use alongside the Global Projection tab to understand the "replacement" challenge</w:t>
      </w:r>
    </w:p>
    <w:p w14:paraId="76925462" w14:textId="77777777" w:rsidR="00FA345A" w:rsidRDefault="00000000">
      <w:pPr>
        <w:spacing w:before="200" w:after="60"/>
      </w:pPr>
      <w:r>
        <w:rPr>
          <w:b/>
          <w:color w:val="1A375E"/>
          <w:sz w:val="24"/>
        </w:rPr>
        <w:t>Key questions it answers</w:t>
      </w:r>
    </w:p>
    <w:p w14:paraId="66BC1947" w14:textId="77777777" w:rsidR="00FA345A" w:rsidRDefault="00000000">
      <w:pPr>
        <w:pStyle w:val="ListBullet"/>
        <w:spacing w:before="40" w:after="40"/>
      </w:pPr>
      <w:r>
        <w:t>When are the biggest waves of retirements?</w:t>
      </w:r>
    </w:p>
    <w:p w14:paraId="5922A55D" w14:textId="77777777" w:rsidR="00FA345A" w:rsidRDefault="00000000">
      <w:pPr>
        <w:pStyle w:val="ListBullet"/>
        <w:spacing w:before="40" w:after="40"/>
      </w:pPr>
      <w:r>
        <w:t>How much new build is needed just to stand still (offset retirements)?</w:t>
      </w:r>
    </w:p>
    <w:p w14:paraId="212EC232" w14:textId="77777777" w:rsidR="00FA345A" w:rsidRDefault="00000000">
      <w:pPr>
        <w:pStyle w:val="ListBullet"/>
        <w:spacing w:before="40" w:after="40"/>
      </w:pPr>
      <w:r>
        <w:t>Which regions face the steepest retirement cliffs?</w:t>
      </w:r>
    </w:p>
    <w:p w14:paraId="19DCB0BD" w14:textId="77777777" w:rsidR="00FA345A" w:rsidRDefault="00FA345A"/>
    <w:p w14:paraId="4274FB75" w14:textId="77777777" w:rsidR="00FA345A" w:rsidRDefault="00000000">
      <w:pPr>
        <w:spacing w:before="280" w:after="80"/>
      </w:pPr>
      <w:r>
        <w:rPr>
          <w:b/>
          <w:color w:val="1A375E"/>
          <w:sz w:val="30"/>
        </w:rPr>
        <w:t>10.4  New Additions</w:t>
      </w:r>
    </w:p>
    <w:p w14:paraId="1CDF8535" w14:textId="77777777" w:rsidR="00FA345A" w:rsidRDefault="00000000">
      <w:pPr>
        <w:spacing w:before="80" w:after="80"/>
      </w:pPr>
      <w:r>
        <w:t>Annual new capacity additions (GW/year) from the pipeline — under construction, planned, and proposed reactors entering service each year. Helps users see whether the pipeline is front-loaded (near-term heavy) or back-loaded.</w:t>
      </w:r>
    </w:p>
    <w:p w14:paraId="46060397" w14:textId="77777777" w:rsidR="00FA345A" w:rsidRDefault="00000000">
      <w:pPr>
        <w:spacing w:before="200" w:after="60"/>
      </w:pPr>
      <w:r>
        <w:rPr>
          <w:b/>
          <w:color w:val="1A375E"/>
          <w:sz w:val="24"/>
        </w:rPr>
        <w:t>How to use</w:t>
      </w:r>
    </w:p>
    <w:p w14:paraId="6FC4A0AD" w14:textId="77777777" w:rsidR="00FA345A" w:rsidRDefault="00000000">
      <w:pPr>
        <w:pStyle w:val="ListBullet"/>
        <w:spacing w:before="40" w:after="40"/>
      </w:pPr>
      <w:r>
        <w:t>Adjust the pipeline preset (High/Medium/Low) in the Scenario Lab to see how additions change</w:t>
      </w:r>
    </w:p>
    <w:p w14:paraId="65551178" w14:textId="77777777" w:rsidR="00FA345A" w:rsidRDefault="00000000">
      <w:pPr>
        <w:pStyle w:val="ListBullet"/>
        <w:spacing w:before="40" w:after="40"/>
      </w:pPr>
      <w:r>
        <w:t>The construction delay adder shifts all bars to the right by the specified number of years</w:t>
      </w:r>
    </w:p>
    <w:p w14:paraId="0B8C15C5" w14:textId="77777777" w:rsidR="00FA345A" w:rsidRDefault="00000000">
      <w:pPr>
        <w:pStyle w:val="ListBullet"/>
        <w:spacing w:before="40" w:after="40"/>
      </w:pPr>
      <w:r>
        <w:t>Compare with the Retirements tab to see the net capacity balance year by year</w:t>
      </w:r>
    </w:p>
    <w:p w14:paraId="182BCCA2" w14:textId="77777777" w:rsidR="00FA345A" w:rsidRDefault="00000000">
      <w:pPr>
        <w:spacing w:before="200" w:after="60"/>
      </w:pPr>
      <w:r>
        <w:rPr>
          <w:b/>
          <w:color w:val="1A375E"/>
          <w:sz w:val="24"/>
        </w:rPr>
        <w:t>Key questions it answers</w:t>
      </w:r>
    </w:p>
    <w:p w14:paraId="635620D1" w14:textId="77777777" w:rsidR="00FA345A" w:rsidRDefault="00000000">
      <w:pPr>
        <w:pStyle w:val="ListBullet"/>
        <w:spacing w:before="40" w:after="40"/>
      </w:pPr>
      <w:r>
        <w:t>When does the bulk of the Under Construction fleet come online?</w:t>
      </w:r>
    </w:p>
    <w:p w14:paraId="7A35D414" w14:textId="77777777" w:rsidR="00FA345A" w:rsidRDefault="00000000">
      <w:pPr>
        <w:pStyle w:val="ListBullet"/>
        <w:spacing w:before="40" w:after="40"/>
      </w:pPr>
      <w:r>
        <w:t>How much of the future growth depends on Proposed (speculative) projects?</w:t>
      </w:r>
    </w:p>
    <w:p w14:paraId="7E160184" w14:textId="77777777" w:rsidR="00FA345A" w:rsidRDefault="00000000">
      <w:pPr>
        <w:pStyle w:val="ListBullet"/>
        <w:spacing w:before="40" w:after="40"/>
      </w:pPr>
      <w:r>
        <w:t>Which regions are leading new additions in the near term?</w:t>
      </w:r>
    </w:p>
    <w:p w14:paraId="2D4527B4" w14:textId="77777777" w:rsidR="00FA345A" w:rsidRDefault="00FA345A"/>
    <w:p w14:paraId="5110FCE1" w14:textId="77777777" w:rsidR="00FA345A" w:rsidRDefault="00000000">
      <w:pPr>
        <w:spacing w:before="280" w:after="80"/>
      </w:pPr>
      <w:r>
        <w:rPr>
          <w:b/>
          <w:color w:val="1A375E"/>
          <w:sz w:val="30"/>
        </w:rPr>
        <w:t>10.5  Country Snapshot</w:t>
      </w:r>
    </w:p>
    <w:p w14:paraId="13C23170" w14:textId="77777777" w:rsidR="00FA345A" w:rsidRDefault="00000000">
      <w:pPr>
        <w:spacing w:before="80" w:after="80"/>
      </w:pPr>
      <w:r>
        <w:t>A bar chart showing total nuclear capacity by country for a selected year, sorted from highest to lowest. Provides a quick read on which countries dominate the fleet at any point in the projection, and how the country ranking shifts across years and scenarios.</w:t>
      </w:r>
    </w:p>
    <w:p w14:paraId="1BEF462B" w14:textId="77777777" w:rsidR="00FA345A" w:rsidRDefault="00000000">
      <w:pPr>
        <w:spacing w:before="200" w:after="60"/>
      </w:pPr>
      <w:r>
        <w:rPr>
          <w:b/>
          <w:color w:val="1A375E"/>
          <w:sz w:val="24"/>
        </w:rPr>
        <w:t>How to use</w:t>
      </w:r>
    </w:p>
    <w:p w14:paraId="4563A71A" w14:textId="77777777" w:rsidR="00FA345A" w:rsidRDefault="00000000">
      <w:pPr>
        <w:pStyle w:val="ListBullet"/>
        <w:spacing w:before="40" w:after="40"/>
      </w:pPr>
      <w:r>
        <w:t>Use the year selector at the top of the tab to choose the reference year (e.g., 2024, 2030, 2040, 2050)</w:t>
      </w:r>
    </w:p>
    <w:p w14:paraId="1B0E753A" w14:textId="77777777" w:rsidR="00FA345A" w:rsidRDefault="00000000">
      <w:pPr>
        <w:pStyle w:val="ListBullet"/>
        <w:spacing w:before="40" w:after="40"/>
      </w:pPr>
      <w:r>
        <w:t>Switch scenarios in the sidebar to compare how each country's trajectory differs</w:t>
      </w:r>
    </w:p>
    <w:p w14:paraId="14B3F150" w14:textId="77777777" w:rsidR="00FA345A" w:rsidRDefault="00000000">
      <w:pPr>
        <w:pStyle w:val="ListBullet"/>
        <w:spacing w:before="40" w:after="40"/>
      </w:pPr>
      <w:r>
        <w:t>Apply the Geography filter to restrict the chart to a specific region</w:t>
      </w:r>
    </w:p>
    <w:p w14:paraId="563D493A" w14:textId="77777777" w:rsidR="00FA345A" w:rsidRDefault="00000000">
      <w:pPr>
        <w:pStyle w:val="ListBullet"/>
        <w:spacing w:before="40" w:after="40"/>
      </w:pPr>
      <w:r>
        <w:t>Hover over bars to see exact GW values by country</w:t>
      </w:r>
    </w:p>
    <w:p w14:paraId="082F14A2" w14:textId="77777777" w:rsidR="00FA345A" w:rsidRDefault="00000000">
      <w:pPr>
        <w:spacing w:before="200" w:after="60"/>
      </w:pPr>
      <w:r>
        <w:rPr>
          <w:b/>
          <w:color w:val="1A375E"/>
          <w:sz w:val="24"/>
        </w:rPr>
        <w:t>Key questions it answers</w:t>
      </w:r>
    </w:p>
    <w:p w14:paraId="1137472C" w14:textId="77777777" w:rsidR="00FA345A" w:rsidRDefault="00000000">
      <w:pPr>
        <w:pStyle w:val="ListBullet"/>
        <w:spacing w:before="40" w:after="40"/>
      </w:pPr>
      <w:r>
        <w:lastRenderedPageBreak/>
        <w:t>Which countries have the most nuclear capacity at a given year?</w:t>
      </w:r>
    </w:p>
    <w:p w14:paraId="10B21EEE" w14:textId="77777777" w:rsidR="00FA345A" w:rsidRDefault="00000000">
      <w:pPr>
        <w:pStyle w:val="ListBullet"/>
        <w:spacing w:before="40" w:after="40"/>
      </w:pPr>
      <w:r>
        <w:t>Has China surpassed the US in total nuclear capacity, and if so when?</w:t>
      </w:r>
    </w:p>
    <w:p w14:paraId="1C594FED" w14:textId="77777777" w:rsidR="00FA345A" w:rsidRDefault="00000000">
      <w:pPr>
        <w:pStyle w:val="ListBullet"/>
        <w:spacing w:before="40" w:after="40"/>
      </w:pPr>
      <w:r>
        <w:t>Which countries grow the most in absolute GW terms between 2024 and 2050?</w:t>
      </w:r>
    </w:p>
    <w:p w14:paraId="295C0B2B" w14:textId="77777777" w:rsidR="00FA345A" w:rsidRDefault="00000000">
      <w:pPr>
        <w:pStyle w:val="ListBullet"/>
        <w:spacing w:before="40" w:after="40"/>
      </w:pPr>
      <w:r>
        <w:t>How does a specific country's ranking change across scenarios?</w:t>
      </w:r>
    </w:p>
    <w:p w14:paraId="4B2542D1" w14:textId="77777777" w:rsidR="00FA345A" w:rsidRDefault="00FA345A"/>
    <w:p w14:paraId="6F812FBA" w14:textId="77777777" w:rsidR="00FA345A" w:rsidRDefault="00000000">
      <w:pPr>
        <w:spacing w:before="280" w:after="80"/>
      </w:pPr>
      <w:r>
        <w:rPr>
          <w:b/>
          <w:color w:val="1A375E"/>
          <w:sz w:val="30"/>
        </w:rPr>
        <w:t>10.6  World Map</w:t>
      </w:r>
    </w:p>
    <w:p w14:paraId="4A10F0AD" w14:textId="77777777" w:rsidR="00FA345A" w:rsidRDefault="00000000">
      <w:pPr>
        <w:spacing w:before="80" w:after="80"/>
      </w:pPr>
      <w:r>
        <w:t>A geographic map showing nuclear capacity by country at a selected year (default: 2024). Country color intensity represents capacity in GW — darker shading indicates higher capacity. The map provides a geographic perspective on the distribution of nuclear power and how it shifts across scenarios and years.</w:t>
      </w:r>
    </w:p>
    <w:p w14:paraId="06EDEB4D" w14:textId="77777777" w:rsidR="00FA345A" w:rsidRDefault="00000000">
      <w:pPr>
        <w:spacing w:before="200" w:after="60"/>
      </w:pPr>
      <w:r>
        <w:rPr>
          <w:b/>
          <w:color w:val="1A375E"/>
          <w:sz w:val="24"/>
        </w:rPr>
        <w:t>How to use</w:t>
      </w:r>
    </w:p>
    <w:p w14:paraId="7068A344" w14:textId="77777777" w:rsidR="00FA345A" w:rsidRDefault="00000000">
      <w:pPr>
        <w:pStyle w:val="ListBullet"/>
        <w:spacing w:before="40" w:after="40"/>
      </w:pPr>
      <w:r>
        <w:t>Use the year slider to see how the geographic distribution evolves over time</w:t>
      </w:r>
    </w:p>
    <w:p w14:paraId="794C4DAD" w14:textId="77777777" w:rsidR="00FA345A" w:rsidRDefault="00000000">
      <w:pPr>
        <w:pStyle w:val="ListBullet"/>
        <w:spacing w:before="40" w:after="40"/>
      </w:pPr>
      <w:r>
        <w:t>Switch scenarios in the sidebar to compare geographic patterns under different assumptions</w:t>
      </w:r>
    </w:p>
    <w:p w14:paraId="7F4CEE4A" w14:textId="77777777" w:rsidR="00FA345A" w:rsidRDefault="00000000">
      <w:pPr>
        <w:pStyle w:val="ListBullet"/>
        <w:spacing w:before="40" w:after="40"/>
      </w:pPr>
      <w:r>
        <w:t>Hover over countries to read exact GW values</w:t>
      </w:r>
    </w:p>
    <w:p w14:paraId="455E843E" w14:textId="77777777" w:rsidR="00FA345A" w:rsidRDefault="00000000">
      <w:pPr>
        <w:spacing w:before="200" w:after="60"/>
      </w:pPr>
      <w:r>
        <w:rPr>
          <w:b/>
          <w:color w:val="1A375E"/>
          <w:sz w:val="24"/>
        </w:rPr>
        <w:t>Key questions it answers</w:t>
      </w:r>
    </w:p>
    <w:p w14:paraId="56042600" w14:textId="77777777" w:rsidR="00FA345A" w:rsidRDefault="00000000">
      <w:pPr>
        <w:pStyle w:val="ListBullet"/>
        <w:spacing w:before="40" w:after="40"/>
      </w:pPr>
      <w:r>
        <w:t>Which countries dominate nuclear capacity in 2030, 2040, 2050?</w:t>
      </w:r>
    </w:p>
    <w:p w14:paraId="7832A1EB" w14:textId="77777777" w:rsidR="00FA345A" w:rsidRDefault="00000000">
      <w:pPr>
        <w:pStyle w:val="ListBullet"/>
        <w:spacing w:before="40" w:after="40"/>
      </w:pPr>
      <w:r>
        <w:t>Where are the biggest geographic shifts happening?</w:t>
      </w:r>
    </w:p>
    <w:p w14:paraId="497A9EFE" w14:textId="77777777" w:rsidR="00FA345A" w:rsidRDefault="00000000">
      <w:pPr>
        <w:pStyle w:val="ListBullet"/>
        <w:spacing w:before="40" w:after="40"/>
      </w:pPr>
      <w:r>
        <w:t>How does China's fleet compare to the US fleet in each scenario?</w:t>
      </w:r>
    </w:p>
    <w:p w14:paraId="00326266" w14:textId="77777777" w:rsidR="00FA345A" w:rsidRDefault="00FA345A"/>
    <w:p w14:paraId="27F59AA7" w14:textId="77777777" w:rsidR="00FA345A" w:rsidRDefault="00000000">
      <w:pPr>
        <w:spacing w:before="280" w:after="80"/>
      </w:pPr>
      <w:r>
        <w:rPr>
          <w:b/>
          <w:color w:val="1A375E"/>
          <w:sz w:val="30"/>
        </w:rPr>
        <w:t>10.7  Scenario Lab</w:t>
      </w:r>
    </w:p>
    <w:p w14:paraId="143AC9F8" w14:textId="77777777" w:rsidR="00FA345A" w:rsidRDefault="00000000">
      <w:pPr>
        <w:spacing w:before="80" w:after="80"/>
      </w:pPr>
      <w:r>
        <w:t>The full lever panel for building custom scenarios. Provides two complementary ways to configure a scenario — a plain-English Claude assistant and manual lever controls — that can be used together or independently. Allows independent control of extension policy, large reactor pipeline preset, SMR pipeline preset, construction delay adder, post-2040 new build rate, and unit-level reactor overrides.</w:t>
      </w:r>
    </w:p>
    <w:p w14:paraId="2E62F407" w14:textId="77777777" w:rsidR="00FA345A" w:rsidRDefault="00000000">
      <w:pPr>
        <w:spacing w:before="200" w:after="60"/>
      </w:pPr>
      <w:r>
        <w:rPr>
          <w:b/>
          <w:color w:val="1A375E"/>
          <w:sz w:val="24"/>
        </w:rPr>
        <w:t>How to use — two approaches (can be combined)</w:t>
      </w:r>
    </w:p>
    <w:p w14:paraId="25388E94" w14:textId="77777777" w:rsidR="00FA345A" w:rsidRDefault="00000000">
      <w:r>
        <w:rPr>
          <w:b/>
          <w:color w:val="007080"/>
        </w:rPr>
        <w:t xml:space="preserve">Option 1: Claude Helper (plain English)  </w:t>
      </w:r>
      <w:r>
        <w:t>— recommended for complex or multi-reactor changes</w:t>
      </w:r>
    </w:p>
    <w:p w14:paraId="05C29C09" w14:textId="77777777" w:rsidR="00FA345A" w:rsidRDefault="00000000">
      <w:pPr>
        <w:pStyle w:val="ListBullet"/>
        <w:spacing w:before="40" w:after="40"/>
      </w:pPr>
      <w:r>
        <w:t>Click the Claude assistant panel inside the Scenario Lab tab</w:t>
      </w:r>
    </w:p>
    <w:p w14:paraId="15E8B7B3" w14:textId="77777777" w:rsidR="00FA345A" w:rsidRDefault="00000000">
      <w:pPr>
        <w:pStyle w:val="ListBullet"/>
        <w:spacing w:before="40" w:after="40"/>
      </w:pPr>
      <w:r>
        <w:t>Type your scenario intent in plain English, e.g.: "Retire all Canadian reactors by 2050, cancel all proposed European projects, and set post-2040 new build to 20 GW/yr"</w:t>
      </w:r>
    </w:p>
    <w:p w14:paraId="1BDC0ADF" w14:textId="77777777" w:rsidR="00FA345A" w:rsidRDefault="00000000">
      <w:pPr>
        <w:pStyle w:val="ListBullet"/>
        <w:spacing w:before="40" w:after="40"/>
      </w:pPr>
      <w:r>
        <w:t>Claude generates the corresponding override entries and lever values automatically</w:t>
      </w:r>
    </w:p>
    <w:p w14:paraId="6399D35E" w14:textId="77777777" w:rsidR="00FA345A" w:rsidRDefault="00000000">
      <w:pPr>
        <w:pStyle w:val="ListBullet"/>
        <w:spacing w:before="40" w:after="40"/>
      </w:pPr>
      <w:r>
        <w:t>Review the suggested changes in the response, then click Accept to apply — the levers and What-If overrides update immediately across all tabs</w:t>
      </w:r>
    </w:p>
    <w:p w14:paraId="1F4EAC7F" w14:textId="77777777" w:rsidR="00FA345A" w:rsidRDefault="00000000">
      <w:pPr>
        <w:pStyle w:val="ListBullet"/>
        <w:spacing w:before="40" w:after="40"/>
      </w:pPr>
      <w:r>
        <w:t>You can then fine-tune any individual value manually after accepting</w:t>
      </w:r>
    </w:p>
    <w:p w14:paraId="283C3478" w14:textId="77777777" w:rsidR="00FA345A" w:rsidRDefault="00000000">
      <w:pPr>
        <w:pStyle w:val="ListBullet"/>
        <w:spacing w:before="40" w:after="40"/>
      </w:pPr>
      <w:r>
        <w:t>Best used for: reactor-level what-if overrides across many units, and exploring unfamiliar scenarios quickly — manual entry of individual reactor overrides for a large fleet can be time-consuming</w:t>
      </w:r>
    </w:p>
    <w:p w14:paraId="28B59924" w14:textId="77777777" w:rsidR="00FA345A" w:rsidRDefault="00000000">
      <w:pPr>
        <w:spacing w:before="160"/>
      </w:pPr>
      <w:r>
        <w:rPr>
          <w:b/>
          <w:color w:val="276FBF"/>
        </w:rPr>
        <w:t>Option 2: Manual Lever &amp; Override Controls</w:t>
      </w:r>
    </w:p>
    <w:p w14:paraId="59C0C0BC" w14:textId="77777777" w:rsidR="00FA345A" w:rsidRDefault="00000000">
      <w:pPr>
        <w:pStyle w:val="ListBullet"/>
        <w:spacing w:before="40" w:after="40"/>
      </w:pPr>
      <w:r>
        <w:lastRenderedPageBreak/>
        <w:t>Use the macro levers (extension policy, pipeline preset, delay adder, post-2040 rate) for scenario-level changes that affect the whole fleet</w:t>
      </w:r>
    </w:p>
    <w:p w14:paraId="52AED126" w14:textId="77777777" w:rsidR="00FA345A" w:rsidRDefault="00000000">
      <w:pPr>
        <w:pStyle w:val="ListBullet"/>
        <w:spacing w:before="40" w:after="40"/>
      </w:pPr>
      <w:r>
        <w:t>Use the What-If Builder panel to override individual reactor retirement years, capacity, or status — useful for specific known decisions (e.g., a single plant life extension approval)</w:t>
      </w:r>
    </w:p>
    <w:p w14:paraId="179A8B61" w14:textId="77777777" w:rsidR="00FA345A" w:rsidRDefault="00000000">
      <w:pPr>
        <w:pStyle w:val="ListBullet"/>
        <w:spacing w:before="40" w:after="40"/>
      </w:pPr>
      <w:r>
        <w:t>Add "synthetic builds" to insert hypothetical new reactors not in the database (by region, capacity per unit, units per year, start year, number of years)</w:t>
      </w:r>
    </w:p>
    <w:p w14:paraId="1EE1C349" w14:textId="77777777" w:rsidR="00FA345A" w:rsidRDefault="00000000">
      <w:pPr>
        <w:pStyle w:val="ListBullet"/>
        <w:spacing w:before="40" w:after="40"/>
      </w:pPr>
      <w:r>
        <w:t>Use "Clear all selections" to reset all What-If overrides back to the base scenario without affecting the macro levers</w:t>
      </w:r>
    </w:p>
    <w:p w14:paraId="560D8017" w14:textId="77777777" w:rsidR="00FA345A" w:rsidRDefault="00000000">
      <w:pPr>
        <w:pStyle w:val="ListBullet"/>
        <w:spacing w:before="40" w:after="40"/>
      </w:pPr>
      <w:r>
        <w:t>Click Apply Scenario to recompute — all other tabs update automatically</w:t>
      </w:r>
    </w:p>
    <w:p w14:paraId="5EF7D183" w14:textId="77777777" w:rsidR="00FA345A" w:rsidRDefault="00000000">
      <w:pPr>
        <w:spacing w:before="200" w:after="60"/>
      </w:pPr>
      <w:r>
        <w:rPr>
          <w:b/>
          <w:color w:val="1A375E"/>
          <w:sz w:val="24"/>
        </w:rPr>
        <w:t>Key questions it answers</w:t>
      </w:r>
    </w:p>
    <w:p w14:paraId="642D82A7" w14:textId="77777777" w:rsidR="00FA345A" w:rsidRDefault="00000000">
      <w:pPr>
        <w:pStyle w:val="ListBullet"/>
        <w:spacing w:before="40" w:after="40"/>
      </w:pPr>
      <w:r>
        <w:t>What if France extends all its reactors to 60 years?</w:t>
      </w:r>
    </w:p>
    <w:p w14:paraId="40FA285E" w14:textId="77777777" w:rsidR="00FA345A" w:rsidRDefault="00000000">
      <w:pPr>
        <w:pStyle w:val="ListBullet"/>
        <w:spacing w:before="40" w:after="40"/>
      </w:pPr>
      <w:r>
        <w:t>What if the proposed Chinese pipeline is canceled entirely?</w:t>
      </w:r>
    </w:p>
    <w:p w14:paraId="57EB86F9" w14:textId="77777777" w:rsidR="00FA345A" w:rsidRDefault="00000000">
      <w:pPr>
        <w:pStyle w:val="ListBullet"/>
        <w:spacing w:before="40" w:after="40"/>
      </w:pPr>
      <w:r>
        <w:t>How sensitive is the 2050 total to the post-2040 new build assumption?</w:t>
      </w:r>
    </w:p>
    <w:p w14:paraId="01A5DCB9" w14:textId="77777777" w:rsidR="00FA345A" w:rsidRDefault="00000000">
      <w:pPr>
        <w:pStyle w:val="ListBullet"/>
        <w:spacing w:before="40" w:after="40"/>
      </w:pPr>
      <w:r>
        <w:t>What capacity trajectory results from a user-defined combination of policies?</w:t>
      </w:r>
    </w:p>
    <w:p w14:paraId="531145A6" w14:textId="77777777" w:rsidR="00FA345A" w:rsidRDefault="00FA345A"/>
    <w:p w14:paraId="58A9E418" w14:textId="77777777" w:rsidR="00FA345A" w:rsidRDefault="00000000">
      <w:pPr>
        <w:spacing w:before="280" w:after="80"/>
      </w:pPr>
      <w:r>
        <w:rPr>
          <w:b/>
          <w:color w:val="1A375E"/>
          <w:sz w:val="30"/>
        </w:rPr>
        <w:t>10.8  Data Export &amp; Scenario Management</w:t>
      </w:r>
    </w:p>
    <w:p w14:paraId="08A05C84" w14:textId="77777777" w:rsidR="00FA345A" w:rsidRDefault="00000000">
      <w:pPr>
        <w:spacing w:before="80" w:after="80"/>
      </w:pPr>
      <w:r>
        <w:t>The dashboard provides several ways to save, share, and export data — covering both model outputs and lever configurations.</w:t>
      </w:r>
    </w:p>
    <w:tbl>
      <w:tblPr>
        <w:tblStyle w:val="TableGrid"/>
        <w:tblW w:w="0" w:type="auto"/>
        <w:tblLook w:val="04A0" w:firstRow="1" w:lastRow="0" w:firstColumn="1" w:lastColumn="0" w:noHBand="0" w:noVBand="1"/>
      </w:tblPr>
      <w:tblGrid>
        <w:gridCol w:w="2160"/>
        <w:gridCol w:w="1728"/>
        <w:gridCol w:w="5472"/>
      </w:tblGrid>
      <w:tr w:rsidR="00FA345A" w14:paraId="3F07F18F" w14:textId="77777777">
        <w:tc>
          <w:tcPr>
            <w:tcW w:w="2160" w:type="dxa"/>
            <w:shd w:val="clear" w:color="auto" w:fill="1A375E"/>
          </w:tcPr>
          <w:p w14:paraId="0B09E7BB" w14:textId="77777777" w:rsidR="00FA345A" w:rsidRDefault="00000000">
            <w:pPr>
              <w:spacing w:before="40" w:after="40"/>
            </w:pPr>
            <w:r>
              <w:rPr>
                <w:b/>
                <w:color w:val="FFFFFF"/>
                <w:sz w:val="18"/>
              </w:rPr>
              <w:t>Feature</w:t>
            </w:r>
          </w:p>
        </w:tc>
        <w:tc>
          <w:tcPr>
            <w:tcW w:w="1728" w:type="dxa"/>
            <w:shd w:val="clear" w:color="auto" w:fill="1A375E"/>
          </w:tcPr>
          <w:p w14:paraId="160BB81E" w14:textId="77777777" w:rsidR="00FA345A" w:rsidRDefault="00000000">
            <w:pPr>
              <w:spacing w:before="40" w:after="40"/>
            </w:pPr>
            <w:r>
              <w:rPr>
                <w:b/>
                <w:color w:val="FFFFFF"/>
                <w:sz w:val="18"/>
              </w:rPr>
              <w:t>Where to find it</w:t>
            </w:r>
          </w:p>
        </w:tc>
        <w:tc>
          <w:tcPr>
            <w:tcW w:w="5472" w:type="dxa"/>
            <w:shd w:val="clear" w:color="auto" w:fill="1A375E"/>
          </w:tcPr>
          <w:p w14:paraId="5AA31FCD" w14:textId="77777777" w:rsidR="00FA345A" w:rsidRDefault="00000000">
            <w:pPr>
              <w:spacing w:before="40" w:after="40"/>
            </w:pPr>
            <w:r>
              <w:rPr>
                <w:b/>
                <w:color w:val="FFFFFF"/>
                <w:sz w:val="18"/>
              </w:rPr>
              <w:t>What it contains</w:t>
            </w:r>
          </w:p>
        </w:tc>
      </w:tr>
      <w:tr w:rsidR="00FA345A" w14:paraId="5169CF1F" w14:textId="77777777">
        <w:tc>
          <w:tcPr>
            <w:tcW w:w="2160" w:type="dxa"/>
            <w:shd w:val="clear" w:color="auto" w:fill="F2F7FD"/>
          </w:tcPr>
          <w:p w14:paraId="2ECADEFB" w14:textId="77777777" w:rsidR="00FA345A" w:rsidRDefault="00000000">
            <w:pPr>
              <w:spacing w:before="40" w:after="40"/>
            </w:pPr>
            <w:r>
              <w:rPr>
                <w:sz w:val="18"/>
              </w:rPr>
              <w:t>Download Scenario + Settings</w:t>
            </w:r>
          </w:p>
        </w:tc>
        <w:tc>
          <w:tcPr>
            <w:tcW w:w="1728" w:type="dxa"/>
            <w:shd w:val="clear" w:color="auto" w:fill="F2F7FD"/>
          </w:tcPr>
          <w:p w14:paraId="37D90978" w14:textId="77777777" w:rsidR="00FA345A" w:rsidRDefault="00000000">
            <w:pPr>
              <w:spacing w:before="40" w:after="40"/>
            </w:pPr>
            <w:r>
              <w:rPr>
                <w:sz w:val="18"/>
              </w:rPr>
              <w:t>Sidebar button (💾)</w:t>
            </w:r>
          </w:p>
        </w:tc>
        <w:tc>
          <w:tcPr>
            <w:tcW w:w="5472" w:type="dxa"/>
            <w:shd w:val="clear" w:color="auto" w:fill="F2F7FD"/>
          </w:tcPr>
          <w:p w14:paraId="1C4D029C" w14:textId="77777777" w:rsidR="00FA345A" w:rsidRDefault="00000000">
            <w:pPr>
              <w:spacing w:before="40" w:after="40"/>
            </w:pPr>
            <w:r>
              <w:rPr>
                <w:sz w:val="18"/>
              </w:rPr>
              <w:t>Exports a 4-sheet Excel file: (1) lever settings for the current scenario, (2) global capacity projection year by year, (3) regional breakdown, (4) model description. Useful for sharing a full scenario package or archiving a configuration.</w:t>
            </w:r>
          </w:p>
        </w:tc>
      </w:tr>
      <w:tr w:rsidR="00FA345A" w14:paraId="6791D584" w14:textId="77777777">
        <w:tc>
          <w:tcPr>
            <w:tcW w:w="2160" w:type="dxa"/>
            <w:shd w:val="clear" w:color="auto" w:fill="FFFFFF"/>
          </w:tcPr>
          <w:p w14:paraId="633BB7CB" w14:textId="77777777" w:rsidR="00FA345A" w:rsidRDefault="00000000">
            <w:pPr>
              <w:spacing w:before="40" w:after="40"/>
            </w:pPr>
            <w:r>
              <w:rPr>
                <w:sz w:val="18"/>
              </w:rPr>
              <w:t>Full Reactor List</w:t>
            </w:r>
          </w:p>
        </w:tc>
        <w:tc>
          <w:tcPr>
            <w:tcW w:w="1728" w:type="dxa"/>
            <w:shd w:val="clear" w:color="auto" w:fill="FFFFFF"/>
          </w:tcPr>
          <w:p w14:paraId="0506D74B" w14:textId="77777777" w:rsidR="00FA345A" w:rsidRDefault="00000000">
            <w:pPr>
              <w:spacing w:before="40" w:after="40"/>
            </w:pPr>
            <w:r>
              <w:rPr>
                <w:sz w:val="18"/>
              </w:rPr>
              <w:t>Header button (⬇)</w:t>
            </w:r>
          </w:p>
        </w:tc>
        <w:tc>
          <w:tcPr>
            <w:tcW w:w="5472" w:type="dxa"/>
            <w:shd w:val="clear" w:color="auto" w:fill="FFFFFF"/>
          </w:tcPr>
          <w:p w14:paraId="727E04FA" w14:textId="77777777" w:rsidR="00FA345A" w:rsidRDefault="00000000">
            <w:pPr>
              <w:spacing w:before="40" w:after="40"/>
            </w:pPr>
            <w:r>
              <w:rPr>
                <w:sz w:val="18"/>
              </w:rPr>
              <w:t>Downloads a complete Excel export of every reactor in the database — operational, pipeline, and long-term shutdown — with all metadata fields including retirement dates, tier, capacity, and expected online year.</w:t>
            </w:r>
          </w:p>
        </w:tc>
      </w:tr>
      <w:tr w:rsidR="00FA345A" w14:paraId="697325B1" w14:textId="77777777">
        <w:tc>
          <w:tcPr>
            <w:tcW w:w="2160" w:type="dxa"/>
            <w:shd w:val="clear" w:color="auto" w:fill="F2F7FD"/>
          </w:tcPr>
          <w:p w14:paraId="60B91BF7" w14:textId="77777777" w:rsidR="00FA345A" w:rsidRDefault="00000000">
            <w:pPr>
              <w:spacing w:before="40" w:after="40"/>
            </w:pPr>
            <w:r>
              <w:rPr>
                <w:sz w:val="18"/>
              </w:rPr>
              <w:t>Per-chart data downloads</w:t>
            </w:r>
          </w:p>
        </w:tc>
        <w:tc>
          <w:tcPr>
            <w:tcW w:w="1728" w:type="dxa"/>
            <w:shd w:val="clear" w:color="auto" w:fill="F2F7FD"/>
          </w:tcPr>
          <w:p w14:paraId="3872CBF7" w14:textId="77777777" w:rsidR="00FA345A" w:rsidRDefault="00000000">
            <w:pPr>
              <w:spacing w:before="40" w:after="40"/>
            </w:pPr>
            <w:r>
              <w:rPr>
                <w:sz w:val="18"/>
              </w:rPr>
              <w:t>Each chart tab</w:t>
            </w:r>
          </w:p>
        </w:tc>
        <w:tc>
          <w:tcPr>
            <w:tcW w:w="5472" w:type="dxa"/>
            <w:shd w:val="clear" w:color="auto" w:fill="F2F7FD"/>
          </w:tcPr>
          <w:p w14:paraId="27079886" w14:textId="77777777" w:rsidR="00FA345A" w:rsidRDefault="00000000">
            <w:pPr>
              <w:spacing w:before="40" w:after="40"/>
            </w:pPr>
            <w:r>
              <w:rPr>
                <w:sz w:val="18"/>
              </w:rPr>
              <w:t>Every chart includes a ⬇ Data button that downloads the underlying data table as CSV or Excel. Use this to extract the exact numbers behind any chart for offline analysis.</w:t>
            </w:r>
          </w:p>
        </w:tc>
      </w:tr>
      <w:tr w:rsidR="00FA345A" w14:paraId="4E0D0EAF" w14:textId="77777777">
        <w:tc>
          <w:tcPr>
            <w:tcW w:w="2160" w:type="dxa"/>
            <w:shd w:val="clear" w:color="auto" w:fill="FFFFFF"/>
          </w:tcPr>
          <w:p w14:paraId="0179EF6A" w14:textId="77777777" w:rsidR="00FA345A" w:rsidRDefault="00000000">
            <w:pPr>
              <w:spacing w:before="40" w:after="40"/>
            </w:pPr>
            <w:r>
              <w:rPr>
                <w:sz w:val="18"/>
              </w:rPr>
              <w:t>Save / load custom scenario</w:t>
            </w:r>
          </w:p>
        </w:tc>
        <w:tc>
          <w:tcPr>
            <w:tcW w:w="1728" w:type="dxa"/>
            <w:shd w:val="clear" w:color="auto" w:fill="FFFFFF"/>
          </w:tcPr>
          <w:p w14:paraId="3DE26F81" w14:textId="77777777" w:rsidR="00FA345A" w:rsidRDefault="00000000">
            <w:pPr>
              <w:spacing w:before="40" w:after="40"/>
            </w:pPr>
            <w:r>
              <w:rPr>
                <w:sz w:val="18"/>
              </w:rPr>
              <w:t>Scenario Lab</w:t>
            </w:r>
          </w:p>
        </w:tc>
        <w:tc>
          <w:tcPr>
            <w:tcW w:w="5472" w:type="dxa"/>
            <w:shd w:val="clear" w:color="auto" w:fill="FFFFFF"/>
          </w:tcPr>
          <w:p w14:paraId="32DC71F8" w14:textId="77777777" w:rsidR="00FA345A" w:rsidRDefault="00000000">
            <w:pPr>
              <w:spacing w:before="40" w:after="40"/>
            </w:pPr>
            <w:r>
              <w:rPr>
                <w:sz w:val="18"/>
              </w:rPr>
              <w:t>Custom scenarios built in the Scenario Lab can be saved under a user-defined name and reloaded in a later session. Saved scenarios persist within the browser session; use the Download Scenario + Settings export to preserve a configuration across sessions.</w:t>
            </w:r>
          </w:p>
        </w:tc>
      </w:tr>
    </w:tbl>
    <w:p w14:paraId="65F93660" w14:textId="77777777" w:rsidR="00FA345A" w:rsidRDefault="00FA345A"/>
    <w:p w14:paraId="24A7E2CF" w14:textId="77777777" w:rsidR="00FA345A" w:rsidRDefault="00000000">
      <w:pPr>
        <w:spacing w:after="0"/>
      </w:pPr>
      <w:r>
        <w:br w:type="page"/>
      </w:r>
    </w:p>
    <w:p w14:paraId="57B4E22F" w14:textId="77777777" w:rsidR="00FA345A" w:rsidRDefault="00000000">
      <w:pPr>
        <w:pBdr>
          <w:bottom w:val="single" w:sz="6" w:space="4" w:color="2E75B6"/>
        </w:pBdr>
        <w:spacing w:before="360"/>
      </w:pPr>
      <w:r>
        <w:rPr>
          <w:b/>
          <w:color w:val="1A375E"/>
          <w:sz w:val="40"/>
        </w:rPr>
        <w:lastRenderedPageBreak/>
        <w:t>Appendix A: Glossary</w:t>
      </w:r>
    </w:p>
    <w:tbl>
      <w:tblPr>
        <w:tblStyle w:val="TableGrid"/>
        <w:tblW w:w="0" w:type="auto"/>
        <w:tblLook w:val="04A0" w:firstRow="1" w:lastRow="0" w:firstColumn="1" w:lastColumn="0" w:noHBand="0" w:noVBand="1"/>
      </w:tblPr>
      <w:tblGrid>
        <w:gridCol w:w="2880"/>
        <w:gridCol w:w="6480"/>
      </w:tblGrid>
      <w:tr w:rsidR="00FA345A" w14:paraId="3C985AF4" w14:textId="77777777">
        <w:tc>
          <w:tcPr>
            <w:tcW w:w="2880" w:type="dxa"/>
            <w:shd w:val="clear" w:color="auto" w:fill="1A375E"/>
          </w:tcPr>
          <w:p w14:paraId="51560DC0" w14:textId="77777777" w:rsidR="00FA345A" w:rsidRDefault="00000000">
            <w:pPr>
              <w:spacing w:before="40" w:after="40"/>
            </w:pPr>
            <w:r>
              <w:rPr>
                <w:b/>
                <w:color w:val="FFFFFF"/>
                <w:sz w:val="18"/>
              </w:rPr>
              <w:t>Term</w:t>
            </w:r>
          </w:p>
        </w:tc>
        <w:tc>
          <w:tcPr>
            <w:tcW w:w="6480" w:type="dxa"/>
            <w:shd w:val="clear" w:color="auto" w:fill="1A375E"/>
          </w:tcPr>
          <w:p w14:paraId="6D5A4F12" w14:textId="77777777" w:rsidR="00FA345A" w:rsidRDefault="00000000">
            <w:pPr>
              <w:spacing w:before="40" w:after="40"/>
            </w:pPr>
            <w:r>
              <w:rPr>
                <w:b/>
                <w:color w:val="FFFFFF"/>
                <w:sz w:val="18"/>
              </w:rPr>
              <w:t>Definition</w:t>
            </w:r>
          </w:p>
        </w:tc>
      </w:tr>
      <w:tr w:rsidR="00FA345A" w14:paraId="6B96F500" w14:textId="77777777">
        <w:tc>
          <w:tcPr>
            <w:tcW w:w="2880" w:type="dxa"/>
            <w:shd w:val="clear" w:color="auto" w:fill="F2F7FD"/>
          </w:tcPr>
          <w:p w14:paraId="3BE60E65" w14:textId="77777777" w:rsidR="00FA345A" w:rsidRDefault="00000000">
            <w:pPr>
              <w:spacing w:before="40" w:after="40"/>
            </w:pPr>
            <w:r>
              <w:rPr>
                <w:sz w:val="18"/>
              </w:rPr>
              <w:t>AcceleratedRetirement</w:t>
            </w:r>
          </w:p>
        </w:tc>
        <w:tc>
          <w:tcPr>
            <w:tcW w:w="6480" w:type="dxa"/>
            <w:shd w:val="clear" w:color="auto" w:fill="F2F7FD"/>
          </w:tcPr>
          <w:p w14:paraId="03C304AC" w14:textId="77777777" w:rsidR="00FA345A" w:rsidRDefault="00000000">
            <w:pPr>
              <w:spacing w:before="40" w:after="40"/>
            </w:pPr>
            <w:r>
              <w:rPr>
                <w:sz w:val="18"/>
              </w:rPr>
              <w:t>Extension policy where no Tier 2 life extensions are granted; reactors retire at their baseline license expiry or declared date.</w:t>
            </w:r>
          </w:p>
        </w:tc>
      </w:tr>
      <w:tr w:rsidR="00FA345A" w14:paraId="39CF8477" w14:textId="77777777">
        <w:tc>
          <w:tcPr>
            <w:tcW w:w="2880" w:type="dxa"/>
            <w:shd w:val="clear" w:color="auto" w:fill="FFFFFF"/>
          </w:tcPr>
          <w:p w14:paraId="1941FBE3" w14:textId="77777777" w:rsidR="00FA345A" w:rsidRDefault="00000000">
            <w:pPr>
              <w:spacing w:before="40" w:after="40"/>
            </w:pPr>
            <w:r>
              <w:rPr>
                <w:sz w:val="18"/>
              </w:rPr>
              <w:t>Baseline Year</w:t>
            </w:r>
          </w:p>
        </w:tc>
        <w:tc>
          <w:tcPr>
            <w:tcW w:w="6480" w:type="dxa"/>
            <w:shd w:val="clear" w:color="auto" w:fill="FFFFFF"/>
          </w:tcPr>
          <w:p w14:paraId="1368E2BF" w14:textId="77777777" w:rsidR="00FA345A" w:rsidRDefault="00000000">
            <w:pPr>
              <w:spacing w:before="40" w:after="40"/>
            </w:pPr>
            <w:r>
              <w:rPr>
                <w:sz w:val="18"/>
              </w:rPr>
              <w:t>2024 — the last full year for which IAEA PRIS provides a comprehensive global fleet snapshot.</w:t>
            </w:r>
          </w:p>
        </w:tc>
      </w:tr>
      <w:tr w:rsidR="00FA345A" w14:paraId="2954B3CA" w14:textId="77777777">
        <w:tc>
          <w:tcPr>
            <w:tcW w:w="2880" w:type="dxa"/>
            <w:shd w:val="clear" w:color="auto" w:fill="F2F7FD"/>
          </w:tcPr>
          <w:p w14:paraId="6919A338" w14:textId="77777777" w:rsidR="00FA345A" w:rsidRDefault="00000000">
            <w:pPr>
              <w:spacing w:before="40" w:after="40"/>
            </w:pPr>
            <w:r>
              <w:rPr>
                <w:sz w:val="18"/>
              </w:rPr>
              <w:t>Bottom-up phase</w:t>
            </w:r>
          </w:p>
        </w:tc>
        <w:tc>
          <w:tcPr>
            <w:tcW w:w="6480" w:type="dxa"/>
            <w:shd w:val="clear" w:color="auto" w:fill="F2F7FD"/>
          </w:tcPr>
          <w:p w14:paraId="17977AF4" w14:textId="77777777" w:rsidR="00FA345A" w:rsidRDefault="00000000">
            <w:pPr>
              <w:spacing w:before="40" w:after="40"/>
            </w:pPr>
            <w:r>
              <w:rPr>
                <w:sz w:val="18"/>
              </w:rPr>
              <w:t>The projection methodology used from 2024 to 2040, tracking every reactor unit individually.</w:t>
            </w:r>
          </w:p>
        </w:tc>
      </w:tr>
      <w:tr w:rsidR="00FA345A" w14:paraId="76E1AA7B" w14:textId="77777777">
        <w:tc>
          <w:tcPr>
            <w:tcW w:w="2880" w:type="dxa"/>
            <w:shd w:val="clear" w:color="auto" w:fill="FFFFFF"/>
          </w:tcPr>
          <w:p w14:paraId="31821B5C" w14:textId="77777777" w:rsidR="00FA345A" w:rsidRDefault="00000000">
            <w:pPr>
              <w:spacing w:before="40" w:after="40"/>
            </w:pPr>
            <w:r>
              <w:rPr>
                <w:sz w:val="18"/>
              </w:rPr>
              <w:t>Construction delay adder</w:t>
            </w:r>
          </w:p>
        </w:tc>
        <w:tc>
          <w:tcPr>
            <w:tcW w:w="6480" w:type="dxa"/>
            <w:shd w:val="clear" w:color="auto" w:fill="FFFFFF"/>
          </w:tcPr>
          <w:p w14:paraId="67605D21" w14:textId="77777777" w:rsidR="00FA345A" w:rsidRDefault="00000000">
            <w:pPr>
              <w:spacing w:before="40" w:after="40"/>
            </w:pPr>
            <w:r>
              <w:rPr>
                <w:sz w:val="18"/>
              </w:rPr>
              <w:t>A scenario parameter (in years) added to all pipeline reactor expected online years to reflect systemic delays.</w:t>
            </w:r>
          </w:p>
        </w:tc>
      </w:tr>
      <w:tr w:rsidR="00FA345A" w14:paraId="38C02E36" w14:textId="77777777">
        <w:tc>
          <w:tcPr>
            <w:tcW w:w="2880" w:type="dxa"/>
            <w:shd w:val="clear" w:color="auto" w:fill="F2F7FD"/>
          </w:tcPr>
          <w:p w14:paraId="4A561550" w14:textId="77777777" w:rsidR="00FA345A" w:rsidRDefault="00000000">
            <w:pPr>
              <w:spacing w:before="40" w:after="40"/>
            </w:pPr>
            <w:r>
              <w:rPr>
                <w:sz w:val="18"/>
              </w:rPr>
              <w:t>CurrentPolicy</w:t>
            </w:r>
          </w:p>
        </w:tc>
        <w:tc>
          <w:tcPr>
            <w:tcW w:w="6480" w:type="dxa"/>
            <w:shd w:val="clear" w:color="auto" w:fill="F2F7FD"/>
          </w:tcPr>
          <w:p w14:paraId="637C75CD" w14:textId="77777777" w:rsidR="00FA345A" w:rsidRDefault="00000000">
            <w:pPr>
              <w:spacing w:before="40" w:after="40"/>
            </w:pPr>
            <w:r>
              <w:rPr>
                <w:sz w:val="18"/>
              </w:rPr>
              <w:t>Extension policy where ~50% of eligible reactors receive one standard extension increment, reflecting historical approval rates.</w:t>
            </w:r>
          </w:p>
        </w:tc>
      </w:tr>
      <w:tr w:rsidR="00FA345A" w14:paraId="4BF894F5" w14:textId="77777777">
        <w:tc>
          <w:tcPr>
            <w:tcW w:w="2880" w:type="dxa"/>
            <w:shd w:val="clear" w:color="auto" w:fill="FFFFFF"/>
          </w:tcPr>
          <w:p w14:paraId="3FB9A74F" w14:textId="77777777" w:rsidR="00FA345A" w:rsidRDefault="00000000">
            <w:pPr>
              <w:spacing w:before="40" w:after="40"/>
            </w:pPr>
            <w:r>
              <w:rPr>
                <w:sz w:val="18"/>
              </w:rPr>
              <w:t>ExtendedOperations</w:t>
            </w:r>
          </w:p>
        </w:tc>
        <w:tc>
          <w:tcPr>
            <w:tcW w:w="6480" w:type="dxa"/>
            <w:shd w:val="clear" w:color="auto" w:fill="FFFFFF"/>
          </w:tcPr>
          <w:p w14:paraId="5054456F" w14:textId="77777777" w:rsidR="00FA345A" w:rsidRDefault="00000000">
            <w:pPr>
              <w:spacing w:before="40" w:after="40"/>
            </w:pPr>
            <w:r>
              <w:rPr>
                <w:sz w:val="18"/>
              </w:rPr>
              <w:t>Extension policy where all eligible reactors receive the maximum life extension permitted under current law.</w:t>
            </w:r>
          </w:p>
        </w:tc>
      </w:tr>
      <w:tr w:rsidR="00FA345A" w14:paraId="28EF6283" w14:textId="77777777">
        <w:tc>
          <w:tcPr>
            <w:tcW w:w="2880" w:type="dxa"/>
            <w:shd w:val="clear" w:color="auto" w:fill="F2F7FD"/>
          </w:tcPr>
          <w:p w14:paraId="1A77487B" w14:textId="77777777" w:rsidR="00FA345A" w:rsidRDefault="00000000">
            <w:pPr>
              <w:spacing w:before="40" w:after="40"/>
            </w:pPr>
            <w:r>
              <w:rPr>
                <w:sz w:val="18"/>
              </w:rPr>
              <w:t>Expected online year</w:t>
            </w:r>
          </w:p>
        </w:tc>
        <w:tc>
          <w:tcPr>
            <w:tcW w:w="6480" w:type="dxa"/>
            <w:shd w:val="clear" w:color="auto" w:fill="F2F7FD"/>
          </w:tcPr>
          <w:p w14:paraId="6D24697A" w14:textId="77777777" w:rsidR="00FA345A" w:rsidRDefault="00000000">
            <w:pPr>
              <w:spacing w:before="40" w:after="40"/>
            </w:pPr>
            <w:r>
              <w:rPr>
                <w:sz w:val="18"/>
              </w:rPr>
              <w:t>The projected year in which a pipeline reactor is expected to begin commercial operation, sourced from PRIS/WNA and adjusted by the construction delay adder.</w:t>
            </w:r>
          </w:p>
        </w:tc>
      </w:tr>
      <w:tr w:rsidR="00FA345A" w14:paraId="590B0169" w14:textId="77777777">
        <w:tc>
          <w:tcPr>
            <w:tcW w:w="2880" w:type="dxa"/>
            <w:shd w:val="clear" w:color="auto" w:fill="FFFFFF"/>
          </w:tcPr>
          <w:p w14:paraId="02A2F25E" w14:textId="77777777" w:rsidR="00FA345A" w:rsidRDefault="00000000">
            <w:pPr>
              <w:spacing w:before="40" w:after="40"/>
            </w:pPr>
            <w:r>
              <w:rPr>
                <w:sz w:val="18"/>
              </w:rPr>
              <w:t>GW (gigawatt)</w:t>
            </w:r>
          </w:p>
        </w:tc>
        <w:tc>
          <w:tcPr>
            <w:tcW w:w="6480" w:type="dxa"/>
            <w:shd w:val="clear" w:color="auto" w:fill="FFFFFF"/>
          </w:tcPr>
          <w:p w14:paraId="4038AB28" w14:textId="77777777" w:rsidR="00FA345A" w:rsidRDefault="00000000">
            <w:pPr>
              <w:spacing w:before="40" w:after="40"/>
            </w:pPr>
            <w:r>
              <w:rPr>
                <w:sz w:val="18"/>
              </w:rPr>
              <w:t>1,000 megawatts of electrical generating capacity (net). Global nuclear fleet ~380 GW as of end-2024.</w:t>
            </w:r>
          </w:p>
        </w:tc>
      </w:tr>
      <w:tr w:rsidR="00FA345A" w14:paraId="7456400F" w14:textId="77777777">
        <w:tc>
          <w:tcPr>
            <w:tcW w:w="2880" w:type="dxa"/>
            <w:shd w:val="clear" w:color="auto" w:fill="F2F7FD"/>
          </w:tcPr>
          <w:p w14:paraId="16420EDC" w14:textId="77777777" w:rsidR="00FA345A" w:rsidRDefault="00000000">
            <w:pPr>
              <w:spacing w:before="40" w:after="40"/>
            </w:pPr>
            <w:r>
              <w:rPr>
                <w:sz w:val="18"/>
              </w:rPr>
              <w:t>IAEA PRIS</w:t>
            </w:r>
          </w:p>
        </w:tc>
        <w:tc>
          <w:tcPr>
            <w:tcW w:w="6480" w:type="dxa"/>
            <w:shd w:val="clear" w:color="auto" w:fill="F2F7FD"/>
          </w:tcPr>
          <w:p w14:paraId="7F40CF1B" w14:textId="77777777" w:rsidR="00FA345A" w:rsidRDefault="00000000">
            <w:pPr>
              <w:spacing w:before="40" w:after="40"/>
            </w:pPr>
            <w:r>
              <w:rPr>
                <w:sz w:val="18"/>
              </w:rPr>
              <w:t>Power Reactor Information System — the IAEA's authoritative global reactor database, updated in real time and annually consolidated.</w:t>
            </w:r>
          </w:p>
        </w:tc>
      </w:tr>
      <w:tr w:rsidR="00FA345A" w14:paraId="2D057B43" w14:textId="77777777">
        <w:tc>
          <w:tcPr>
            <w:tcW w:w="2880" w:type="dxa"/>
            <w:shd w:val="clear" w:color="auto" w:fill="FFFFFF"/>
          </w:tcPr>
          <w:p w14:paraId="2BE46607" w14:textId="77777777" w:rsidR="00FA345A" w:rsidRDefault="00000000">
            <w:pPr>
              <w:spacing w:before="40" w:after="40"/>
            </w:pPr>
            <w:r>
              <w:rPr>
                <w:sz w:val="18"/>
              </w:rPr>
              <w:t>IAEA RDS-1</w:t>
            </w:r>
          </w:p>
        </w:tc>
        <w:tc>
          <w:tcPr>
            <w:tcW w:w="6480" w:type="dxa"/>
            <w:shd w:val="clear" w:color="auto" w:fill="FFFFFF"/>
          </w:tcPr>
          <w:p w14:paraId="742AE7A4" w14:textId="77777777" w:rsidR="00FA345A" w:rsidRDefault="00000000">
            <w:pPr>
              <w:spacing w:before="40" w:after="40"/>
            </w:pPr>
            <w:r>
              <w:rPr>
                <w:sz w:val="18"/>
              </w:rPr>
              <w:t>Reference Data Series No. 1: Nuclear Power Reactors in the World — the annual IAEA benchmark publication providing Low/High scenario totals.</w:t>
            </w:r>
          </w:p>
        </w:tc>
      </w:tr>
      <w:tr w:rsidR="00FA345A" w14:paraId="462A3BFA" w14:textId="77777777">
        <w:tc>
          <w:tcPr>
            <w:tcW w:w="2880" w:type="dxa"/>
            <w:shd w:val="clear" w:color="auto" w:fill="F2F7FD"/>
          </w:tcPr>
          <w:p w14:paraId="46567668" w14:textId="77777777" w:rsidR="00FA345A" w:rsidRDefault="00000000">
            <w:pPr>
              <w:spacing w:before="40" w:after="40"/>
            </w:pPr>
            <w:r>
              <w:rPr>
                <w:sz w:val="18"/>
              </w:rPr>
              <w:t>IEA STEPS</w:t>
            </w:r>
          </w:p>
        </w:tc>
        <w:tc>
          <w:tcPr>
            <w:tcW w:w="6480" w:type="dxa"/>
            <w:shd w:val="clear" w:color="auto" w:fill="F2F7FD"/>
          </w:tcPr>
          <w:p w14:paraId="7E094F0A" w14:textId="77777777" w:rsidR="00FA345A" w:rsidRDefault="00000000">
            <w:pPr>
              <w:spacing w:before="40" w:after="40"/>
            </w:pPr>
            <w:r>
              <w:rPr>
                <w:sz w:val="18"/>
              </w:rPr>
              <w:t>Stated Policies Scenario — IEA's central scenario conditioned on enacted and announced (but not aspirational) government policies.</w:t>
            </w:r>
          </w:p>
        </w:tc>
      </w:tr>
      <w:tr w:rsidR="00FA345A" w14:paraId="1BBE0C69" w14:textId="77777777">
        <w:tc>
          <w:tcPr>
            <w:tcW w:w="2880" w:type="dxa"/>
            <w:shd w:val="clear" w:color="auto" w:fill="FFFFFF"/>
          </w:tcPr>
          <w:p w14:paraId="5D4BBDB6" w14:textId="77777777" w:rsidR="00FA345A" w:rsidRDefault="00000000">
            <w:pPr>
              <w:spacing w:before="40" w:after="40"/>
            </w:pPr>
            <w:r>
              <w:rPr>
                <w:sz w:val="18"/>
              </w:rPr>
              <w:t>IEA APS</w:t>
            </w:r>
          </w:p>
        </w:tc>
        <w:tc>
          <w:tcPr>
            <w:tcW w:w="6480" w:type="dxa"/>
            <w:shd w:val="clear" w:color="auto" w:fill="FFFFFF"/>
          </w:tcPr>
          <w:p w14:paraId="3DB9CB6E" w14:textId="77777777" w:rsidR="00FA345A" w:rsidRDefault="00000000">
            <w:pPr>
              <w:spacing w:before="40" w:after="40"/>
            </w:pPr>
            <w:r>
              <w:rPr>
                <w:sz w:val="18"/>
              </w:rPr>
              <w:t>Announced Pledges Scenario — IEA scenario conditioned on all national net-zero/energy pledges being met in full.</w:t>
            </w:r>
          </w:p>
        </w:tc>
      </w:tr>
      <w:tr w:rsidR="00FA345A" w14:paraId="30B7B4E5" w14:textId="77777777">
        <w:tc>
          <w:tcPr>
            <w:tcW w:w="2880" w:type="dxa"/>
            <w:shd w:val="clear" w:color="auto" w:fill="F2F7FD"/>
          </w:tcPr>
          <w:p w14:paraId="64EEDCA1" w14:textId="77777777" w:rsidR="00FA345A" w:rsidRDefault="00000000">
            <w:pPr>
              <w:spacing w:before="40" w:after="40"/>
            </w:pPr>
            <w:r>
              <w:rPr>
                <w:sz w:val="18"/>
              </w:rPr>
              <w:t>is_smr</w:t>
            </w:r>
          </w:p>
        </w:tc>
        <w:tc>
          <w:tcPr>
            <w:tcW w:w="6480" w:type="dxa"/>
            <w:shd w:val="clear" w:color="auto" w:fill="F2F7FD"/>
          </w:tcPr>
          <w:p w14:paraId="3A92E714" w14:textId="77777777" w:rsidR="00FA345A" w:rsidRDefault="00000000">
            <w:pPr>
              <w:spacing w:before="40" w:after="40"/>
            </w:pPr>
            <w:r>
              <w:rPr>
                <w:sz w:val="18"/>
              </w:rPr>
              <w:t>Database flag (Boolean) identifying reactors with net capacity ≤300 MW as Small Modular Reactors.</w:t>
            </w:r>
          </w:p>
        </w:tc>
      </w:tr>
      <w:tr w:rsidR="00FA345A" w14:paraId="23B68EF8" w14:textId="77777777">
        <w:tc>
          <w:tcPr>
            <w:tcW w:w="2880" w:type="dxa"/>
            <w:shd w:val="clear" w:color="auto" w:fill="FFFFFF"/>
          </w:tcPr>
          <w:p w14:paraId="12A38BBD" w14:textId="77777777" w:rsidR="00FA345A" w:rsidRDefault="00000000">
            <w:pPr>
              <w:spacing w:before="40" w:after="40"/>
            </w:pPr>
            <w:r>
              <w:rPr>
                <w:sz w:val="18"/>
              </w:rPr>
              <w:t>Pipeline probability</w:t>
            </w:r>
          </w:p>
        </w:tc>
        <w:tc>
          <w:tcPr>
            <w:tcW w:w="6480" w:type="dxa"/>
            <w:shd w:val="clear" w:color="auto" w:fill="FFFFFF"/>
          </w:tcPr>
          <w:p w14:paraId="27347D45" w14:textId="77777777" w:rsidR="00FA345A" w:rsidRDefault="00000000">
            <w:pPr>
              <w:spacing w:before="40" w:after="40"/>
            </w:pPr>
            <w:r>
              <w:rPr>
                <w:sz w:val="18"/>
              </w:rPr>
              <w:t>A per-reactor score (0–1) reflecting project-specific confidence of completion. Used in custom scenarios; preset scenarios use binary 0/1 realization.</w:t>
            </w:r>
          </w:p>
        </w:tc>
      </w:tr>
      <w:tr w:rsidR="00FA345A" w14:paraId="09ADBF88" w14:textId="77777777">
        <w:tc>
          <w:tcPr>
            <w:tcW w:w="2880" w:type="dxa"/>
            <w:shd w:val="clear" w:color="auto" w:fill="F2F7FD"/>
          </w:tcPr>
          <w:p w14:paraId="2D977DD6" w14:textId="77777777" w:rsidR="00FA345A" w:rsidRDefault="00000000">
            <w:pPr>
              <w:spacing w:before="40" w:after="40"/>
            </w:pPr>
            <w:r>
              <w:rPr>
                <w:sz w:val="18"/>
              </w:rPr>
              <w:t>Planned</w:t>
            </w:r>
          </w:p>
        </w:tc>
        <w:tc>
          <w:tcPr>
            <w:tcW w:w="6480" w:type="dxa"/>
            <w:shd w:val="clear" w:color="auto" w:fill="F2F7FD"/>
          </w:tcPr>
          <w:p w14:paraId="27C347FF" w14:textId="77777777" w:rsidR="00FA345A" w:rsidRDefault="00000000">
            <w:pPr>
              <w:spacing w:before="40" w:after="40"/>
            </w:pPr>
            <w:r>
              <w:rPr>
                <w:sz w:val="18"/>
              </w:rPr>
              <w:t>Pipeline status for reactors with firm commitment and financing expected; typically 3–5 years from construction start.</w:t>
            </w:r>
          </w:p>
        </w:tc>
      </w:tr>
      <w:tr w:rsidR="00FA345A" w14:paraId="2966F95A" w14:textId="77777777">
        <w:tc>
          <w:tcPr>
            <w:tcW w:w="2880" w:type="dxa"/>
            <w:shd w:val="clear" w:color="auto" w:fill="FFFFFF"/>
          </w:tcPr>
          <w:p w14:paraId="6999793A" w14:textId="77777777" w:rsidR="00FA345A" w:rsidRDefault="00000000">
            <w:pPr>
              <w:spacing w:before="40" w:after="40"/>
            </w:pPr>
            <w:r>
              <w:rPr>
                <w:sz w:val="18"/>
              </w:rPr>
              <w:t>Post-2040 new build rate</w:t>
            </w:r>
          </w:p>
        </w:tc>
        <w:tc>
          <w:tcPr>
            <w:tcW w:w="6480" w:type="dxa"/>
            <w:shd w:val="clear" w:color="auto" w:fill="FFFFFF"/>
          </w:tcPr>
          <w:p w14:paraId="3FCCA872" w14:textId="77777777" w:rsidR="00FA345A" w:rsidRDefault="00000000">
            <w:pPr>
              <w:spacing w:before="40" w:after="40"/>
            </w:pPr>
            <w:r>
              <w:rPr>
                <w:sz w:val="18"/>
              </w:rPr>
              <w:t>A scenario parameter (GW/year globally) determining annual capacity additions in the top-down phase.</w:t>
            </w:r>
          </w:p>
        </w:tc>
      </w:tr>
      <w:tr w:rsidR="00FA345A" w14:paraId="49469D9F" w14:textId="77777777">
        <w:tc>
          <w:tcPr>
            <w:tcW w:w="2880" w:type="dxa"/>
            <w:shd w:val="clear" w:color="auto" w:fill="F2F7FD"/>
          </w:tcPr>
          <w:p w14:paraId="6E78C6A9" w14:textId="77777777" w:rsidR="00FA345A" w:rsidRDefault="00000000">
            <w:pPr>
              <w:spacing w:before="40" w:after="40"/>
            </w:pPr>
            <w:r>
              <w:rPr>
                <w:sz w:val="18"/>
              </w:rPr>
              <w:t>Proposed</w:t>
            </w:r>
          </w:p>
        </w:tc>
        <w:tc>
          <w:tcPr>
            <w:tcW w:w="6480" w:type="dxa"/>
            <w:shd w:val="clear" w:color="auto" w:fill="F2F7FD"/>
          </w:tcPr>
          <w:p w14:paraId="2A6A40D9" w14:textId="77777777" w:rsidR="00FA345A" w:rsidRDefault="00000000">
            <w:pPr>
              <w:spacing w:before="40" w:after="40"/>
            </w:pPr>
            <w:r>
              <w:rPr>
                <w:sz w:val="18"/>
              </w:rPr>
              <w:t>Pipeline status for early-stage announced reactors; significant permitting and financing uncertainty remains.</w:t>
            </w:r>
          </w:p>
        </w:tc>
      </w:tr>
      <w:tr w:rsidR="00FA345A" w14:paraId="1A1C5220" w14:textId="77777777">
        <w:tc>
          <w:tcPr>
            <w:tcW w:w="2880" w:type="dxa"/>
            <w:shd w:val="clear" w:color="auto" w:fill="FFFFFF"/>
          </w:tcPr>
          <w:p w14:paraId="3519BFF8" w14:textId="77777777" w:rsidR="00FA345A" w:rsidRDefault="00000000">
            <w:pPr>
              <w:spacing w:before="40" w:after="40"/>
            </w:pPr>
            <w:r>
              <w:rPr>
                <w:sz w:val="18"/>
              </w:rPr>
              <w:t>Tier 1</w:t>
            </w:r>
          </w:p>
        </w:tc>
        <w:tc>
          <w:tcPr>
            <w:tcW w:w="6480" w:type="dxa"/>
            <w:shd w:val="clear" w:color="auto" w:fill="FFFFFF"/>
          </w:tcPr>
          <w:p w14:paraId="37E65374" w14:textId="77777777" w:rsidR="00FA345A" w:rsidRDefault="00000000">
            <w:pPr>
              <w:spacing w:before="40" w:after="40"/>
            </w:pPr>
            <w:r>
              <w:rPr>
                <w:sz w:val="18"/>
              </w:rPr>
              <w:t>Reactor retirement date from a publicly declared, legally binding, or regulatory-approved decision (taken as-is).</w:t>
            </w:r>
          </w:p>
        </w:tc>
      </w:tr>
      <w:tr w:rsidR="00FA345A" w14:paraId="78DDC4E0" w14:textId="77777777">
        <w:tc>
          <w:tcPr>
            <w:tcW w:w="2880" w:type="dxa"/>
            <w:shd w:val="clear" w:color="auto" w:fill="F2F7FD"/>
          </w:tcPr>
          <w:p w14:paraId="4B8745F4" w14:textId="77777777" w:rsidR="00FA345A" w:rsidRDefault="00000000">
            <w:pPr>
              <w:spacing w:before="40" w:after="40"/>
            </w:pPr>
            <w:r>
              <w:rPr>
                <w:sz w:val="18"/>
              </w:rPr>
              <w:t>Tier 2</w:t>
            </w:r>
          </w:p>
        </w:tc>
        <w:tc>
          <w:tcPr>
            <w:tcW w:w="6480" w:type="dxa"/>
            <w:shd w:val="clear" w:color="auto" w:fill="F2F7FD"/>
          </w:tcPr>
          <w:p w14:paraId="1F93818D" w14:textId="77777777" w:rsidR="00FA345A" w:rsidRDefault="00000000">
            <w:pPr>
              <w:spacing w:before="40" w:after="40"/>
            </w:pPr>
            <w:r>
              <w:rPr>
                <w:sz w:val="18"/>
              </w:rPr>
              <w:t>Reactor retirement date modelled by applying country-specific license rules to the commercial operation date.</w:t>
            </w:r>
          </w:p>
        </w:tc>
      </w:tr>
      <w:tr w:rsidR="00FA345A" w14:paraId="0C2EC015" w14:textId="77777777">
        <w:tc>
          <w:tcPr>
            <w:tcW w:w="2880" w:type="dxa"/>
            <w:shd w:val="clear" w:color="auto" w:fill="FFFFFF"/>
          </w:tcPr>
          <w:p w14:paraId="6ED6D097" w14:textId="77777777" w:rsidR="00FA345A" w:rsidRDefault="00000000">
            <w:pPr>
              <w:spacing w:before="40" w:after="40"/>
            </w:pPr>
            <w:r>
              <w:rPr>
                <w:sz w:val="18"/>
              </w:rPr>
              <w:t>Top-down phase</w:t>
            </w:r>
          </w:p>
        </w:tc>
        <w:tc>
          <w:tcPr>
            <w:tcW w:w="6480" w:type="dxa"/>
            <w:shd w:val="clear" w:color="auto" w:fill="FFFFFF"/>
          </w:tcPr>
          <w:p w14:paraId="420D1D6D" w14:textId="77777777" w:rsidR="00FA345A" w:rsidRDefault="00000000">
            <w:pPr>
              <w:spacing w:before="40" w:after="40"/>
            </w:pPr>
            <w:r>
              <w:rPr>
                <w:sz w:val="18"/>
              </w:rPr>
              <w:t>Post-2040 projection methodology using a global growth rate distributed regionally, calibrated to benchmarks.</w:t>
            </w:r>
          </w:p>
        </w:tc>
      </w:tr>
      <w:tr w:rsidR="00FA345A" w14:paraId="27E64A8C" w14:textId="77777777">
        <w:tc>
          <w:tcPr>
            <w:tcW w:w="2880" w:type="dxa"/>
            <w:shd w:val="clear" w:color="auto" w:fill="F2F7FD"/>
          </w:tcPr>
          <w:p w14:paraId="788BA52A" w14:textId="77777777" w:rsidR="00FA345A" w:rsidRDefault="00000000">
            <w:pPr>
              <w:spacing w:before="40" w:after="40"/>
            </w:pPr>
            <w:r>
              <w:rPr>
                <w:sz w:val="18"/>
              </w:rPr>
              <w:t>transition_year</w:t>
            </w:r>
          </w:p>
        </w:tc>
        <w:tc>
          <w:tcPr>
            <w:tcW w:w="6480" w:type="dxa"/>
            <w:shd w:val="clear" w:color="auto" w:fill="F2F7FD"/>
          </w:tcPr>
          <w:p w14:paraId="204C3DA9" w14:textId="77777777" w:rsidR="00FA345A" w:rsidRDefault="00000000">
            <w:pPr>
              <w:spacing w:before="40" w:after="40"/>
            </w:pPr>
            <w:r>
              <w:rPr>
                <w:sz w:val="18"/>
              </w:rPr>
              <w:t>The year at which the model switches from bottom-up to top-down methodology (2040 for all pre-defined scenarios).</w:t>
            </w:r>
          </w:p>
        </w:tc>
      </w:tr>
      <w:tr w:rsidR="00FA345A" w14:paraId="71FEEB23" w14:textId="77777777">
        <w:tc>
          <w:tcPr>
            <w:tcW w:w="2880" w:type="dxa"/>
            <w:shd w:val="clear" w:color="auto" w:fill="FFFFFF"/>
          </w:tcPr>
          <w:p w14:paraId="48C6A1A5" w14:textId="77777777" w:rsidR="00FA345A" w:rsidRDefault="00000000">
            <w:pPr>
              <w:spacing w:before="40" w:after="40"/>
            </w:pPr>
            <w:r>
              <w:rPr>
                <w:sz w:val="18"/>
              </w:rPr>
              <w:t>UC (Under Construction)</w:t>
            </w:r>
          </w:p>
        </w:tc>
        <w:tc>
          <w:tcPr>
            <w:tcW w:w="6480" w:type="dxa"/>
            <w:shd w:val="clear" w:color="auto" w:fill="FFFFFF"/>
          </w:tcPr>
          <w:p w14:paraId="0734070B" w14:textId="77777777" w:rsidR="00FA345A" w:rsidRDefault="00000000">
            <w:pPr>
              <w:spacing w:before="40" w:after="40"/>
            </w:pPr>
            <w:r>
              <w:rPr>
                <w:sz w:val="18"/>
              </w:rPr>
              <w:t>Pipeline status for reactors where major civil construction is underway.</w:t>
            </w:r>
          </w:p>
        </w:tc>
      </w:tr>
      <w:tr w:rsidR="00FA345A" w14:paraId="53EBFBE1" w14:textId="77777777">
        <w:tc>
          <w:tcPr>
            <w:tcW w:w="2880" w:type="dxa"/>
            <w:shd w:val="clear" w:color="auto" w:fill="F2F7FD"/>
          </w:tcPr>
          <w:p w14:paraId="5B8F9C1E" w14:textId="77777777" w:rsidR="00FA345A" w:rsidRDefault="00000000">
            <w:pPr>
              <w:spacing w:before="40" w:after="40"/>
            </w:pPr>
            <w:r>
              <w:rPr>
                <w:sz w:val="18"/>
              </w:rPr>
              <w:t>What-If Builder</w:t>
            </w:r>
          </w:p>
        </w:tc>
        <w:tc>
          <w:tcPr>
            <w:tcW w:w="6480" w:type="dxa"/>
            <w:shd w:val="clear" w:color="auto" w:fill="F2F7FD"/>
          </w:tcPr>
          <w:p w14:paraId="2F651539" w14:textId="77777777" w:rsidR="00FA345A" w:rsidRDefault="00000000">
            <w:pPr>
              <w:spacing w:before="40" w:after="40"/>
            </w:pPr>
            <w:r>
              <w:rPr>
                <w:sz w:val="18"/>
              </w:rPr>
              <w:t xml:space="preserve">The Scenario Lab sub-panel allowing unit-level overrides to individual reactor </w:t>
            </w:r>
            <w:r>
              <w:rPr>
                <w:sz w:val="18"/>
              </w:rPr>
              <w:lastRenderedPageBreak/>
              <w:t>retirement years, capacity, and status.</w:t>
            </w:r>
          </w:p>
        </w:tc>
      </w:tr>
      <w:tr w:rsidR="00FA345A" w14:paraId="570E4D2D" w14:textId="77777777">
        <w:tc>
          <w:tcPr>
            <w:tcW w:w="2880" w:type="dxa"/>
            <w:shd w:val="clear" w:color="auto" w:fill="FFFFFF"/>
          </w:tcPr>
          <w:p w14:paraId="1F2ACE37" w14:textId="77777777" w:rsidR="00FA345A" w:rsidRDefault="00000000">
            <w:pPr>
              <w:spacing w:before="40" w:after="40"/>
            </w:pPr>
            <w:r>
              <w:rPr>
                <w:sz w:val="18"/>
              </w:rPr>
              <w:lastRenderedPageBreak/>
              <w:t>WNA</w:t>
            </w:r>
          </w:p>
        </w:tc>
        <w:tc>
          <w:tcPr>
            <w:tcW w:w="6480" w:type="dxa"/>
            <w:shd w:val="clear" w:color="auto" w:fill="FFFFFF"/>
          </w:tcPr>
          <w:p w14:paraId="4835E7E6" w14:textId="77777777" w:rsidR="00FA345A" w:rsidRDefault="00000000">
            <w:pPr>
              <w:spacing w:before="40" w:after="40"/>
            </w:pPr>
            <w:r>
              <w:rPr>
                <w:sz w:val="18"/>
              </w:rPr>
              <w:t>World Nuclear Association — maintains a reactor database supplementing IAEA PRIS, particularly for pipeline projects.</w:t>
            </w:r>
          </w:p>
        </w:tc>
      </w:tr>
    </w:tbl>
    <w:p w14:paraId="5AB3A365" w14:textId="77777777" w:rsidR="00FA345A" w:rsidRDefault="00FA345A"/>
    <w:p w14:paraId="389030AF" w14:textId="77777777" w:rsidR="00FA345A" w:rsidRDefault="00FA345A"/>
    <w:p w14:paraId="0EA87EFF" w14:textId="77777777" w:rsidR="00FA345A" w:rsidRDefault="00000000">
      <w:pPr>
        <w:jc w:val="center"/>
      </w:pPr>
      <w:r>
        <w:rPr>
          <w:i/>
          <w:color w:val="707070"/>
          <w:sz w:val="16"/>
        </w:rPr>
        <w:t>Nuclear Capacity Dashboard — Methodology &amp; User Guide  |  Version 1.0  |  April 2026  |  Based on IAEA PRIS 2024 data vintage</w:t>
      </w:r>
    </w:p>
    <w:sectPr w:rsidR="00FA345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6668964">
    <w:abstractNumId w:val="8"/>
  </w:num>
  <w:num w:numId="2" w16cid:durableId="352390073">
    <w:abstractNumId w:val="6"/>
  </w:num>
  <w:num w:numId="3" w16cid:durableId="2073691041">
    <w:abstractNumId w:val="5"/>
  </w:num>
  <w:num w:numId="4" w16cid:durableId="449203743">
    <w:abstractNumId w:val="4"/>
  </w:num>
  <w:num w:numId="5" w16cid:durableId="951519285">
    <w:abstractNumId w:val="7"/>
  </w:num>
  <w:num w:numId="6" w16cid:durableId="1426420562">
    <w:abstractNumId w:val="3"/>
  </w:num>
  <w:num w:numId="7" w16cid:durableId="1225024240">
    <w:abstractNumId w:val="2"/>
  </w:num>
  <w:num w:numId="8" w16cid:durableId="1167095112">
    <w:abstractNumId w:val="1"/>
  </w:num>
  <w:num w:numId="9" w16cid:durableId="1891720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966E3"/>
    <w:rsid w:val="00CB0664"/>
    <w:rsid w:val="00DD31F3"/>
    <w:rsid w:val="00E74A4F"/>
    <w:rsid w:val="00FA34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F59B8A"/>
  <w14:defaultImageDpi w14:val="300"/>
  <w15:docId w15:val="{076376C3-2EF3-134D-8298-DB6CBE51A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40404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25</Pages>
  <Words>6952</Words>
  <Characters>40744</Characters>
  <Application>Microsoft Office Word</Application>
  <DocSecurity>0</DocSecurity>
  <Lines>1198</Lines>
  <Paragraphs>899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Kochansky</cp:lastModifiedBy>
  <cp:revision>3</cp:revision>
  <dcterms:created xsi:type="dcterms:W3CDTF">2013-12-23T23:15:00Z</dcterms:created>
  <dcterms:modified xsi:type="dcterms:W3CDTF">2026-04-30T00:51:00Z</dcterms:modified>
  <cp:category/>
</cp:coreProperties>
</file>