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FORCED ACTION MAX — TIER 1 &amp; TIER 2 COMPLETION &amp; DELIVERY REPORT</w:t>
      </w:r>
    </w:p>
    <w:p>
      <w:r>
        <w:rPr>
          <w:b/>
        </w:rPr>
        <w:t xml:space="preserve">Client: </w:t>
      </w:r>
      <w:r>
        <w:t>Josh Kantor, Forced Action MAX (Backflip AE lending build)</w:t>
      </w:r>
    </w:p>
    <w:p>
      <w:r>
        <w:rPr>
          <w:b/>
        </w:rPr>
        <w:t xml:space="preserve">Lead Developer: </w:t>
      </w:r>
      <w:r>
        <w:t>Hari Krishnan (heu.ai)</w:t>
      </w:r>
    </w:p>
    <w:p>
      <w:r>
        <w:rPr>
          <w:b/>
        </w:rPr>
        <w:t xml:space="preserve">Repository: </w:t>
      </w:r>
      <w:r>
        <w:t>jbkcreator/Forced-action- — PR links resolve to /pull/&lt;number&gt;.</w:t>
      </w:r>
    </w:p>
    <w:p>
      <w:r>
        <w:rPr>
          <w:b/>
        </w:rPr>
        <w:t xml:space="preserve">Report basis: </w:t>
      </w:r>
      <w:r>
        <w:t>Direct verification against dev — every PR cited below was confirmed via gh pr list at report time; every migration/module path was confirmed against the current tree.</w:t>
      </w:r>
    </w:p>
    <w:p>
      <w:r>
        <w:rPr>
          <w:b/>
        </w:rPr>
        <w:t xml:space="preserve">Coverage: </w:t>
      </w:r>
      <w:r>
        <w:t>Tier 1 — Core Revenue Engine (12 work packages) and Tier 2 — Scale &amp; Revenue Protection Engine (12 work packages), per Amendment 1 (SOT.md) and the two Tier 1/Tier 2 four-developer split documents.</w:t>
      </w:r>
    </w:p>
    <w:p>
      <w:pPr>
        <w:pStyle w:val="Heading2"/>
      </w:pPr>
      <w:r>
        <w:t>How to read this report</w:t>
      </w:r>
    </w:p>
    <w:p>
      <w:r>
        <w:t>Each work package (WP) states the client requirement it answers, what was built, the migration/module/test evidence backing it, and its merge status. This mirrors the Tier 1/Tier 2 developer split documents' own WP numbering (WP-1...WP-9 for Tier 1, WP-T2-1...WP-T2-12 for Tier 2) so status can be checked line-for-line against the split the team worked from.</w:t>
      </w:r>
    </w:p>
    <w:p>
      <w:pPr>
        <w:pStyle w:val="Heading2"/>
      </w:pPr>
      <w:r>
        <w:t>Status Legend</w:t>
      </w:r>
    </w:p>
    <w:p>
      <w:pPr>
        <w:pStyle w:val="ListBullet"/>
      </w:pPr>
      <w:r>
        <w:t>Delivered — merged to dev, migration applied, tests present.</w:t>
      </w:r>
    </w:p>
    <w:p>
      <w:pPr>
        <w:pStyle w:val="ListBullet"/>
      </w:pPr>
      <w:r>
        <w:t>Open / in review — PR exists, not yet merged to dev (reason stated).</w:t>
      </w:r>
    </w:p>
    <w:p>
      <w:pPr>
        <w:pStyle w:val="Heading2"/>
      </w:pPr>
      <w:r>
        <w:t>Executive Summary</w:t>
      </w:r>
    </w:p>
    <w:p>
      <w:r>
        <w:t>Of the 12 Tier 1 work packages, 12 of 12 are merged to dev. Of the 12 Tier 2 work packages, 11 of 12 are merged to dev; one (WP-T2-7, Calendar Integration) is open as PR #296 with a merge conflict against dev and has not been merged.</w:t>
      </w:r>
    </w:p>
    <w:p>
      <w:r>
        <w:t>The durable state spine (WP-1) landed first and every later work package — Tier 1 and Tier 2 alike — reads and writes through it rather than inventing a local state model, matching the client's own Requirement One. Identity resolution (WP-3/WP-4) is likewise consumed as a shared contract by the borrower ledger, the construction engine, and partner mining, rather than being solved three separate times.</w:t>
      </w:r>
    </w:p>
    <w:p>
      <w:r>
        <w:t>This report does not open a new PR carrying Tier 1/Tier 2 source code, because that code is already merged to dev across the PRs cited per work package below — a fresh PR re-bundling already-merged commits would create duplicate/conflicting history. WP-T2-7 is flagged as the one remaining action: resolve the conflict on PR #296 and merge it.</w:t>
      </w:r>
    </w:p>
    <w:p>
      <w:pPr>
        <w:pStyle w:val="Heading1"/>
      </w:pPr>
      <w:r>
        <w:t>WEEK-BY-WEEK COVERAGE</w:t>
      </w:r>
    </w:p>
    <w:p>
      <w:pPr>
        <w:pStyle w:val="Heading1"/>
      </w:pPr>
      <w:r>
        <w:t>TIER 1 — Core Revenue Engine</w:t>
      </w:r>
    </w:p>
    <w:p>
      <w:pPr>
        <w:pStyle w:val="Heading2"/>
      </w:pPr>
      <w:r>
        <w:t>WP-1 — Durable State Engine &amp; Event Spine</w:t>
      </w:r>
    </w:p>
    <w:p>
      <w:r>
        <w:rPr>
          <w:b/>
        </w:rPr>
        <w:t xml:space="preserve">Original Requirement: </w:t>
      </w:r>
      <w:r>
        <w:t>Build the durable shared-state foundation used by every Tier 1/2 agent: canonical records with stable IDs, persisted state transitions, an append-only event/history log with actor/timestamp/source attribution, Redis distributed locking, and crash/restart recovery so a killed worker resumes from persisted state with no loss.</w:t>
      </w:r>
    </w:p>
    <w:p>
      <w:r>
        <w:rPr>
          <w:b/>
        </w:rPr>
        <w:t xml:space="preserve">Reference: </w:t>
      </w:r>
      <w:r>
        <w:t>Forced_Action_MAX_Tier1_4_Developer_Split.md — WP-1 (Split from: State Engine, Queues &amp; Governance)</w:t>
      </w:r>
    </w:p>
    <w:p>
      <w:r>
        <w:rPr>
          <w:b/>
        </w:rPr>
        <w:t xml:space="preserve">Status: </w:t>
      </w:r>
      <w:r>
        <w:t>Delivered — PR #266 (wp1-durable-state-engine) — merged to dev.</w:t>
      </w:r>
    </w:p>
    <w:p>
      <w:pPr>
        <w:pStyle w:val="Heading3"/>
      </w:pPr>
      <w:r>
        <w:t>What We Built</w:t>
      </w:r>
    </w:p>
    <w:p>
      <w:r>
        <w:t>The foundational fa_max_* schema: canonical person/property/partner/opportunity/interaction records with stable IDs, an append-only event log recording actor, timestamp, previous state, and new state on every transition, and the exceptions/work-queue tables that every later work package (WP-2 through WP-T2-12) reads from and writes to instead of inventing a local state model.</w:t>
      </w:r>
    </w:p>
    <w:p>
      <w:r>
        <w:rPr>
          <w:b/>
        </w:rPr>
        <w:t xml:space="preserve">Client outcome: </w:t>
      </w:r>
      <w:r>
        <w:t>Any FA Max agent can be killed mid-task and a new instance resumes from persisted state with no loss; the complete ordered history of any borrower or opportunity is queryable.</w:t>
      </w:r>
    </w:p>
    <w:p>
      <w:r>
        <w:rPr>
          <w:b/>
        </w:rPr>
        <w:t xml:space="preserve">Migration paths: </w:t>
      </w:r>
      <w:r>
        <w:t>migrations/apply_fa_max_state_engine.py; migrations/apply_fa_max_wp1_remaining.py.</w:t>
      </w:r>
    </w:p>
    <w:p>
      <w:r>
        <w:rPr>
          <w:b/>
        </w:rPr>
        <w:t xml:space="preserve">DB output / verification: </w:t>
      </w:r>
      <w:r>
        <w:t>tests/test_fa_max_state_engine.py exercises state-transition persistence, idempotent writes, and history reconstruction against the fa_max_* schema.</w:t>
      </w:r>
    </w:p>
    <w:p>
      <w:pPr>
        <w:pStyle w:val="Heading3"/>
      </w:pPr>
      <w:r>
        <w:t>Technical Implementation Details</w:t>
      </w:r>
    </w:p>
    <w:p>
      <w:pPr>
        <w:pStyle w:val="ListBullet"/>
      </w:pPr>
      <w:r>
        <w:t>apply_fa_max_state_engine.py: the durable state schema (fa_max_persons, fa_max_properties, fa_max_opportunities, fa_max_interactions and the append-only event log) applied idempotently — matches the repo-wide scripts-only migration convention (ADR 0024), never Alembic.</w:t>
      </w:r>
    </w:p>
    <w:p>
      <w:pPr>
        <w:pStyle w:val="ListBullet"/>
      </w:pPr>
      <w:r>
        <w:t>apply_fa_max_wp1_remaining.py: completes the WP-1 spine with partner records, interaction logging, property associations, and the durable work-queue table used for crash-safe background processing.</w:t>
      </w:r>
    </w:p>
    <w:p>
      <w:pPr>
        <w:pStyle w:val="ListBullet"/>
      </w:pPr>
      <w:r>
        <w:t>Every downstream WP-2..WP-9 and WP-T2-1..WP-T2-12 work package reads current state from this schema before acting rather than carrying local state in a prompt or in-process cache, per the client's Requirement One (durable shared state).</w:t>
      </w:r>
    </w:p>
    <w:p>
      <w:pPr>
        <w:pStyle w:val="ListBullet"/>
      </w:pPr>
      <w:r>
        <w:t>src/core/models.py carries the SQLAlchemy 2.0 declarative models for the fa_max_* tables as schema source of truth, consistent with this repo's existing hub-and-spoke convention for the core properties graph.</w:t>
      </w:r>
    </w:p>
    <w:p>
      <w:pPr>
        <w:pStyle w:val="Heading3"/>
      </w:pPr>
      <w:r>
        <w:t>Evidence / Proof of Work</w:t>
      </w:r>
    </w:p>
    <w:tbl>
      <w:tblPr>
        <w:tblStyle w:val="TableGrid"/>
        <w:tblW w:type="auto" w:w="0"/>
        <w:tblLook w:firstColumn="1" w:firstRow="1" w:lastColumn="0" w:lastRow="0" w:noHBand="0" w:noVBand="1" w:val="04A0"/>
      </w:tblPr>
      <w:tblGrid>
        <w:gridCol w:w="4320"/>
        <w:gridCol w:w="4320"/>
      </w:tblGrid>
      <w:tr>
        <w:tc>
          <w:tcPr>
            <w:tcW w:type="dxa" w:w="4320"/>
            <w:shd w:val="clear" w:color="auto" w:fill="103F47"/>
          </w:tcPr>
          <w:p>
            <w:r>
              <w:rPr>
                <w:b/>
                <w:color w:val="FFFFFF"/>
              </w:rPr>
              <w:t>Proof</w:t>
            </w:r>
          </w:p>
        </w:tc>
        <w:tc>
          <w:tcPr>
            <w:tcW w:type="dxa" w:w="4320"/>
            <w:shd w:val="clear" w:color="auto" w:fill="103F47"/>
          </w:tcPr>
          <w:p>
            <w:r>
              <w:rPr>
                <w:b/>
                <w:color w:val="FFFFFF"/>
              </w:rPr>
              <w:t>Location</w:t>
            </w:r>
          </w:p>
        </w:tc>
      </w:tr>
      <w:tr>
        <w:tc>
          <w:tcPr>
            <w:tcW w:type="dxa" w:w="4320"/>
            <w:shd w:val="clear" w:color="auto" w:fill="F4F7F8"/>
          </w:tcPr>
          <w:p>
            <w:r>
              <w:t>State engine schema</w:t>
            </w:r>
          </w:p>
        </w:tc>
        <w:tc>
          <w:tcPr>
            <w:tcW w:type="dxa" w:w="4320"/>
            <w:shd w:val="clear" w:color="auto" w:fill="F4F7F8"/>
          </w:tcPr>
          <w:p>
            <w:r>
              <w:t>migrations/apply_fa_max_state_engine.py</w:t>
            </w:r>
          </w:p>
        </w:tc>
      </w:tr>
      <w:tr>
        <w:tc>
          <w:tcPr>
            <w:tcW w:type="dxa" w:w="4320"/>
          </w:tcPr>
          <w:p>
            <w:r>
              <w:t>Remaining WP-1 spine (partners, interactions, work queue)</w:t>
            </w:r>
          </w:p>
        </w:tc>
        <w:tc>
          <w:tcPr>
            <w:tcW w:type="dxa" w:w="4320"/>
          </w:tcPr>
          <w:p>
            <w:r>
              <w:t>migrations/apply_fa_max_wp1_remaining.py</w:t>
            </w:r>
          </w:p>
        </w:tc>
      </w:tr>
      <w:tr>
        <w:tc>
          <w:tcPr>
            <w:tcW w:type="dxa" w:w="4320"/>
            <w:shd w:val="clear" w:color="auto" w:fill="F4F7F8"/>
          </w:tcPr>
          <w:p>
            <w:r>
              <w:t>State-transition tests</w:t>
            </w:r>
          </w:p>
        </w:tc>
        <w:tc>
          <w:tcPr>
            <w:tcW w:type="dxa" w:w="4320"/>
            <w:shd w:val="clear" w:color="auto" w:fill="F4F7F8"/>
          </w:tcPr>
          <w:p>
            <w:r>
              <w:t>tests/test_fa_max_state_engine.py</w:t>
            </w:r>
          </w:p>
        </w:tc>
      </w:tr>
      <w:tr>
        <w:tc>
          <w:tcPr>
            <w:tcW w:type="dxa" w:w="4320"/>
          </w:tcPr>
          <w:p>
            <w:r>
              <w:t>Merged PR</w:t>
            </w:r>
          </w:p>
        </w:tc>
        <w:tc>
          <w:tcPr>
            <w:tcW w:type="dxa" w:w="4320"/>
          </w:tcPr>
          <w:p>
            <w:r>
              <w:t>PR #266 — wp1-durable-state-engine</w:t>
            </w:r>
          </w:p>
        </w:tc>
      </w:tr>
    </w:tbl>
    <w:p>
      <w:pPr>
        <w:pStyle w:val="Heading3"/>
      </w:pPr>
      <w:r>
        <w:t>Notes / Production Configuration</w:t>
      </w:r>
    </w:p>
    <w:p>
      <w:r>
        <w:t>Foundational — no external configuration required. Every later Tier 1/2 migration that adds a new fa_max_* table follows this same idempotent, additive pattern.</w:t>
      </w:r>
    </w:p>
    <w:p>
      <w:pPr>
        <w:pStyle w:val="Heading2"/>
      </w:pPr>
      <w:r>
        <w:t>WP-2 — Slack Operating Queues &amp; Send Governance</w:t>
      </w:r>
    </w:p>
    <w:p>
      <w:r>
        <w:rPr>
          <w:b/>
        </w:rPr>
        <w:t xml:space="preserve">Original Requirement: </w:t>
      </w:r>
      <w:r>
        <w:t>Port/build the three-queue Slack operating layer (MONEY, EXCEPTIONS, RELATIONSHIPS) with actionable cards, two-gate pre-send suppression, a single-sender relay, per-contact/per-channel consent with source and timestamp, and a full send audit trail — with no bypass path even on explicit human instruction.</w:t>
      </w:r>
    </w:p>
    <w:p>
      <w:r>
        <w:rPr>
          <w:b/>
        </w:rPr>
        <w:t xml:space="preserve">Reference: </w:t>
      </w:r>
      <w:r>
        <w:t>Forced_Action_MAX_Tier1_4_Developer_Split.md — WP-2 (Split from: State Engine, Queues &amp; Governance)</w:t>
      </w:r>
    </w:p>
    <w:p>
      <w:r>
        <w:rPr>
          <w:b/>
        </w:rPr>
        <w:t xml:space="preserve">Status: </w:t>
      </w:r>
      <w:r>
        <w:t>Delivered — PR #267 (wp2-slack-queues-send-governance) merged to dev; Socket Mode approvals landed in PR #276.</w:t>
      </w:r>
    </w:p>
    <w:p>
      <w:pPr>
        <w:pStyle w:val="Heading3"/>
      </w:pPr>
      <w:r>
        <w:t>What We Built</w:t>
      </w:r>
    </w:p>
    <w:p>
      <w:r>
        <w:t>The three operating Slack queues wired to durable state (WP-1), a two-gate suppression check enforced before draft and again before send, and a single relay process as the only outbound sender — the exact 'Banks' pattern the client specified, ported rather than re-invented.</w:t>
      </w:r>
    </w:p>
    <w:p>
      <w:r>
        <w:rPr>
          <w:b/>
        </w:rPr>
        <w:t xml:space="preserve">Client outcome: </w:t>
      </w:r>
      <w:r>
        <w:t>Josh can run a full working day from the three Slack queues alone; a suppressed contact cannot receive a message even on an explicit instruction to send, and the system states why it refused.</w:t>
      </w:r>
    </w:p>
    <w:p>
      <w:r>
        <w:rPr>
          <w:b/>
        </w:rPr>
        <w:t xml:space="preserve">Migration paths: </w:t>
      </w:r>
      <w:r>
        <w:t>migrations/apply_fa_max_wp2_queues.py.</w:t>
      </w:r>
    </w:p>
    <w:p>
      <w:r>
        <w:rPr>
          <w:b/>
        </w:rPr>
        <w:t xml:space="preserve">DB output / verification: </w:t>
      </w:r>
      <w:r>
        <w:t>tests/test_fa_max_wp2.py and tests/services/relay/test_socket_listener.py cover queue persistence and crash-safe socket handling.</w:t>
      </w:r>
    </w:p>
    <w:p>
      <w:pPr>
        <w:pStyle w:val="Heading3"/>
      </w:pPr>
      <w:r>
        <w:t>Technical Implementation Details</w:t>
      </w:r>
    </w:p>
    <w:p>
      <w:pPr>
        <w:pStyle w:val="ListBullet"/>
      </w:pPr>
      <w:r>
        <w:t>apply_fa_max_wp2_queues.py: queue columns on fa_max_opportunities/fa_max_interactions, the consent table (per contact, per channel, source + timestamp), and the fa_max_lending venture row that scopes this whole build under the repo's existing multi-venture (CLONE-v2.2) model.</w:t>
      </w:r>
    </w:p>
    <w:p>
      <w:pPr>
        <w:pStyle w:val="ListBullet"/>
      </w:pPr>
      <w:r>
        <w:t>src/services/relay/ is the single-sender relay: engine.py (dispatch), queue.py (durable queue), guards.py (suppression gate), socket_listener.py (Slack Socket Mode, crash-safe), suppression_sync.py, sweep.py (periodic re-drive).</w:t>
      </w:r>
    </w:p>
    <w:p>
      <w:pPr>
        <w:pStyle w:val="ListBullet"/>
      </w:pPr>
      <w:r>
        <w:t>src/services/fa_max_send_governance.py enforces the two-gate suppression check at both draft time and send time, independent of autonomy tier.</w:t>
      </w:r>
    </w:p>
    <w:p>
      <w:pPr>
        <w:pStyle w:val="ListBullet"/>
      </w:pPr>
      <w:r>
        <w:t>tests/services/relay/test_new_file_modal.py and test_socket_listener.py cover the interactive-card and crash/restart-safe queue-handling paths.</w:t>
      </w:r>
    </w:p>
    <w:p>
      <w:pPr>
        <w:pStyle w:val="Heading3"/>
      </w:pPr>
      <w:r>
        <w:t>Evidence / Proof of Work</w:t>
      </w:r>
    </w:p>
    <w:tbl>
      <w:tblPr>
        <w:tblStyle w:val="TableGrid"/>
        <w:tblW w:type="auto" w:w="0"/>
        <w:tblLook w:firstColumn="1" w:firstRow="1" w:lastColumn="0" w:lastRow="0" w:noHBand="0" w:noVBand="1" w:val="04A0"/>
      </w:tblPr>
      <w:tblGrid>
        <w:gridCol w:w="4320"/>
        <w:gridCol w:w="4320"/>
      </w:tblGrid>
      <w:tr>
        <w:tc>
          <w:tcPr>
            <w:tcW w:type="dxa" w:w="4320"/>
            <w:shd w:val="clear" w:color="auto" w:fill="103F47"/>
          </w:tcPr>
          <w:p>
            <w:r>
              <w:rPr>
                <w:b/>
                <w:color w:val="FFFFFF"/>
              </w:rPr>
              <w:t>Proof</w:t>
            </w:r>
          </w:p>
        </w:tc>
        <w:tc>
          <w:tcPr>
            <w:tcW w:type="dxa" w:w="4320"/>
            <w:shd w:val="clear" w:color="auto" w:fill="103F47"/>
          </w:tcPr>
          <w:p>
            <w:r>
              <w:rPr>
                <w:b/>
                <w:color w:val="FFFFFF"/>
              </w:rPr>
              <w:t>Location</w:t>
            </w:r>
          </w:p>
        </w:tc>
      </w:tr>
      <w:tr>
        <w:tc>
          <w:tcPr>
            <w:tcW w:type="dxa" w:w="4320"/>
            <w:shd w:val="clear" w:color="auto" w:fill="F4F7F8"/>
          </w:tcPr>
          <w:p>
            <w:r>
              <w:t>Queue schema + consent table</w:t>
            </w:r>
          </w:p>
        </w:tc>
        <w:tc>
          <w:tcPr>
            <w:tcW w:type="dxa" w:w="4320"/>
            <w:shd w:val="clear" w:color="auto" w:fill="F4F7F8"/>
          </w:tcPr>
          <w:p>
            <w:r>
              <w:t>migrations/apply_fa_max_wp2_queues.py</w:t>
            </w:r>
          </w:p>
        </w:tc>
      </w:tr>
      <w:tr>
        <w:tc>
          <w:tcPr>
            <w:tcW w:type="dxa" w:w="4320"/>
          </w:tcPr>
          <w:p>
            <w:r>
              <w:t>Relay engine / queue / guards</w:t>
            </w:r>
          </w:p>
        </w:tc>
        <w:tc>
          <w:tcPr>
            <w:tcW w:type="dxa" w:w="4320"/>
          </w:tcPr>
          <w:p>
            <w:r>
              <w:t>src/services/relay/engine.py, queue.py, guards.py</w:t>
            </w:r>
          </w:p>
        </w:tc>
      </w:tr>
      <w:tr>
        <w:tc>
          <w:tcPr>
            <w:tcW w:type="dxa" w:w="4320"/>
            <w:shd w:val="clear" w:color="auto" w:fill="F4F7F8"/>
          </w:tcPr>
          <w:p>
            <w:r>
              <w:t>Socket Mode listener (crash-safe)</w:t>
            </w:r>
          </w:p>
        </w:tc>
        <w:tc>
          <w:tcPr>
            <w:tcW w:type="dxa" w:w="4320"/>
            <w:shd w:val="clear" w:color="auto" w:fill="F4F7F8"/>
          </w:tcPr>
          <w:p>
            <w:r>
              <w:t>src/services/relay/socket_listener.py</w:t>
            </w:r>
          </w:p>
        </w:tc>
      </w:tr>
      <w:tr>
        <w:tc>
          <w:tcPr>
            <w:tcW w:type="dxa" w:w="4320"/>
          </w:tcPr>
          <w:p>
            <w:r>
              <w:t>Send governance (two-gate)</w:t>
            </w:r>
          </w:p>
        </w:tc>
        <w:tc>
          <w:tcPr>
            <w:tcW w:type="dxa" w:w="4320"/>
          </w:tcPr>
          <w:p>
            <w:r>
              <w:t>src/services/fa_max_send_governance.py</w:t>
            </w:r>
          </w:p>
        </w:tc>
      </w:tr>
      <w:tr>
        <w:tc>
          <w:tcPr>
            <w:tcW w:type="dxa" w:w="4320"/>
            <w:shd w:val="clear" w:color="auto" w:fill="F4F7F8"/>
          </w:tcPr>
          <w:p>
            <w:r>
              <w:t>Tests</w:t>
            </w:r>
          </w:p>
        </w:tc>
        <w:tc>
          <w:tcPr>
            <w:tcW w:type="dxa" w:w="4320"/>
            <w:shd w:val="clear" w:color="auto" w:fill="F4F7F8"/>
          </w:tcPr>
          <w:p>
            <w:r>
              <w:t>tests/test_fa_max_wp2.py; tests/services/relay/test_socket_listener.py</w:t>
            </w:r>
          </w:p>
        </w:tc>
      </w:tr>
      <w:tr>
        <w:tc>
          <w:tcPr>
            <w:tcW w:type="dxa" w:w="4320"/>
          </w:tcPr>
          <w:p>
            <w:r>
              <w:t>Merged PRs</w:t>
            </w:r>
          </w:p>
        </w:tc>
        <w:tc>
          <w:tcPr>
            <w:tcW w:type="dxa" w:w="4320"/>
          </w:tcPr>
          <w:p>
            <w:r>
              <w:t>PR #267; PR #276 (Socket Mode approvals)</w:t>
            </w:r>
          </w:p>
        </w:tc>
      </w:tr>
    </w:tbl>
    <w:p>
      <w:pPr>
        <w:pStyle w:val="Heading3"/>
      </w:pPr>
      <w:r>
        <w:t>Notes / Production Configuration</w:t>
      </w:r>
    </w:p>
    <w:p>
      <w:r>
        <w:t>Slack workspace tokens/channel IDs for MONEY/EXCEPTIONS/RELATIONSHIPS are environment configuration, not code — see docs/PLATFORM-OPERATIONS-GUIDE.md.</w:t>
      </w:r>
    </w:p>
    <w:p>
      <w:pPr>
        <w:pStyle w:val="Heading2"/>
      </w:pPr>
      <w:r>
        <w:t>WP-3 / WP-4 — Person Identity Resolution &amp; Entity-to-Principal Graph</w:t>
      </w:r>
    </w:p>
    <w:p>
      <w:r>
        <w:rPr>
          <w:b/>
        </w:rPr>
        <w:t xml:space="preserve">Original Requirement: </w:t>
      </w:r>
      <w:r>
        <w:t>Resolve duplicate person records (name variants, misspellings, phone/email/address matching, cross-county) into one canonical identity, and separately resolve LLCs/entities to their true managing principal via Sunbiz parsing — with every merge reversible and logged, and low-confidence cases routed to a human rather than silently merged.</w:t>
      </w:r>
    </w:p>
    <w:p>
      <w:r>
        <w:rPr>
          <w:b/>
        </w:rPr>
        <w:t xml:space="preserve">Reference: </w:t>
      </w:r>
      <w:r>
        <w:t>Forced_Action_MAX_Tier1_4_Developer_Split.md — WP-3, WP-4 (Split from: Universal Identity Graph)</w:t>
      </w:r>
    </w:p>
    <w:p>
      <w:r>
        <w:rPr>
          <w:b/>
        </w:rPr>
        <w:t xml:space="preserve">Status: </w:t>
      </w:r>
      <w:r>
        <w:t>Delivered — PR #271 (feat/wp3-wp4-identity-gaps) — merged to dev.</w:t>
      </w:r>
    </w:p>
    <w:p>
      <w:pPr>
        <w:pStyle w:val="Heading3"/>
      </w:pPr>
      <w:r>
        <w:t>What We Built</w:t>
      </w:r>
    </w:p>
    <w:p>
      <w:r>
        <w:t>Person-side matching (name/phone/email/address, deterministic-before-fuzzy) plus entity-to-principal resolution against Sunbiz corporate records, with reversible merge logging and an EXCEPTIONS-routed path for ambiguous matches — reusing this repo's pre-existing rapidfuzz/pg_trgm matching waterfall rather than building a second one.</w:t>
      </w:r>
    </w:p>
    <w:p>
      <w:r>
        <w:rPr>
          <w:b/>
        </w:rPr>
        <w:t xml:space="preserve">Client outcome: </w:t>
      </w:r>
      <w:r>
        <w:t>A known multi-entity investor resolves to one record with all properties attached, and an incorrect merge can be undone without losing the original source records.</w:t>
      </w:r>
    </w:p>
    <w:p>
      <w:r>
        <w:rPr>
          <w:b/>
        </w:rPr>
        <w:t xml:space="preserve">Migration paths: </w:t>
      </w:r>
      <w:r>
        <w:t>Identity gaps ship as part of PR #271's migration set (contact matching, principal naming, audit trail columns).</w:t>
      </w:r>
    </w:p>
    <w:p>
      <w:r>
        <w:rPr>
          <w:b/>
        </w:rPr>
        <w:t xml:space="preserve">DB output / verification: </w:t>
      </w:r>
      <w:r>
        <w:t>src/services/fa_max_person_search.py is covered by tests/services/test_fa_max_person_search.py.</w:t>
      </w:r>
    </w:p>
    <w:p>
      <w:pPr>
        <w:pStyle w:val="Heading3"/>
      </w:pPr>
      <w:r>
        <w:t>Technical Implementation Details</w:t>
      </w:r>
    </w:p>
    <w:p>
      <w:pPr>
        <w:pStyle w:val="ListBullet"/>
      </w:pPr>
      <w:r>
        <w:t>src/services/fa_max_person_search.py implements the deterministic-before-fuzzy matching order this repo already uses for property/owner matching elsewhere (exact → ILIKE prefix → pg_trgm/rapidfuzz), applied here to person and principal resolution.</w:t>
      </w:r>
    </w:p>
    <w:p>
      <w:pPr>
        <w:pStyle w:val="ListBullet"/>
      </w:pPr>
      <w:r>
        <w:t>PR #271 title states the exact scope delivered: 'contact matching, principal naming, EXCEPTIONS queue, audit trail' — i.e. the identity-resolution gap items called out in the client's Amendment 1 (§Part 4, Universal Identity, item 3) as the least-certain piece of Tier 1.</w:t>
      </w:r>
    </w:p>
    <w:p>
      <w:pPr>
        <w:pStyle w:val="ListBullet"/>
      </w:pPr>
      <w:r>
        <w:t>Every merge is logged with an audit trail rather than applied silently, satisfying the client's explicit 'a bad merge is worse than a duplicate' requirement.</w:t>
      </w:r>
    </w:p>
    <w:p>
      <w:pPr>
        <w:pStyle w:val="ListBullet"/>
      </w:pPr>
      <w:r>
        <w:t>Partner mining (WP-T2-9) and the construction/builder engine (WP-T2-8) both resolve permit holders and deed counterparties through this same identity layer rather than a second one — confirming the contract held across Tier 2.</w:t>
      </w:r>
    </w:p>
    <w:p>
      <w:pPr>
        <w:pStyle w:val="Heading3"/>
      </w:pPr>
      <w:r>
        <w:t>Evidence / Proof of Work</w:t>
      </w:r>
    </w:p>
    <w:tbl>
      <w:tblPr>
        <w:tblStyle w:val="TableGrid"/>
        <w:tblW w:type="auto" w:w="0"/>
        <w:tblLook w:firstColumn="1" w:firstRow="1" w:lastColumn="0" w:lastRow="0" w:noHBand="0" w:noVBand="1" w:val="04A0"/>
      </w:tblPr>
      <w:tblGrid>
        <w:gridCol w:w="4320"/>
        <w:gridCol w:w="4320"/>
      </w:tblGrid>
      <w:tr>
        <w:tc>
          <w:tcPr>
            <w:tcW w:type="dxa" w:w="4320"/>
            <w:shd w:val="clear" w:color="auto" w:fill="103F47"/>
          </w:tcPr>
          <w:p>
            <w:r>
              <w:rPr>
                <w:b/>
                <w:color w:val="FFFFFF"/>
              </w:rPr>
              <w:t>Proof</w:t>
            </w:r>
          </w:p>
        </w:tc>
        <w:tc>
          <w:tcPr>
            <w:tcW w:type="dxa" w:w="4320"/>
            <w:shd w:val="clear" w:color="auto" w:fill="103F47"/>
          </w:tcPr>
          <w:p>
            <w:r>
              <w:rPr>
                <w:b/>
                <w:color w:val="FFFFFF"/>
              </w:rPr>
              <w:t>Location</w:t>
            </w:r>
          </w:p>
        </w:tc>
      </w:tr>
      <w:tr>
        <w:tc>
          <w:tcPr>
            <w:tcW w:type="dxa" w:w="4320"/>
            <w:shd w:val="clear" w:color="auto" w:fill="F4F7F8"/>
          </w:tcPr>
          <w:p>
            <w:r>
              <w:t>Person/principal matching</w:t>
            </w:r>
          </w:p>
        </w:tc>
        <w:tc>
          <w:tcPr>
            <w:tcW w:type="dxa" w:w="4320"/>
            <w:shd w:val="clear" w:color="auto" w:fill="F4F7F8"/>
          </w:tcPr>
          <w:p>
            <w:r>
              <w:t>src/services/fa_max_person_search.py</w:t>
            </w:r>
          </w:p>
        </w:tc>
      </w:tr>
      <w:tr>
        <w:tc>
          <w:tcPr>
            <w:tcW w:type="dxa" w:w="4320"/>
          </w:tcPr>
          <w:p>
            <w:r>
              <w:t>Matching tests</w:t>
            </w:r>
          </w:p>
        </w:tc>
        <w:tc>
          <w:tcPr>
            <w:tcW w:type="dxa" w:w="4320"/>
          </w:tcPr>
          <w:p>
            <w:r>
              <w:t>tests/services/test_fa_max_person_search.py</w:t>
            </w:r>
          </w:p>
        </w:tc>
      </w:tr>
      <w:tr>
        <w:tc>
          <w:tcPr>
            <w:tcW w:type="dxa" w:w="4320"/>
            <w:shd w:val="clear" w:color="auto" w:fill="F4F7F8"/>
          </w:tcPr>
          <w:p>
            <w:r>
              <w:t>Merged PR (identity gaps: contact matching, principal naming, EXCEPTIONS, audit trail)</w:t>
            </w:r>
          </w:p>
        </w:tc>
        <w:tc>
          <w:tcPr>
            <w:tcW w:type="dxa" w:w="4320"/>
            <w:shd w:val="clear" w:color="auto" w:fill="F4F7F8"/>
          </w:tcPr>
          <w:p>
            <w:r>
              <w:t>PR #271</w:t>
            </w:r>
          </w:p>
        </w:tc>
      </w:tr>
    </w:tbl>
    <w:p>
      <w:pPr>
        <w:pStyle w:val="Heading3"/>
      </w:pPr>
      <w:r>
        <w:t>Notes / Production Configuration</w:t>
      </w:r>
    </w:p>
    <w:p>
      <w:r>
        <w:t>Existing Florida Sunbiz-parsing and rapidfuzz thresholds from config/matching.py are reused rather than re-implemented, per the client's own confirmation (SOT.md, Response #4) that this was 'already substantially covered' by existing FA identity work.</w:t>
      </w:r>
    </w:p>
    <w:p>
      <w:pPr>
        <w:pStyle w:val="Heading2"/>
      </w:pPr>
      <w:r>
        <w:t>WP-5A — Borrower Ledger Core &amp; Historical Record</w:t>
      </w:r>
    </w:p>
    <w:p>
      <w:r>
        <w:rPr>
          <w:b/>
        </w:rPr>
        <w:t xml:space="preserve">Original Requirement: </w:t>
      </w:r>
      <w:r>
        <w:t>Build the permanent longitudinal borrower record: current/previous properties, entity/LLC structure, prior loans/opportunities, conversations and dispositions, partner/contractor relationships, and a timeline read model — with no borrower financial data (credit, income, bank statements, SSNs) ever stored.</w:t>
      </w:r>
    </w:p>
    <w:p>
      <w:r>
        <w:rPr>
          <w:b/>
        </w:rPr>
        <w:t xml:space="preserve">Reference: </w:t>
      </w:r>
      <w:r>
        <w:t>Forced_Action_MAX_Tier1_4_Developer_Split.md — WP-5A (Split from: Borrower Ledger of Record)</w:t>
      </w:r>
    </w:p>
    <w:p>
      <w:r>
        <w:rPr>
          <w:b/>
        </w:rPr>
        <w:t xml:space="preserve">Status: </w:t>
      </w:r>
      <w:r>
        <w:t>Delivered — PR #268 (feat/borrower-intelligence-foundation) — merged to dev.</w:t>
      </w:r>
    </w:p>
    <w:p>
      <w:pPr>
        <w:pStyle w:val="Heading3"/>
      </w:pPr>
      <w:r>
        <w:t>What We Built</w:t>
      </w:r>
    </w:p>
    <w:p>
      <w:r>
        <w:t>The borrower ledger schema and ingestion path linking a canonical person/entity to every property, prior opportunity, and interaction it has ever had in the system, with a read model that assembles the full ordered timeline in one query rather than joining across five systems by hand.</w:t>
      </w:r>
    </w:p>
    <w:p>
      <w:r>
        <w:rPr>
          <w:b/>
        </w:rPr>
        <w:t xml:space="preserve">Client outcome: </w:t>
      </w:r>
      <w:r>
        <w:t>Josh can pull one borrower and see complete history — properties, entities, prior opportunities, interactions — without opening another system.</w:t>
      </w:r>
    </w:p>
    <w:p>
      <w:r>
        <w:rPr>
          <w:b/>
        </w:rPr>
        <w:t xml:space="preserve">Migration paths: </w:t>
      </w:r>
      <w:r>
        <w:t>Borrower ledger tables ship in PR #268's migration set (identity corroboration + borrower ledger + maturity-engine schema).</w:t>
      </w:r>
    </w:p>
    <w:p>
      <w:r>
        <w:rPr>
          <w:b/>
        </w:rPr>
        <w:t xml:space="preserve">DB output / verification: </w:t>
      </w:r>
      <w:r>
        <w:t>src/services/borrower_ledger.py and borrower_ledger_ingest.py are the read/write halves of the ledger; covered by the WP-5A/WP-6 test suite added in the same PR.</w:t>
      </w:r>
    </w:p>
    <w:p>
      <w:pPr>
        <w:pStyle w:val="Heading3"/>
      </w:pPr>
      <w:r>
        <w:t>Technical Implementation Details</w:t>
      </w:r>
    </w:p>
    <w:p>
      <w:pPr>
        <w:pStyle w:val="ListBullet"/>
      </w:pPr>
      <w:r>
        <w:t>src/services/borrower_ledger.py: the read model — one call assembles a borrower's full property list, entity structure, prior opportunities, and interaction timeline.</w:t>
      </w:r>
    </w:p>
    <w:p>
      <w:pPr>
        <w:pStyle w:val="ListBullet"/>
      </w:pPr>
      <w:r>
        <w:t>src/services/borrower_ledger_ingest.py: writes new deed/permit/opportunity/interaction events onto the correct canonical borrower record as they arrive, rather than requiring a separate backfill step.</w:t>
      </w:r>
    </w:p>
    <w:p>
      <w:pPr>
        <w:pStyle w:val="ListBullet"/>
      </w:pPr>
      <w:r>
        <w:t>src/services/buyer_entity_resolution.py and buyer_entity_merge.py connect the ledger to the WP-4 entity-to-principal graph so a 12-property, 9-LLC investor resolves to one ledger, not nine.</w:t>
      </w:r>
    </w:p>
    <w:p>
      <w:pPr>
        <w:pStyle w:val="ListBullet"/>
      </w:pPr>
      <w:r>
        <w:t>No column in the ledger schema holds credit score, income, bank statement, or SSN data — the client's hard compliance boundary (SOT.md, Part 1) is enforced structurally by omission, not by an application-layer filter that could be bypassed.</w:t>
      </w:r>
    </w:p>
    <w:p>
      <w:pPr>
        <w:pStyle w:val="Heading3"/>
      </w:pPr>
      <w:r>
        <w:t>Evidence / Proof of Work</w:t>
      </w:r>
    </w:p>
    <w:tbl>
      <w:tblPr>
        <w:tblStyle w:val="TableGrid"/>
        <w:tblW w:type="auto" w:w="0"/>
        <w:tblLook w:firstColumn="1" w:firstRow="1" w:lastColumn="0" w:lastRow="0" w:noHBand="0" w:noVBand="1" w:val="04A0"/>
      </w:tblPr>
      <w:tblGrid>
        <w:gridCol w:w="4320"/>
        <w:gridCol w:w="4320"/>
      </w:tblGrid>
      <w:tr>
        <w:tc>
          <w:tcPr>
            <w:tcW w:type="dxa" w:w="4320"/>
            <w:shd w:val="clear" w:color="auto" w:fill="103F47"/>
          </w:tcPr>
          <w:p>
            <w:r>
              <w:rPr>
                <w:b/>
                <w:color w:val="FFFFFF"/>
              </w:rPr>
              <w:t>Proof</w:t>
            </w:r>
          </w:p>
        </w:tc>
        <w:tc>
          <w:tcPr>
            <w:tcW w:type="dxa" w:w="4320"/>
            <w:shd w:val="clear" w:color="auto" w:fill="103F47"/>
          </w:tcPr>
          <w:p>
            <w:r>
              <w:rPr>
                <w:b/>
                <w:color w:val="FFFFFF"/>
              </w:rPr>
              <w:t>Location</w:t>
            </w:r>
          </w:p>
        </w:tc>
      </w:tr>
      <w:tr>
        <w:tc>
          <w:tcPr>
            <w:tcW w:type="dxa" w:w="4320"/>
            <w:shd w:val="clear" w:color="auto" w:fill="F4F7F8"/>
          </w:tcPr>
          <w:p>
            <w:r>
              <w:t>Borrower ledger read model</w:t>
            </w:r>
          </w:p>
        </w:tc>
        <w:tc>
          <w:tcPr>
            <w:tcW w:type="dxa" w:w="4320"/>
            <w:shd w:val="clear" w:color="auto" w:fill="F4F7F8"/>
          </w:tcPr>
          <w:p>
            <w:r>
              <w:t>src/services/borrower_ledger.py</w:t>
            </w:r>
          </w:p>
        </w:tc>
      </w:tr>
      <w:tr>
        <w:tc>
          <w:tcPr>
            <w:tcW w:type="dxa" w:w="4320"/>
          </w:tcPr>
          <w:p>
            <w:r>
              <w:t>Borrower ledger ingestion</w:t>
            </w:r>
          </w:p>
        </w:tc>
        <w:tc>
          <w:tcPr>
            <w:tcW w:type="dxa" w:w="4320"/>
          </w:tcPr>
          <w:p>
            <w:r>
              <w:t>src/services/borrower_ledger_ingest.py</w:t>
            </w:r>
          </w:p>
        </w:tc>
      </w:tr>
      <w:tr>
        <w:tc>
          <w:tcPr>
            <w:tcW w:type="dxa" w:w="4320"/>
            <w:shd w:val="clear" w:color="auto" w:fill="F4F7F8"/>
          </w:tcPr>
          <w:p>
            <w:r>
              <w:t>Entity merge / resolution</w:t>
            </w:r>
          </w:p>
        </w:tc>
        <w:tc>
          <w:tcPr>
            <w:tcW w:type="dxa" w:w="4320"/>
            <w:shd w:val="clear" w:color="auto" w:fill="F4F7F8"/>
          </w:tcPr>
          <w:p>
            <w:r>
              <w:t>src/services/buyer_entity_resolution.py, buyer_entity_merge.py</w:t>
            </w:r>
          </w:p>
        </w:tc>
      </w:tr>
      <w:tr>
        <w:tc>
          <w:tcPr>
            <w:tcW w:type="dxa" w:w="4320"/>
          </w:tcPr>
          <w:p>
            <w:r>
              <w:t>Merged PR</w:t>
            </w:r>
          </w:p>
        </w:tc>
        <w:tc>
          <w:tcPr>
            <w:tcW w:type="dxa" w:w="4320"/>
          </w:tcPr>
          <w:p>
            <w:r>
              <w:t>PR #268 — feat/borrower-intelligence-foundation</w:t>
            </w:r>
          </w:p>
        </w:tc>
      </w:tr>
    </w:tbl>
    <w:p>
      <w:pPr>
        <w:pStyle w:val="Heading3"/>
      </w:pPr>
      <w:r>
        <w:t>Notes / Production Configuration</w:t>
      </w:r>
    </w:p>
    <w:p>
      <w:r>
        <w:t>No historical funded-loan book existed to import (Josh confirmed in SOT.md Response #1 — he is a new Backflip AE); the ledger starts empty by design and populates going forward from deals originated through the system.</w:t>
      </w:r>
    </w:p>
    <w:p>
      <w:pPr>
        <w:pStyle w:val="Heading2"/>
      </w:pPr>
      <w:r>
        <w:t>WP-5B — Borrower Buy Box, Velocity &amp; Next-Need Prediction</w:t>
      </w:r>
    </w:p>
    <w:p>
      <w:r>
        <w:rPr>
          <w:b/>
        </w:rPr>
        <w:t xml:space="preserve">Original Requirement: </w:t>
      </w:r>
      <w:r>
        <w:t>Add the intelligence layer on top of the ledger: buy-box profile, deal velocity, last-transaction date, predicted next need and date with evidence, recalculated after new deeds/permits/maturities/interactions, and an explicit low-confidence state when data is insufficient.</w:t>
      </w:r>
    </w:p>
    <w:p>
      <w:r>
        <w:rPr>
          <w:b/>
        </w:rPr>
        <w:t xml:space="preserve">Reference: </w:t>
      </w:r>
      <w:r>
        <w:t>Forced_Action_MAX_Tier1_4_Developer_Split.md — WP-5B (Split from: Borrower Ledger of Record)</w:t>
      </w:r>
    </w:p>
    <w:p>
      <w:r>
        <w:rPr>
          <w:b/>
        </w:rPr>
        <w:t xml:space="preserve">Status: </w:t>
      </w:r>
      <w:r>
        <w:t>Delivered — PR #272 (wp5b-borrower-profile) — merged to dev.</w:t>
      </w:r>
    </w:p>
    <w:p>
      <w:pPr>
        <w:pStyle w:val="Heading3"/>
      </w:pPr>
      <w:r>
        <w:t>What We Built</w:t>
      </w:r>
    </w:p>
    <w:p>
      <w:r>
        <w:t>A per-person profile table computing buy-box preferences, deal cadence, and a predicted next-need date with its supporting evidence, recomputed via a durable work-queue whenever a new deed, permit, maturity, or interaction lands on that borrower.</w:t>
      </w:r>
    </w:p>
    <w:p>
      <w:r>
        <w:rPr>
          <w:b/>
        </w:rPr>
        <w:t xml:space="preserve">Client outcome: </w:t>
      </w:r>
      <w:r>
        <w:t>Cora can say, in the client's own words, 'three deals with you, one every four months, last purchase 118 days ago, just pulled a permit in Pasco — call him,' with the evidence behind that statement visible.</w:t>
      </w:r>
    </w:p>
    <w:p>
      <w:r>
        <w:rPr>
          <w:b/>
        </w:rPr>
        <w:t xml:space="preserve">Migration paths: </w:t>
      </w:r>
      <w:r>
        <w:t>migrations/apply_fa_max_wp5b_profile.py.</w:t>
      </w:r>
    </w:p>
    <w:p>
      <w:r>
        <w:rPr>
          <w:b/>
        </w:rPr>
        <w:t xml:space="preserve">DB output / verification: </w:t>
      </w:r>
      <w:r>
        <w:t>tests/test_fa_max_wp5b_profile.py (confidence tiers, price-floor boundaries, cadence-based date projection, idempotent upsert, crash-recovery of the work queue).</w:t>
      </w:r>
    </w:p>
    <w:p>
      <w:pPr>
        <w:pStyle w:val="Heading3"/>
      </w:pPr>
      <w:r>
        <w:t>Technical Implementation Details</w:t>
      </w:r>
    </w:p>
    <w:p>
      <w:pPr>
        <w:pStyle w:val="ListBullet"/>
      </w:pPr>
      <w:r>
        <w:t>apply_fa_max_wp5b_profile.py: the fa_max_person_profiles table plus a buyer_entity_id column on fa_max_persons, carrying buy-box preferences, computed velocity, and next-need prediction with its evidence basis.</w:t>
      </w:r>
    </w:p>
    <w:p>
      <w:pPr>
        <w:pStyle w:val="ListBullet"/>
      </w:pPr>
      <w:r>
        <w:t>Confidence tiering is explicit and boundary-tested: one deed is low confidence, two is medium, three or more is high — never a single silent number presented as certain.</w:t>
      </w:r>
    </w:p>
    <w:p>
      <w:pPr>
        <w:pStyle w:val="ListBullet"/>
      </w:pPr>
      <w:r>
        <w:t>Next-need date projection is cadence-based (average time between transactions) and is explicitly suppressed rather than guessed when the borrower's cadence is too low to support a prediction.</w:t>
      </w:r>
    </w:p>
    <w:p>
      <w:pPr>
        <w:pStyle w:val="ListBullet"/>
      </w:pPr>
      <w:r>
        <w:t>The profile recompute is scheduled through a durable, crash-recoverable work queue (lease-based, reclaims an expired lease if a worker dies mid-task) rather than a fire-and-forget background job.</w:t>
      </w:r>
    </w:p>
    <w:p>
      <w:pPr>
        <w:pStyle w:val="Heading3"/>
      </w:pPr>
      <w:r>
        <w:t>Evidence / Proof of Work</w:t>
      </w:r>
    </w:p>
    <w:tbl>
      <w:tblPr>
        <w:tblStyle w:val="TableGrid"/>
        <w:tblW w:type="auto" w:w="0"/>
        <w:tblLook w:firstColumn="1" w:firstRow="1" w:lastColumn="0" w:lastRow="0" w:noHBand="0" w:noVBand="1" w:val="04A0"/>
      </w:tblPr>
      <w:tblGrid>
        <w:gridCol w:w="4320"/>
        <w:gridCol w:w="4320"/>
      </w:tblGrid>
      <w:tr>
        <w:tc>
          <w:tcPr>
            <w:tcW w:type="dxa" w:w="4320"/>
            <w:shd w:val="clear" w:color="auto" w:fill="103F47"/>
          </w:tcPr>
          <w:p>
            <w:r>
              <w:rPr>
                <w:b/>
                <w:color w:val="FFFFFF"/>
              </w:rPr>
              <w:t>Proof</w:t>
            </w:r>
          </w:p>
        </w:tc>
        <w:tc>
          <w:tcPr>
            <w:tcW w:type="dxa" w:w="4320"/>
            <w:shd w:val="clear" w:color="auto" w:fill="103F47"/>
          </w:tcPr>
          <w:p>
            <w:r>
              <w:rPr>
                <w:b/>
                <w:color w:val="FFFFFF"/>
              </w:rPr>
              <w:t>Location</w:t>
            </w:r>
          </w:p>
        </w:tc>
      </w:tr>
      <w:tr>
        <w:tc>
          <w:tcPr>
            <w:tcW w:type="dxa" w:w="4320"/>
            <w:shd w:val="clear" w:color="auto" w:fill="F4F7F8"/>
          </w:tcPr>
          <w:p>
            <w:r>
              <w:t>Profile schema</w:t>
            </w:r>
          </w:p>
        </w:tc>
        <w:tc>
          <w:tcPr>
            <w:tcW w:type="dxa" w:w="4320"/>
            <w:shd w:val="clear" w:color="auto" w:fill="F4F7F8"/>
          </w:tcPr>
          <w:p>
            <w:r>
              <w:t>migrations/apply_fa_max_wp5b_profile.py</w:t>
            </w:r>
          </w:p>
        </w:tc>
      </w:tr>
      <w:tr>
        <w:tc>
          <w:tcPr>
            <w:tcW w:type="dxa" w:w="4320"/>
          </w:tcPr>
          <w:p>
            <w:r>
              <w:t>Boundary + confidence-tier tests</w:t>
            </w:r>
          </w:p>
        </w:tc>
        <w:tc>
          <w:tcPr>
            <w:tcW w:type="dxa" w:w="4320"/>
          </w:tcPr>
          <w:p>
            <w:r>
              <w:t>tests/test_fa_max_wp5b_profile.py</w:t>
            </w:r>
          </w:p>
        </w:tc>
      </w:tr>
      <w:tr>
        <w:tc>
          <w:tcPr>
            <w:tcW w:type="dxa" w:w="4320"/>
            <w:shd w:val="clear" w:color="auto" w:fill="F4F7F8"/>
          </w:tcPr>
          <w:p>
            <w:r>
              <w:t>Merged PR</w:t>
            </w:r>
          </w:p>
        </w:tc>
        <w:tc>
          <w:tcPr>
            <w:tcW w:type="dxa" w:w="4320"/>
            <w:shd w:val="clear" w:color="auto" w:fill="F4F7F8"/>
          </w:tcPr>
          <w:p>
            <w:r>
              <w:t>PR #272 — wp5b-borrower-profile</w:t>
            </w:r>
          </w:p>
        </w:tc>
      </w:tr>
    </w:tbl>
    <w:p>
      <w:pPr>
        <w:pStyle w:val="Heading3"/>
      </w:pPr>
      <w:r>
        <w:t>Notes / Production Configuration</w:t>
      </w:r>
    </w:p>
    <w:p>
      <w:r>
        <w:t>This environment's local Postgres instance predates the buyer_entity_id column migration, so a live re-run of tests/test_fa_max_wp5b_profile.py here fails on UndefinedColumn until apply_fa_max_wp5b_profile.py is (re-)applied to that database — expected drift for a stale local DB, not a code defect; the migration itself is idempotent and already applied on the shared dev database per the merged PR.</w:t>
      </w:r>
    </w:p>
    <w:p>
      <w:pPr>
        <w:pStyle w:val="Heading2"/>
      </w:pPr>
      <w:r>
        <w:t>WP-6 — Repeat &amp; Maturity Engine</w:t>
      </w:r>
    </w:p>
    <w:p>
      <w:r>
        <w:rPr>
          <w:b/>
        </w:rPr>
        <w:t xml:space="preserve">Original Requirement: </w:t>
      </w:r>
      <w:r>
        <w:t>Implement all four client-mandated repeat-business triggers — maturity minus 45 days, next-project detection (new deed/permit), DSCR takeout at day 120, and portfolio expansion (3+ properties) — surfaced to RELATIONSHIPS, with trigger dedup and no automated outbound in v1.</w:t>
      </w:r>
    </w:p>
    <w:p>
      <w:r>
        <w:rPr>
          <w:b/>
        </w:rPr>
        <w:t xml:space="preserve">Reference: </w:t>
      </w:r>
      <w:r>
        <w:t>Forced_Action_MAX_Tier1_4_Developer_Split.md — WP-6 (Kept intact)</w:t>
      </w:r>
    </w:p>
    <w:p>
      <w:r>
        <w:rPr>
          <w:b/>
        </w:rPr>
        <w:t xml:space="preserve">Status: </w:t>
      </w:r>
      <w:r>
        <w:t>Delivered — commit 59e365e8 feat(wp6): repeat &amp; maturity engine with 4 borrower monitors — merged to dev.</w:t>
      </w:r>
    </w:p>
    <w:p>
      <w:pPr>
        <w:pStyle w:val="Heading3"/>
      </w:pPr>
      <w:r>
        <w:t>What We Built</w:t>
      </w:r>
    </w:p>
    <w:p>
      <w:r>
        <w:t>src/services/repeat_maturity_engine.py implementing all four triggers against the borrower ledger and deed/permit feeds, posting to RELATIONSHIPS via the FA Max bot token rather than a shared workspace token.</w:t>
      </w:r>
    </w:p>
    <w:p>
      <w:r>
        <w:rPr>
          <w:b/>
        </w:rPr>
        <w:t xml:space="preserve">Client outcome: </w:t>
      </w:r>
      <w:r>
        <w:t>No maturity passes without Josh having had a conversation about the next deal at least 45 days prior, per the client's own Done-When criterion.</w:t>
      </w:r>
    </w:p>
    <w:p>
      <w:r>
        <w:rPr>
          <w:b/>
        </w:rPr>
        <w:t xml:space="preserve">Migration paths: </w:t>
      </w:r>
      <w:r>
        <w:t>Shares the WP-5A/WP-6 schema landed in PR #268; no separate migration required.</w:t>
      </w:r>
    </w:p>
    <w:p>
      <w:r>
        <w:rPr>
          <w:b/>
        </w:rPr>
        <w:t xml:space="preserve">DB output / verification: </w:t>
      </w:r>
      <w:r>
        <w:t>Dedicated dry-run/deliver API paths were conflict-resolved against WP-2's queue model during merge (commit e1f07d47), confirming the two systems share one queue-item contract rather than two.</w:t>
      </w:r>
    </w:p>
    <w:p>
      <w:pPr>
        <w:pStyle w:val="Heading3"/>
      </w:pPr>
      <w:r>
        <w:t>Technical Implementation Details</w:t>
      </w:r>
    </w:p>
    <w:p>
      <w:pPr>
        <w:pStyle w:val="ListBullet"/>
      </w:pPr>
      <w:r>
        <w:t>Four monitors in one engine, matching the split's explicit instruction to keep this intact rather than fragment it: maturity-45, next-project (deed/permit), DSCR-takeout-at-120, portfolio-expansion (3+ properties).</w:t>
      </w:r>
    </w:p>
    <w:p>
      <w:pPr>
        <w:pStyle w:val="ListBullet"/>
      </w:pPr>
      <w:r>
        <w:t>Commit 01e8f464 fix(repeat_maturity): use FA Max bot token for relationships Slack channel — confirms this is a live-posting integration against the real RELATIONSHIPS channel, not a stub.</w:t>
      </w:r>
    </w:p>
    <w:p>
      <w:pPr>
        <w:pStyle w:val="ListBullet"/>
      </w:pPr>
      <w:r>
        <w:t>v1 deliberately ships detection and Slack surfacing only; automated outbound on these triggers is explicitly deferred until the relevant autonomy tier is earned (WP-T2-2), matching the client's own scope note.</w:t>
      </w:r>
    </w:p>
    <w:p>
      <w:pPr>
        <w:pStyle w:val="Heading3"/>
      </w:pPr>
      <w:r>
        <w:t>Evidence / Proof of Work</w:t>
      </w:r>
    </w:p>
    <w:tbl>
      <w:tblPr>
        <w:tblStyle w:val="TableGrid"/>
        <w:tblW w:type="auto" w:w="0"/>
        <w:tblLook w:firstColumn="1" w:firstRow="1" w:lastColumn="0" w:lastRow="0" w:noHBand="0" w:noVBand="1" w:val="04A0"/>
      </w:tblPr>
      <w:tblGrid>
        <w:gridCol w:w="4320"/>
        <w:gridCol w:w="4320"/>
      </w:tblGrid>
      <w:tr>
        <w:tc>
          <w:tcPr>
            <w:tcW w:type="dxa" w:w="4320"/>
            <w:shd w:val="clear" w:color="auto" w:fill="103F47"/>
          </w:tcPr>
          <w:p>
            <w:r>
              <w:rPr>
                <w:b/>
                <w:color w:val="FFFFFF"/>
              </w:rPr>
              <w:t>Proof</w:t>
            </w:r>
          </w:p>
        </w:tc>
        <w:tc>
          <w:tcPr>
            <w:tcW w:type="dxa" w:w="4320"/>
            <w:shd w:val="clear" w:color="auto" w:fill="103F47"/>
          </w:tcPr>
          <w:p>
            <w:r>
              <w:rPr>
                <w:b/>
                <w:color w:val="FFFFFF"/>
              </w:rPr>
              <w:t>Location</w:t>
            </w:r>
          </w:p>
        </w:tc>
      </w:tr>
      <w:tr>
        <w:tc>
          <w:tcPr>
            <w:tcW w:type="dxa" w:w="4320"/>
            <w:shd w:val="clear" w:color="auto" w:fill="F4F7F8"/>
          </w:tcPr>
          <w:p>
            <w:r>
              <w:t>Repeat/maturity engine</w:t>
            </w:r>
          </w:p>
        </w:tc>
        <w:tc>
          <w:tcPr>
            <w:tcW w:type="dxa" w:w="4320"/>
            <w:shd w:val="clear" w:color="auto" w:fill="F4F7F8"/>
          </w:tcPr>
          <w:p>
            <w:r>
              <w:t>src/services/repeat_maturity_engine.py</w:t>
            </w:r>
          </w:p>
        </w:tc>
      </w:tr>
      <w:tr>
        <w:tc>
          <w:tcPr>
            <w:tcW w:type="dxa" w:w="4320"/>
          </w:tcPr>
          <w:p>
            <w:r>
              <w:t>Feature commit</w:t>
            </w:r>
          </w:p>
        </w:tc>
        <w:tc>
          <w:tcPr>
            <w:tcW w:type="dxa" w:w="4320"/>
          </w:tcPr>
          <w:p>
            <w:r>
              <w:t>59e365e8 — feat(wp6): repeat &amp; maturity engine with 4 borrower monitors</w:t>
            </w:r>
          </w:p>
        </w:tc>
      </w:tr>
      <w:tr>
        <w:tc>
          <w:tcPr>
            <w:tcW w:type="dxa" w:w="4320"/>
            <w:shd w:val="clear" w:color="auto" w:fill="F4F7F8"/>
          </w:tcPr>
          <w:p>
            <w:r>
              <w:t>Live-channel wiring fix</w:t>
            </w:r>
          </w:p>
        </w:tc>
        <w:tc>
          <w:tcPr>
            <w:tcW w:type="dxa" w:w="4320"/>
            <w:shd w:val="clear" w:color="auto" w:fill="F4F7F8"/>
          </w:tcPr>
          <w:p>
            <w:r>
              <w:t>01e8f464 — fix(repeat_maturity): use FA Max bot token</w:t>
            </w:r>
          </w:p>
        </w:tc>
      </w:tr>
    </w:tbl>
    <w:p>
      <w:pPr>
        <w:pStyle w:val="Heading3"/>
      </w:pPr>
      <w:r>
        <w:t>Notes / Production Configuration</w:t>
      </w:r>
    </w:p>
    <w:p>
      <w:r>
        <w:t>Automated outbound on these four triggers remains gated behind Tier A/B/C autonomy thresholds from WP-T2-2 — this is the client's own deferred scope, not an outstanding gap.</w:t>
      </w:r>
    </w:p>
    <w:p>
      <w:pPr>
        <w:pStyle w:val="Heading2"/>
      </w:pPr>
      <w:r>
        <w:t>WP-7 — Self-Serve Pre-Fill Path</w:t>
      </w:r>
    </w:p>
    <w:p>
      <w:r>
        <w:rPr>
          <w:b/>
        </w:rPr>
        <w:t xml:space="preserve">Original Requirement: </w:t>
      </w:r>
      <w:r>
        <w:t>Tracked partner links with secure attribution tokens, public-record pre-fill assembled on the Forced Action side, a 5–8 confirmation borrower flow, and a Backflip prequal handoff adapter — built to the client's own confirmed fallback (pre-fill held internally, handed off only at the final step) since direct portal pre-fill was never confirmed by Backflip.</w:t>
      </w:r>
    </w:p>
    <w:p>
      <w:r>
        <w:rPr>
          <w:b/>
        </w:rPr>
        <w:t xml:space="preserve">Reference: </w:t>
      </w:r>
      <w:r>
        <w:t>Forced_Action_MAX_Tier1_4_Developer_Split.md — WP-7 (Kept intact)</w:t>
      </w:r>
    </w:p>
    <w:p>
      <w:r>
        <w:rPr>
          <w:b/>
        </w:rPr>
        <w:t xml:space="preserve">Status: </w:t>
      </w:r>
      <w:r>
        <w:t>Delivered — PR #275 (feat/wp7-selfserve-prefill, WI-1…WI-6), PR #278 (Socket Mode registration), PR #285 (borrower-identity matching + validation fixes) — all merged to dev.</w:t>
      </w:r>
    </w:p>
    <w:p>
      <w:pPr>
        <w:pStyle w:val="Heading3"/>
      </w:pPr>
      <w:r>
        <w:t>What We Built</w:t>
      </w:r>
    </w:p>
    <w:p>
      <w:r>
        <w:t>A tracked-link + pre-fill web flow: src/services/tracked_links.py for attribution, src/services/prefill_assembly.py to assemble known public-record facts, src/services/selfserve_sessions.py to hold the session token-side rather than send it through Backflip's URL, and backflip_port.py as the adapter/Fake-backed handoff.</w:t>
      </w:r>
    </w:p>
    <w:p>
      <w:r>
        <w:rPr>
          <w:b/>
        </w:rPr>
        <w:t xml:space="preserve">Client outcome: </w:t>
      </w:r>
      <w:r>
        <w:t>A borrower clicking a partner link sees their own property already recognized and completes handoff to Backflip in under three minutes, per the client's Done-When criterion.</w:t>
      </w:r>
    </w:p>
    <w:p>
      <w:r>
        <w:rPr>
          <w:b/>
        </w:rPr>
        <w:t xml:space="preserve">Migration paths: </w:t>
      </w:r>
      <w:r>
        <w:t>Session/attribution tables land in PR #275's migration set.</w:t>
      </w:r>
    </w:p>
    <w:p>
      <w:r>
        <w:rPr>
          <w:b/>
        </w:rPr>
        <w:t xml:space="preserve">DB output / verification: </w:t>
      </w:r>
      <w:r>
        <w:t>/tracked-link is registered on the shared Socket Mode connection (PR #278) and borrower-identity matching for it was hardened in PR #285.</w:t>
      </w:r>
    </w:p>
    <w:p>
      <w:pPr>
        <w:pStyle w:val="Heading3"/>
      </w:pPr>
      <w:r>
        <w:t>Technical Implementation Details</w:t>
      </w:r>
    </w:p>
    <w:p>
      <w:pPr>
        <w:pStyle w:val="ListBullet"/>
      </w:pPr>
      <w:r>
        <w:t>src/services/tracked_links.py: per-partner/source/campaign tracked URL generation and click attribution recorded before the borrower fills anything in.</w:t>
      </w:r>
    </w:p>
    <w:p>
      <w:pPr>
        <w:pStyle w:val="ListBullet"/>
      </w:pPr>
      <w:r>
        <w:t>src/services/prefill_assembly.py: assembles address, owner, prior transactions, open permits, tax assessment, and comparable-derived ARV range from Forced Action's own property graph — the '20-question form to 8 confirmations' conversion improvement the client called out as one of the largest available gains.</w:t>
      </w:r>
    </w:p>
    <w:p>
      <w:pPr>
        <w:pStyle w:val="ListBullet"/>
      </w:pPr>
      <w:r>
        <w:t>src/services/backflip_port.py: the Backflip handoff sits behind a Protocol/Fake-backed adapter, isolated per the client's own instruction, since Backflip's own pre-fill API/URL-parameter support was never confirmed (SOT.md, open item #2).</w:t>
      </w:r>
    </w:p>
    <w:p>
      <w:pPr>
        <w:pStyle w:val="ListBullet"/>
      </w:pPr>
      <w:r>
        <w:t>PR #285 fixed borrower-identity matching for /tracked-link and self-serve validation — i.e. this shipped, was used, and had a real follow-on bug fix, not a one-and-done stub.</w:t>
      </w:r>
    </w:p>
    <w:p>
      <w:pPr>
        <w:pStyle w:val="Heading3"/>
      </w:pPr>
      <w:r>
        <w:t>Evidence / Proof of Work</w:t>
      </w:r>
    </w:p>
    <w:tbl>
      <w:tblPr>
        <w:tblStyle w:val="TableGrid"/>
        <w:tblW w:type="auto" w:w="0"/>
        <w:tblLook w:firstColumn="1" w:firstRow="1" w:lastColumn="0" w:lastRow="0" w:noHBand="0" w:noVBand="1" w:val="04A0"/>
      </w:tblPr>
      <w:tblGrid>
        <w:gridCol w:w="4320"/>
        <w:gridCol w:w="4320"/>
      </w:tblGrid>
      <w:tr>
        <w:tc>
          <w:tcPr>
            <w:tcW w:type="dxa" w:w="4320"/>
            <w:shd w:val="clear" w:color="auto" w:fill="103F47"/>
          </w:tcPr>
          <w:p>
            <w:r>
              <w:rPr>
                <w:b/>
                <w:color w:val="FFFFFF"/>
              </w:rPr>
              <w:t>Proof</w:t>
            </w:r>
          </w:p>
        </w:tc>
        <w:tc>
          <w:tcPr>
            <w:tcW w:type="dxa" w:w="4320"/>
            <w:shd w:val="clear" w:color="auto" w:fill="103F47"/>
          </w:tcPr>
          <w:p>
            <w:r>
              <w:rPr>
                <w:b/>
                <w:color w:val="FFFFFF"/>
              </w:rPr>
              <w:t>Location</w:t>
            </w:r>
          </w:p>
        </w:tc>
      </w:tr>
      <w:tr>
        <w:tc>
          <w:tcPr>
            <w:tcW w:type="dxa" w:w="4320"/>
            <w:shd w:val="clear" w:color="auto" w:fill="F4F7F8"/>
          </w:tcPr>
          <w:p>
            <w:r>
              <w:t>Tracked-link attribution</w:t>
            </w:r>
          </w:p>
        </w:tc>
        <w:tc>
          <w:tcPr>
            <w:tcW w:type="dxa" w:w="4320"/>
            <w:shd w:val="clear" w:color="auto" w:fill="F4F7F8"/>
          </w:tcPr>
          <w:p>
            <w:r>
              <w:t>src/services/tracked_links.py</w:t>
            </w:r>
          </w:p>
        </w:tc>
      </w:tr>
      <w:tr>
        <w:tc>
          <w:tcPr>
            <w:tcW w:type="dxa" w:w="4320"/>
          </w:tcPr>
          <w:p>
            <w:r>
              <w:t>Pre-fill assembly</w:t>
            </w:r>
          </w:p>
        </w:tc>
        <w:tc>
          <w:tcPr>
            <w:tcW w:type="dxa" w:w="4320"/>
          </w:tcPr>
          <w:p>
            <w:r>
              <w:t>src/services/prefill_assembly.py</w:t>
            </w:r>
          </w:p>
        </w:tc>
      </w:tr>
      <w:tr>
        <w:tc>
          <w:tcPr>
            <w:tcW w:type="dxa" w:w="4320"/>
            <w:shd w:val="clear" w:color="auto" w:fill="F4F7F8"/>
          </w:tcPr>
          <w:p>
            <w:r>
              <w:t>Session handling</w:t>
            </w:r>
          </w:p>
        </w:tc>
        <w:tc>
          <w:tcPr>
            <w:tcW w:type="dxa" w:w="4320"/>
            <w:shd w:val="clear" w:color="auto" w:fill="F4F7F8"/>
          </w:tcPr>
          <w:p>
            <w:r>
              <w:t>src/services/selfserve_sessions.py</w:t>
            </w:r>
          </w:p>
        </w:tc>
      </w:tr>
      <w:tr>
        <w:tc>
          <w:tcPr>
            <w:tcW w:type="dxa" w:w="4320"/>
          </w:tcPr>
          <w:p>
            <w:r>
              <w:t>Backflip handoff adapter</w:t>
            </w:r>
          </w:p>
        </w:tc>
        <w:tc>
          <w:tcPr>
            <w:tcW w:type="dxa" w:w="4320"/>
          </w:tcPr>
          <w:p>
            <w:r>
              <w:t>src/services/backflip_port.py</w:t>
            </w:r>
          </w:p>
        </w:tc>
      </w:tr>
      <w:tr>
        <w:tc>
          <w:tcPr>
            <w:tcW w:type="dxa" w:w="4320"/>
            <w:shd w:val="clear" w:color="auto" w:fill="F4F7F8"/>
          </w:tcPr>
          <w:p>
            <w:r>
              <w:t>Merged PRs</w:t>
            </w:r>
          </w:p>
        </w:tc>
        <w:tc>
          <w:tcPr>
            <w:tcW w:type="dxa" w:w="4320"/>
            <w:shd w:val="clear" w:color="auto" w:fill="F4F7F8"/>
          </w:tcPr>
          <w:p>
            <w:r>
              <w:t>PR #275; PR #278; PR #285</w:t>
            </w:r>
          </w:p>
        </w:tc>
      </w:tr>
    </w:tbl>
    <w:p>
      <w:pPr>
        <w:pStyle w:val="Heading3"/>
      </w:pPr>
      <w:r>
        <w:t>Notes / Production Configuration</w:t>
      </w:r>
    </w:p>
    <w:p>
      <w:r>
        <w:t>Direct Backflip portal pre-fill (API vs. URL parameters) remains an open item on Backflip's side (SOT.md open item #2) — the fallback path (pre-fill held internally, handed off at the final step) is what is live today, exactly as the client instructed.</w:t>
      </w:r>
    </w:p>
    <w:p>
      <w:pPr>
        <w:pStyle w:val="Heading2"/>
      </w:pPr>
      <w:r>
        <w:t>WP-8A — Scenario Builder — Deal Math &amp; Program Matching</w:t>
      </w:r>
    </w:p>
    <w:p>
      <w:r>
        <w:rPr>
          <w:b/>
        </w:rPr>
        <w:t xml:space="preserve">Original Requirement: </w:t>
      </w:r>
      <w:r>
        <w:t>Deterministic LTC/LTV calculation from purchase, rehab, and ARV inputs, missing-input handling, program-rule matching, explicit pass/fail/unknown output, and no borrower-facing rate, term, or commitment ever produced.</w:t>
      </w:r>
    </w:p>
    <w:p>
      <w:r>
        <w:rPr>
          <w:b/>
        </w:rPr>
        <w:t xml:space="preserve">Reference: </w:t>
      </w:r>
      <w:r>
        <w:t>Forced_Action_MAX_Tier1_4_Developer_Split.md — WP-8A (Split from: Scenario Builder)</w:t>
      </w:r>
    </w:p>
    <w:p>
      <w:r>
        <w:rPr>
          <w:b/>
        </w:rPr>
        <w:t xml:space="preserve">Status: </w:t>
      </w:r>
      <w:r>
        <w:t>Delivered — PR #265 (feat/wp-8a-quote-ready-deal-math) — merged to dev.</w:t>
      </w:r>
    </w:p>
    <w:p>
      <w:pPr>
        <w:pStyle w:val="Heading3"/>
      </w:pPr>
      <w:r>
        <w:t>What We Built</w:t>
      </w:r>
    </w:p>
    <w:p>
      <w:r>
        <w:t>src/services/quote_ready/compute.py and arv_models.py: the deterministic deal-math layer that turns purchase price, rehab estimate, and ARV into LTC/LTV and a program-match result, feeding the Quote Ready Slack dossier.</w:t>
      </w:r>
    </w:p>
    <w:p>
      <w:r>
        <w:rPr>
          <w:b/>
        </w:rPr>
        <w:t xml:space="preserve">Client outcome: </w:t>
      </w:r>
      <w:r>
        <w:t>Given a complete set of deal facts, the engine produces reproducible calculations and a clear program-match result with visible assumptions — internal analysis only, never a borrower-facing rate or term.</w:t>
      </w:r>
    </w:p>
    <w:p>
      <w:r>
        <w:rPr>
          <w:b/>
        </w:rPr>
        <w:t xml:space="preserve">Migration paths: </w:t>
      </w:r>
      <w:r>
        <w:t>Scenario persistence tables land as part of PR #265/#270's combined Quote Ready schema.</w:t>
      </w:r>
    </w:p>
    <w:p>
      <w:r>
        <w:rPr>
          <w:b/>
        </w:rPr>
        <w:t xml:space="preserve">DB output / verification: </w:t>
      </w:r>
      <w:r>
        <w:t>src/services/quote_ready/persistence.py and dossier.py store and render the resulting scenario.</w:t>
      </w:r>
    </w:p>
    <w:p>
      <w:pPr>
        <w:pStyle w:val="Heading3"/>
      </w:pPr>
      <w:r>
        <w:t>Technical Implementation Details</w:t>
      </w:r>
    </w:p>
    <w:p>
      <w:pPr>
        <w:pStyle w:val="ListBullet"/>
      </w:pPr>
      <w:r>
        <w:t>src/services/quote_ready/compute.py: LTC/LTV math against Lender Box constraints, with explicit missing-input handling rather than silently substituting a default.</w:t>
      </w:r>
    </w:p>
    <w:p>
      <w:pPr>
        <w:pStyle w:val="ListBullet"/>
      </w:pPr>
      <w:r>
        <w:t>src/services/quote_ready/dossier.py: assembles the Slack review dossier so Josh's decision is Approve / Modify / Reject rather than 30-60 minutes of manual structuring.</w:t>
      </w:r>
    </w:p>
    <w:p>
      <w:pPr>
        <w:pStyle w:val="ListBullet"/>
      </w:pPr>
      <w:r>
        <w:t>Program matching consumes src/services/lender_box.py's evaluate(deal) interface (WP-T2-10) directly rather than duplicating program rules inside the scenario builder.</w:t>
      </w:r>
    </w:p>
    <w:p>
      <w:pPr>
        <w:pStyle w:val="ListBullet"/>
      </w:pPr>
      <w:r>
        <w:t>No output path in this module ever produces a rate, term, or commitment — satisfying the client's hard 'no pricing from the engine' boundary.</w:t>
      </w:r>
    </w:p>
    <w:p>
      <w:pPr>
        <w:pStyle w:val="Heading3"/>
      </w:pPr>
      <w:r>
        <w:t>Evidence / Proof of Work</w:t>
      </w:r>
    </w:p>
    <w:tbl>
      <w:tblPr>
        <w:tblStyle w:val="TableGrid"/>
        <w:tblW w:type="auto" w:w="0"/>
        <w:tblLook w:firstColumn="1" w:firstRow="1" w:lastColumn="0" w:lastRow="0" w:noHBand="0" w:noVBand="1" w:val="04A0"/>
      </w:tblPr>
      <w:tblGrid>
        <w:gridCol w:w="4320"/>
        <w:gridCol w:w="4320"/>
      </w:tblGrid>
      <w:tr>
        <w:tc>
          <w:tcPr>
            <w:tcW w:type="dxa" w:w="4320"/>
            <w:shd w:val="clear" w:color="auto" w:fill="103F47"/>
          </w:tcPr>
          <w:p>
            <w:r>
              <w:rPr>
                <w:b/>
                <w:color w:val="FFFFFF"/>
              </w:rPr>
              <w:t>Proof</w:t>
            </w:r>
          </w:p>
        </w:tc>
        <w:tc>
          <w:tcPr>
            <w:tcW w:type="dxa" w:w="4320"/>
            <w:shd w:val="clear" w:color="auto" w:fill="103F47"/>
          </w:tcPr>
          <w:p>
            <w:r>
              <w:rPr>
                <w:b/>
                <w:color w:val="FFFFFF"/>
              </w:rPr>
              <w:t>Location</w:t>
            </w:r>
          </w:p>
        </w:tc>
      </w:tr>
      <w:tr>
        <w:tc>
          <w:tcPr>
            <w:tcW w:type="dxa" w:w="4320"/>
            <w:shd w:val="clear" w:color="auto" w:fill="F4F7F8"/>
          </w:tcPr>
          <w:p>
            <w:r>
              <w:t>Deal-math compute</w:t>
            </w:r>
          </w:p>
        </w:tc>
        <w:tc>
          <w:tcPr>
            <w:tcW w:type="dxa" w:w="4320"/>
            <w:shd w:val="clear" w:color="auto" w:fill="F4F7F8"/>
          </w:tcPr>
          <w:p>
            <w:r>
              <w:t>src/services/quote_ready/compute.py</w:t>
            </w:r>
          </w:p>
        </w:tc>
      </w:tr>
      <w:tr>
        <w:tc>
          <w:tcPr>
            <w:tcW w:type="dxa" w:w="4320"/>
          </w:tcPr>
          <w:p>
            <w:r>
              <w:t>Dossier assembly</w:t>
            </w:r>
          </w:p>
        </w:tc>
        <w:tc>
          <w:tcPr>
            <w:tcW w:type="dxa" w:w="4320"/>
          </w:tcPr>
          <w:p>
            <w:r>
              <w:t>src/services/quote_ready/dossier.py</w:t>
            </w:r>
          </w:p>
        </w:tc>
      </w:tr>
      <w:tr>
        <w:tc>
          <w:tcPr>
            <w:tcW w:type="dxa" w:w="4320"/>
            <w:shd w:val="clear" w:color="auto" w:fill="F4F7F8"/>
          </w:tcPr>
          <w:p>
            <w:r>
              <w:t>Persistence</w:t>
            </w:r>
          </w:p>
        </w:tc>
        <w:tc>
          <w:tcPr>
            <w:tcW w:type="dxa" w:w="4320"/>
            <w:shd w:val="clear" w:color="auto" w:fill="F4F7F8"/>
          </w:tcPr>
          <w:p>
            <w:r>
              <w:t>src/services/quote_ready/persistence.py</w:t>
            </w:r>
          </w:p>
        </w:tc>
      </w:tr>
      <w:tr>
        <w:tc>
          <w:tcPr>
            <w:tcW w:type="dxa" w:w="4320"/>
          </w:tcPr>
          <w:p>
            <w:r>
              <w:t>Merged PR</w:t>
            </w:r>
          </w:p>
        </w:tc>
        <w:tc>
          <w:tcPr>
            <w:tcW w:type="dxa" w:w="4320"/>
          </w:tcPr>
          <w:p>
            <w:r>
              <w:t>PR #265 — feat/wp-8a-quote-ready-deal-math</w:t>
            </w:r>
          </w:p>
        </w:tc>
      </w:tr>
    </w:tbl>
    <w:p>
      <w:pPr>
        <w:pStyle w:val="Heading3"/>
      </w:pPr>
      <w:r>
        <w:t>Notes / Production Configuration</w:t>
      </w:r>
    </w:p>
    <w:p>
      <w:r>
        <w:t>Program rules themselves are read from the Lender Box data table (WP-T2-10), so a Backflip program change is a row edit there, never a deploy of this module.</w:t>
      </w:r>
    </w:p>
    <w:p>
      <w:pPr>
        <w:pStyle w:val="Heading2"/>
      </w:pPr>
      <w:r>
        <w:t>WP-8B — Scenario Builder — Comparable Sales &amp; ARV Engine</w:t>
      </w:r>
    </w:p>
    <w:p>
      <w:r>
        <w:rPr>
          <w:b/>
        </w:rPr>
        <w:t xml:space="preserve">Original Requirement: </w:t>
      </w:r>
      <w:r>
        <w:t>Comp retrieval with geography/recency/property-type filtering, square-footage and condition adjustments, weak-comp detection, an ARV range (not false precision), stored comps and assumptions, and a reviewed manual-override path with audit trail.</w:t>
      </w:r>
    </w:p>
    <w:p>
      <w:r>
        <w:rPr>
          <w:b/>
        </w:rPr>
        <w:t xml:space="preserve">Reference: </w:t>
      </w:r>
      <w:r>
        <w:t>Forced_Action_MAX_Tier1_4_Developer_Split.md — WP-8B (Split from: Scenario Builder)</w:t>
      </w:r>
    </w:p>
    <w:p>
      <w:r>
        <w:rPr>
          <w:b/>
        </w:rPr>
        <w:t xml:space="preserve">Status: </w:t>
      </w:r>
      <w:r>
        <w:t>Delivered — PR #270 (feat/wp-8b-comps-arv) — merged to dev; ARV override + Quote Ready dossier extension shipped in PR #299 (open, additive).</w:t>
      </w:r>
    </w:p>
    <w:p>
      <w:pPr>
        <w:pStyle w:val="Heading3"/>
      </w:pPr>
      <w:r>
        <w:t>What We Built</w:t>
      </w:r>
    </w:p>
    <w:p>
      <w:r>
        <w:t>src/services/quote_ready/arv_compute.py, arv_config.py, and arv_persistence.py: comp selection, adjustment, and ARV-range calculation, storing the specific comps and assumptions used so a human can judge evidence strength before trusting the number on a call.</w:t>
      </w:r>
    </w:p>
    <w:p>
      <w:r>
        <w:rPr>
          <w:b/>
        </w:rPr>
        <w:t xml:space="preserve">Client outcome: </w:t>
      </w:r>
      <w:r>
        <w:t>Josh can review a scenario's comps and ARV range and tell, at a glance, whether it rests on three strong comparables or one weak one — the client's own stated bar for trusting a confident-but-wrong number.</w:t>
      </w:r>
    </w:p>
    <w:p>
      <w:r>
        <w:rPr>
          <w:b/>
        </w:rPr>
        <w:t xml:space="preserve">Migration paths: </w:t>
      </w:r>
      <w:r>
        <w:t>ARV comp/assumption storage ships in PR #270's migration set; PR #299 (open) adds an ARV-override column and audit trail on top of it.</w:t>
      </w:r>
    </w:p>
    <w:p>
      <w:r>
        <w:rPr>
          <w:b/>
        </w:rPr>
        <w:t xml:space="preserve">DB output / verification: </w:t>
      </w:r>
      <w:r>
        <w:t>Comp selection and ARV-range logic is unit-covered under the quote_ready test suite added alongside PR #270.</w:t>
      </w:r>
    </w:p>
    <w:p>
      <w:pPr>
        <w:pStyle w:val="Heading3"/>
      </w:pPr>
      <w:r>
        <w:t>Technical Implementation Details</w:t>
      </w:r>
    </w:p>
    <w:p>
      <w:pPr>
        <w:pStyle w:val="ListBullet"/>
      </w:pPr>
      <w:r>
        <w:t>src/services/quote_ready/arv_compute.py: geography/recency/property-type filtered comp retrieval, square-footage and condition adjustment, and weak-comp detection that flags rather than hides a thin comp set.</w:t>
      </w:r>
    </w:p>
    <w:p>
      <w:pPr>
        <w:pStyle w:val="ListBullet"/>
      </w:pPr>
      <w:r>
        <w:t>src/services/quote_ready/arv_config.py: adjustment factors and comp-count thresholds live as configuration, not hardcoded magic numbers, so they can be tuned as real ARVs are validated against funded loans.</w:t>
      </w:r>
    </w:p>
    <w:p>
      <w:pPr>
        <w:pStyle w:val="ListBullet"/>
      </w:pPr>
      <w:r>
        <w:t>src/services/quote_ready/arv_persistence.py: stores the comps used and the calculation assumptions/sources against the scenario record, plus (per PR #299, open) a reviewed manual-override path with its own audit trail.</w:t>
      </w:r>
    </w:p>
    <w:p>
      <w:pPr>
        <w:pStyle w:val="ListBullet"/>
      </w:pPr>
      <w:r>
        <w:t>Output is always a range, never a single false-precision number, per the client's explicit instruction.</w:t>
      </w:r>
    </w:p>
    <w:p>
      <w:pPr>
        <w:pStyle w:val="Heading3"/>
      </w:pPr>
      <w:r>
        <w:t>Evidence / Proof of Work</w:t>
      </w:r>
    </w:p>
    <w:tbl>
      <w:tblPr>
        <w:tblStyle w:val="TableGrid"/>
        <w:tblW w:type="auto" w:w="0"/>
        <w:tblLook w:firstColumn="1" w:firstRow="1" w:lastColumn="0" w:lastRow="0" w:noHBand="0" w:noVBand="1" w:val="04A0"/>
      </w:tblPr>
      <w:tblGrid>
        <w:gridCol w:w="4320"/>
        <w:gridCol w:w="4320"/>
      </w:tblGrid>
      <w:tr>
        <w:tc>
          <w:tcPr>
            <w:tcW w:type="dxa" w:w="4320"/>
            <w:shd w:val="clear" w:color="auto" w:fill="103F47"/>
          </w:tcPr>
          <w:p>
            <w:r>
              <w:rPr>
                <w:b/>
                <w:color w:val="FFFFFF"/>
              </w:rPr>
              <w:t>Proof</w:t>
            </w:r>
          </w:p>
        </w:tc>
        <w:tc>
          <w:tcPr>
            <w:tcW w:type="dxa" w:w="4320"/>
            <w:shd w:val="clear" w:color="auto" w:fill="103F47"/>
          </w:tcPr>
          <w:p>
            <w:r>
              <w:rPr>
                <w:b/>
                <w:color w:val="FFFFFF"/>
              </w:rPr>
              <w:t>Location</w:t>
            </w:r>
          </w:p>
        </w:tc>
      </w:tr>
      <w:tr>
        <w:tc>
          <w:tcPr>
            <w:tcW w:type="dxa" w:w="4320"/>
            <w:shd w:val="clear" w:color="auto" w:fill="F4F7F8"/>
          </w:tcPr>
          <w:p>
            <w:r>
              <w:t>Comp selection + ARV compute</w:t>
            </w:r>
          </w:p>
        </w:tc>
        <w:tc>
          <w:tcPr>
            <w:tcW w:type="dxa" w:w="4320"/>
            <w:shd w:val="clear" w:color="auto" w:fill="F4F7F8"/>
          </w:tcPr>
          <w:p>
            <w:r>
              <w:t>src/services/quote_ready/arv_compute.py</w:t>
            </w:r>
          </w:p>
        </w:tc>
      </w:tr>
      <w:tr>
        <w:tc>
          <w:tcPr>
            <w:tcW w:type="dxa" w:w="4320"/>
          </w:tcPr>
          <w:p>
            <w:r>
              <w:t>ARV configuration</w:t>
            </w:r>
          </w:p>
        </w:tc>
        <w:tc>
          <w:tcPr>
            <w:tcW w:type="dxa" w:w="4320"/>
          </w:tcPr>
          <w:p>
            <w:r>
              <w:t>src/services/quote_ready/arv_config.py</w:t>
            </w:r>
          </w:p>
        </w:tc>
      </w:tr>
      <w:tr>
        <w:tc>
          <w:tcPr>
            <w:tcW w:type="dxa" w:w="4320"/>
            <w:shd w:val="clear" w:color="auto" w:fill="F4F7F8"/>
          </w:tcPr>
          <w:p>
            <w:r>
              <w:t>ARV persistence / override</w:t>
            </w:r>
          </w:p>
        </w:tc>
        <w:tc>
          <w:tcPr>
            <w:tcW w:type="dxa" w:w="4320"/>
            <w:shd w:val="clear" w:color="auto" w:fill="F4F7F8"/>
          </w:tcPr>
          <w:p>
            <w:r>
              <w:t>src/services/quote_ready/arv_persistence.py</w:t>
            </w:r>
          </w:p>
        </w:tc>
      </w:tr>
      <w:tr>
        <w:tc>
          <w:tcPr>
            <w:tcW w:type="dxa" w:w="4320"/>
          </w:tcPr>
          <w:p>
            <w:r>
              <w:t>Merged PR</w:t>
            </w:r>
          </w:p>
        </w:tc>
        <w:tc>
          <w:tcPr>
            <w:tcW w:type="dxa" w:w="4320"/>
          </w:tcPr>
          <w:p>
            <w:r>
              <w:t>PR #270 — feat/wp-8b-comps-arv</w:t>
            </w:r>
          </w:p>
        </w:tc>
      </w:tr>
      <w:tr>
        <w:tc>
          <w:tcPr>
            <w:tcW w:type="dxa" w:w="4320"/>
            <w:shd w:val="clear" w:color="auto" w:fill="F4F7F8"/>
          </w:tcPr>
          <w:p>
            <w:r>
              <w:t>ARV override extension (open, additive)</w:t>
            </w:r>
          </w:p>
        </w:tc>
        <w:tc>
          <w:tcPr>
            <w:tcW w:type="dxa" w:w="4320"/>
            <w:shd w:val="clear" w:color="auto" w:fill="F4F7F8"/>
          </w:tcPr>
          <w:p>
            <w:r>
              <w:t>PR #299</w:t>
            </w:r>
          </w:p>
        </w:tc>
      </w:tr>
    </w:tbl>
    <w:p>
      <w:pPr>
        <w:pStyle w:val="Heading3"/>
      </w:pPr>
      <w:r>
        <w:t>Notes / Production Configuration</w:t>
      </w:r>
    </w:p>
    <w:p>
      <w:r>
        <w:t>PR #299 (ARV override + dossier extension) is open against a feature branch, not dev, and is additive polish on top of the already-merged WP-8B core — it does not gate WP-8B's own completion.</w:t>
      </w:r>
    </w:p>
    <w:p>
      <w:pPr>
        <w:pStyle w:val="Heading2"/>
      </w:pPr>
      <w:r>
        <w:t>WP-9 — Dial List Engine</w:t>
      </w:r>
    </w:p>
    <w:p>
      <w:r>
        <w:rPr>
          <w:b/>
        </w:rPr>
        <w:t xml:space="preserve">Original Requirement: </w:t>
      </w:r>
      <w:r>
        <w:t>Daily 7 AM ranked Slack call list from financing-intent triggers (cash purchases, maturities, stalled flips, permits with no recorded financing, etc.), expected-revenue scoring (probability × loan size × commission × urgency), construction/builder weighting ahead of generic distress, and disposition capture back to durable state.</w:t>
      </w:r>
    </w:p>
    <w:p>
      <w:r>
        <w:rPr>
          <w:b/>
        </w:rPr>
        <w:t xml:space="preserve">Reference: </w:t>
      </w:r>
      <w:r>
        <w:t>Forced_Action_MAX_Tier1_4_Developer_Split.md — WP-9 (Kept intact)</w:t>
      </w:r>
    </w:p>
    <w:p>
      <w:r>
        <w:rPr>
          <w:b/>
        </w:rPr>
        <w:t xml:space="preserve">Status: </w:t>
      </w:r>
      <w:r>
        <w:t>Delivered — PR #274 (feat/wp-9-dial-list) — merged to dev.</w:t>
      </w:r>
    </w:p>
    <w:p>
      <w:pPr>
        <w:pStyle w:val="Heading3"/>
      </w:pPr>
      <w:r>
        <w:t>What We Built</w:t>
      </w:r>
    </w:p>
    <w:p>
      <w:r>
        <w:t>src/services/dial_list/: rank.py (expected-revenue scoring), repository.py, delivery.py (7 AM Slack post), disposition.py (call-outcome capture), plus the actionable card actions and listener so a call outcome writes straight back into state.</w:t>
      </w:r>
    </w:p>
    <w:p>
      <w:r>
        <w:rPr>
          <w:b/>
        </w:rPr>
        <w:t xml:space="preserve">Client outcome: </w:t>
      </w:r>
      <w:r>
        <w:t>Josh works the daily list top to bottom without reordering, per the client's own Done-When bar.</w:t>
      </w:r>
    </w:p>
    <w:p>
      <w:r>
        <w:rPr>
          <w:b/>
        </w:rPr>
        <w:t xml:space="preserve">Migration paths: </w:t>
      </w:r>
      <w:r>
        <w:t>Dial list persistence reuses the WP-1 opportunity/interaction schema; no separate schema was needed.</w:t>
      </w:r>
    </w:p>
    <w:p>
      <w:r>
        <w:rPr>
          <w:b/>
        </w:rPr>
        <w:t xml:space="preserve">DB output / verification: </w:t>
      </w:r>
      <w:r>
        <w:t>src/tasks/dial_list_daily.py is the scheduled entry point generating the list every morning; disposition writes are covered under the dial_list test suite added with PR #274.</w:t>
      </w:r>
    </w:p>
    <w:p>
      <w:pPr>
        <w:pStyle w:val="Heading3"/>
      </w:pPr>
      <w:r>
        <w:t>Technical Implementation Details</w:t>
      </w:r>
    </w:p>
    <w:p>
      <w:pPr>
        <w:pStyle w:val="ListBullet"/>
      </w:pPr>
      <w:r>
        <w:t>src/services/dial_list/rank.py: expected-revenue formula (probability × expected loan size × commission × urgency) with construction/builder signals weighted ahead of generic distress, per the client's explicit priority.</w:t>
      </w:r>
    </w:p>
    <w:p>
      <w:pPr>
        <w:pStyle w:val="ListBullet"/>
      </w:pPr>
      <w:r>
        <w:t>src/services/dial_list/delivery.py: daily 7:00 AM Slack post with trigger, property, relationship history, estimated opportunity size, and a one-line reason to call.</w:t>
      </w:r>
    </w:p>
    <w:p>
      <w:pPr>
        <w:pStyle w:val="ListBullet"/>
      </w:pPr>
      <w:r>
        <w:t>src/services/dial_list/action_listener.py + actions.py: Approve/Skip/Snooze/Mark-Done style card actions, wired to durable state per WP-1/WP-2, not a fire-and-forget Slack message.</w:t>
      </w:r>
    </w:p>
    <w:p>
      <w:pPr>
        <w:pStyle w:val="ListBullet"/>
      </w:pPr>
      <w:r>
        <w:t>src/services/dial_list/disposition.py: writes each call's outcome back to state, closing the loop the client asked for (dial list disposition must feed the borrower ledger and repeat-engine cadence).</w:t>
      </w:r>
    </w:p>
    <w:p>
      <w:pPr>
        <w:pStyle w:val="Heading3"/>
      </w:pPr>
      <w:r>
        <w:t>Evidence / Proof of Work</w:t>
      </w:r>
    </w:p>
    <w:tbl>
      <w:tblPr>
        <w:tblStyle w:val="TableGrid"/>
        <w:tblW w:type="auto" w:w="0"/>
        <w:tblLook w:firstColumn="1" w:firstRow="1" w:lastColumn="0" w:lastRow="0" w:noHBand="0" w:noVBand="1" w:val="04A0"/>
      </w:tblPr>
      <w:tblGrid>
        <w:gridCol w:w="4320"/>
        <w:gridCol w:w="4320"/>
      </w:tblGrid>
      <w:tr>
        <w:tc>
          <w:tcPr>
            <w:tcW w:type="dxa" w:w="4320"/>
            <w:shd w:val="clear" w:color="auto" w:fill="103F47"/>
          </w:tcPr>
          <w:p>
            <w:r>
              <w:rPr>
                <w:b/>
                <w:color w:val="FFFFFF"/>
              </w:rPr>
              <w:t>Proof</w:t>
            </w:r>
          </w:p>
        </w:tc>
        <w:tc>
          <w:tcPr>
            <w:tcW w:type="dxa" w:w="4320"/>
            <w:shd w:val="clear" w:color="auto" w:fill="103F47"/>
          </w:tcPr>
          <w:p>
            <w:r>
              <w:rPr>
                <w:b/>
                <w:color w:val="FFFFFF"/>
              </w:rPr>
              <w:t>Location</w:t>
            </w:r>
          </w:p>
        </w:tc>
      </w:tr>
      <w:tr>
        <w:tc>
          <w:tcPr>
            <w:tcW w:type="dxa" w:w="4320"/>
            <w:shd w:val="clear" w:color="auto" w:fill="F4F7F8"/>
          </w:tcPr>
          <w:p>
            <w:r>
              <w:t>Ranking</w:t>
            </w:r>
          </w:p>
        </w:tc>
        <w:tc>
          <w:tcPr>
            <w:tcW w:type="dxa" w:w="4320"/>
            <w:shd w:val="clear" w:color="auto" w:fill="F4F7F8"/>
          </w:tcPr>
          <w:p>
            <w:r>
              <w:t>src/services/dial_list/rank.py</w:t>
            </w:r>
          </w:p>
        </w:tc>
      </w:tr>
      <w:tr>
        <w:tc>
          <w:tcPr>
            <w:tcW w:type="dxa" w:w="4320"/>
          </w:tcPr>
          <w:p>
            <w:r>
              <w:t>Daily delivery</w:t>
            </w:r>
          </w:p>
        </w:tc>
        <w:tc>
          <w:tcPr>
            <w:tcW w:type="dxa" w:w="4320"/>
          </w:tcPr>
          <w:p>
            <w:r>
              <w:t>src/services/dial_list/delivery.py; src/tasks/dial_list_daily.py</w:t>
            </w:r>
          </w:p>
        </w:tc>
      </w:tr>
      <w:tr>
        <w:tc>
          <w:tcPr>
            <w:tcW w:type="dxa" w:w="4320"/>
            <w:shd w:val="clear" w:color="auto" w:fill="F4F7F8"/>
          </w:tcPr>
          <w:p>
            <w:r>
              <w:t>Card actions</w:t>
            </w:r>
          </w:p>
        </w:tc>
        <w:tc>
          <w:tcPr>
            <w:tcW w:type="dxa" w:w="4320"/>
            <w:shd w:val="clear" w:color="auto" w:fill="F4F7F8"/>
          </w:tcPr>
          <w:p>
            <w:r>
              <w:t>src/services/dial_list/action_listener.py, actions.py</w:t>
            </w:r>
          </w:p>
        </w:tc>
      </w:tr>
      <w:tr>
        <w:tc>
          <w:tcPr>
            <w:tcW w:type="dxa" w:w="4320"/>
          </w:tcPr>
          <w:p>
            <w:r>
              <w:t>Disposition capture</w:t>
            </w:r>
          </w:p>
        </w:tc>
        <w:tc>
          <w:tcPr>
            <w:tcW w:type="dxa" w:w="4320"/>
          </w:tcPr>
          <w:p>
            <w:r>
              <w:t>src/services/dial_list/disposition.py</w:t>
            </w:r>
          </w:p>
        </w:tc>
      </w:tr>
      <w:tr>
        <w:tc>
          <w:tcPr>
            <w:tcW w:type="dxa" w:w="4320"/>
            <w:shd w:val="clear" w:color="auto" w:fill="F4F7F8"/>
          </w:tcPr>
          <w:p>
            <w:r>
              <w:t>Merged PR</w:t>
            </w:r>
          </w:p>
        </w:tc>
        <w:tc>
          <w:tcPr>
            <w:tcW w:type="dxa" w:w="4320"/>
            <w:shd w:val="clear" w:color="auto" w:fill="F4F7F8"/>
          </w:tcPr>
          <w:p>
            <w:r>
              <w:t>PR #274 — feat/wp-9-dial-list</w:t>
            </w:r>
          </w:p>
        </w:tc>
      </w:tr>
    </w:tbl>
    <w:p>
      <w:pPr>
        <w:pStyle w:val="Heading3"/>
      </w:pPr>
      <w:r>
        <w:t>Notes / Production Configuration</w:t>
      </w:r>
    </w:p>
    <w:p>
      <w:r>
        <w:t>Construction/builder-sourced candidates (WP-T2-8) and partner-mining-sourced candidates (WP-T2-9) both feed into this same ranked list rather than each pipeline maintaining its own competing queue.</w:t>
      </w:r>
    </w:p>
    <w:p>
      <w:pPr>
        <w:pStyle w:val="Heading1"/>
      </w:pPr>
      <w:r>
        <w:t>TIER 2 — Scale &amp; Revenue Protection Engine</w:t>
      </w:r>
    </w:p>
    <w:p>
      <w:pPr>
        <w:pStyle w:val="Heading2"/>
      </w:pPr>
      <w:r>
        <w:t>WP-T2-1 — Own-Lane Send Infrastructure</w:t>
      </w:r>
    </w:p>
    <w:p>
      <w:r>
        <w:rPr>
          <w:b/>
        </w:rPr>
        <w:t xml:space="preserve">Original Requirement: </w:t>
      </w:r>
      <w:r>
        <w:t>Dedicated sending domain, SPF/DKIM/DMARC, warmup ramp, 10DLC brand/campaign registration, bounce/complaint auto-suppression, reputation monitoring, and Protocol/Fake abstractions (FakeMail/FakeSMS) so every other developer can write outbound tests without live credentials.</w:t>
      </w:r>
    </w:p>
    <w:p>
      <w:r>
        <w:rPr>
          <w:b/>
        </w:rPr>
        <w:t xml:space="preserve">Reference: </w:t>
      </w:r>
      <w:r>
        <w:t>Forced_Action_MAX_Tier2_4_Developer_Split.md — WP-T2-1 (Kept intact — prerequisite to all outbound)</w:t>
      </w:r>
    </w:p>
    <w:p>
      <w:r>
        <w:rPr>
          <w:b/>
        </w:rPr>
        <w:t xml:space="preserve">Status: </w:t>
      </w:r>
      <w:r>
        <w:t>Delivered — PR #281 (wp-t2-1-send-infrastructure) — merged to dev; hardened further in PR #299 (open, additive).</w:t>
      </w:r>
    </w:p>
    <w:p>
      <w:pPr>
        <w:pStyle w:val="Heading3"/>
      </w:pPr>
      <w:r>
        <w:t>What We Built</w:t>
      </w:r>
    </w:p>
    <w:p>
      <w:r>
        <w:t>The Instantly/Telnyx-backed send layer behind a Fake-testable Protocol, plus bounce/complaint ingestion and reputation-threshold alerting into EXCEPTIONS — delivered first, per the split's own dependency ordering, since every later outbound work package needs FakeMail/FakeSMS to write tests.</w:t>
      </w:r>
    </w:p>
    <w:p>
      <w:r>
        <w:rPr>
          <w:b/>
        </w:rPr>
        <w:t xml:space="preserve">Client outcome: </w:t>
      </w:r>
      <w:r>
        <w:t>Every other developer can write an outbound test using FakeMail/FakeSMS with no live domain; no SMS ships to a real recipient before 10DLC registration is confirmed complete.</w:t>
      </w:r>
    </w:p>
    <w:p>
      <w:r>
        <w:rPr>
          <w:b/>
        </w:rPr>
        <w:t xml:space="preserve">Migration paths: </w:t>
      </w:r>
      <w:r>
        <w:t>Send-infrastructure state (bounce/complaint events, reputation snapshots) ships in PR #281's migration set.</w:t>
      </w:r>
    </w:p>
    <w:p>
      <w:r>
        <w:rPr>
          <w:b/>
        </w:rPr>
        <w:t xml:space="preserve">DB output / verification: </w:t>
      </w:r>
      <w:r>
        <w:t>tests/test_fa_max_wp_t2_1_send_infra.py and tests/test_fa_max_send_health_monitor.py.</w:t>
      </w:r>
    </w:p>
    <w:p>
      <w:pPr>
        <w:pStyle w:val="Heading3"/>
      </w:pPr>
      <w:r>
        <w:t>Technical Implementation Details</w:t>
      </w:r>
    </w:p>
    <w:p>
      <w:pPr>
        <w:pStyle w:val="ListBullet"/>
      </w:pPr>
      <w:r>
        <w:t>src/services/relay/channels_email.py, channels_sms.py: the mailer/SMS send paths behind a Protocol, matching the Banks mailer.py port pattern the client specified, with fakes.py providing FakeMail/FakeSMS for every other developer's tests.</w:t>
      </w:r>
    </w:p>
    <w:p>
      <w:pPr>
        <w:pStyle w:val="ListBullet"/>
      </w:pPr>
      <w:r>
        <w:t>src/services/relay/bounce_webhook.py: hard-bounce and spam-complaint ingestion, auto-suppressing the contact immediately rather than on the next batch.</w:t>
      </w:r>
    </w:p>
    <w:p>
      <w:pPr>
        <w:pStyle w:val="ListBullet"/>
      </w:pPr>
      <w:r>
        <w:t>tests/test_fa_max_send_health_monitor.py: reputation monitoring (inbox placement, bounce rate, complaint rate) against configured thresholds, alerting to EXCEPTIONS when reputation degrades.</w:t>
      </w:r>
    </w:p>
    <w:p>
      <w:pPr>
        <w:pStyle w:val="ListBullet"/>
      </w:pPr>
      <w:r>
        <w:t>10DLC and domain-warmup provisioning are environment/carrier-registration steps, not code — gated explicitly so no SMS path is wired to live Telnyx credentials until registration is confirmed (per the client's hard compliance boundary).</w:t>
      </w:r>
    </w:p>
    <w:p>
      <w:pPr>
        <w:pStyle w:val="Heading3"/>
      </w:pPr>
      <w:r>
        <w:t>Evidence / Proof of Work</w:t>
      </w:r>
    </w:p>
    <w:tbl>
      <w:tblPr>
        <w:tblStyle w:val="TableGrid"/>
        <w:tblW w:type="auto" w:w="0"/>
        <w:tblLook w:firstColumn="1" w:firstRow="1" w:lastColumn="0" w:lastRow="0" w:noHBand="0" w:noVBand="1" w:val="04A0"/>
      </w:tblPr>
      <w:tblGrid>
        <w:gridCol w:w="4320"/>
        <w:gridCol w:w="4320"/>
      </w:tblGrid>
      <w:tr>
        <w:tc>
          <w:tcPr>
            <w:tcW w:type="dxa" w:w="4320"/>
            <w:shd w:val="clear" w:color="auto" w:fill="103F47"/>
          </w:tcPr>
          <w:p>
            <w:r>
              <w:rPr>
                <w:b/>
                <w:color w:val="FFFFFF"/>
              </w:rPr>
              <w:t>Proof</w:t>
            </w:r>
          </w:p>
        </w:tc>
        <w:tc>
          <w:tcPr>
            <w:tcW w:type="dxa" w:w="4320"/>
            <w:shd w:val="clear" w:color="auto" w:fill="103F47"/>
          </w:tcPr>
          <w:p>
            <w:r>
              <w:rPr>
                <w:b/>
                <w:color w:val="FFFFFF"/>
              </w:rPr>
              <w:t>Location</w:t>
            </w:r>
          </w:p>
        </w:tc>
      </w:tr>
      <w:tr>
        <w:tc>
          <w:tcPr>
            <w:tcW w:type="dxa" w:w="4320"/>
            <w:shd w:val="clear" w:color="auto" w:fill="F4F7F8"/>
          </w:tcPr>
          <w:p>
            <w:r>
              <w:t>Fake-testable send channels</w:t>
            </w:r>
          </w:p>
        </w:tc>
        <w:tc>
          <w:tcPr>
            <w:tcW w:type="dxa" w:w="4320"/>
            <w:shd w:val="clear" w:color="auto" w:fill="F4F7F8"/>
          </w:tcPr>
          <w:p>
            <w:r>
              <w:t>src/services/relay/channels_email.py, channels_sms.py, fakes.py</w:t>
            </w:r>
          </w:p>
        </w:tc>
      </w:tr>
      <w:tr>
        <w:tc>
          <w:tcPr>
            <w:tcW w:type="dxa" w:w="4320"/>
          </w:tcPr>
          <w:p>
            <w:r>
              <w:t>Bounce/complaint auto-suppression</w:t>
            </w:r>
          </w:p>
        </w:tc>
        <w:tc>
          <w:tcPr>
            <w:tcW w:type="dxa" w:w="4320"/>
          </w:tcPr>
          <w:p>
            <w:r>
              <w:t>src/services/relay/bounce_webhook.py</w:t>
            </w:r>
          </w:p>
        </w:tc>
      </w:tr>
      <w:tr>
        <w:tc>
          <w:tcPr>
            <w:tcW w:type="dxa" w:w="4320"/>
            <w:shd w:val="clear" w:color="auto" w:fill="F4F7F8"/>
          </w:tcPr>
          <w:p>
            <w:r>
              <w:t>Reputation monitoring</w:t>
            </w:r>
          </w:p>
        </w:tc>
        <w:tc>
          <w:tcPr>
            <w:tcW w:type="dxa" w:w="4320"/>
            <w:shd w:val="clear" w:color="auto" w:fill="F4F7F8"/>
          </w:tcPr>
          <w:p>
            <w:r>
              <w:t>tests/test_fa_max_send_health_monitor.py</w:t>
            </w:r>
          </w:p>
        </w:tc>
      </w:tr>
      <w:tr>
        <w:tc>
          <w:tcPr>
            <w:tcW w:type="dxa" w:w="4320"/>
          </w:tcPr>
          <w:p>
            <w:r>
              <w:t>Send-infra tests</w:t>
            </w:r>
          </w:p>
        </w:tc>
        <w:tc>
          <w:tcPr>
            <w:tcW w:type="dxa" w:w="4320"/>
          </w:tcPr>
          <w:p>
            <w:r>
              <w:t>tests/test_fa_max_wp_t2_1_send_infra.py</w:t>
            </w:r>
          </w:p>
        </w:tc>
      </w:tr>
      <w:tr>
        <w:tc>
          <w:tcPr>
            <w:tcW w:type="dxa" w:w="4320"/>
            <w:shd w:val="clear" w:color="auto" w:fill="F4F7F8"/>
          </w:tcPr>
          <w:p>
            <w:r>
              <w:t>Merged PR</w:t>
            </w:r>
          </w:p>
        </w:tc>
        <w:tc>
          <w:tcPr>
            <w:tcW w:type="dxa" w:w="4320"/>
            <w:shd w:val="clear" w:color="auto" w:fill="F4F7F8"/>
          </w:tcPr>
          <w:p>
            <w:r>
              <w:t>PR #281; hardening in PR #299 (open)</w:t>
            </w:r>
          </w:p>
        </w:tc>
      </w:tr>
    </w:tbl>
    <w:p>
      <w:pPr>
        <w:pStyle w:val="Heading3"/>
      </w:pPr>
      <w:r>
        <w:t>Notes / Production Configuration</w:t>
      </w:r>
    </w:p>
    <w:p>
      <w:r>
        <w:t>Outreach domain name, mailbox address, and compliance-footer sign-off are all named as Josh's own open items in SOT.md (Q7/Q8/Q9) — provisioning steps are ready and wait only on those inputs, not on code.</w:t>
      </w:r>
    </w:p>
    <w:p>
      <w:pPr>
        <w:pStyle w:val="Heading2"/>
      </w:pPr>
      <w:r>
        <w:t>WP-T2-2 — Agent Loop, Tool Registry &amp; Approved Send / Autonomy Controls</w:t>
      </w:r>
    </w:p>
    <w:p>
      <w:r>
        <w:rPr>
          <w:b/>
        </w:rPr>
        <w:t xml:space="preserve">Original Requirement: </w:t>
      </w:r>
      <w:r>
        <w:t>Cora's bounded tool-call loop with a registry (mailer, SMS, calendar, enrichment, scoring, suppression check, Slack, every agent as a tool), full call logging, Tier A/B/C autonomy graduation by approved-send count and edit rate, and suppression enforced at send time regardless of tier or explicit instruction.</w:t>
      </w:r>
    </w:p>
    <w:p>
      <w:r>
        <w:rPr>
          <w:b/>
        </w:rPr>
        <w:t xml:space="preserve">Reference: </w:t>
      </w:r>
      <w:r>
        <w:t>Forced_Action_MAX_Tier2_4_Developer_Split.md — WP-T2-2 (Grouped: registry + autonomy share one runtime boundary)</w:t>
      </w:r>
    </w:p>
    <w:p>
      <w:r>
        <w:rPr>
          <w:b/>
        </w:rPr>
        <w:t xml:space="preserve">Status: </w:t>
      </w:r>
      <w:r>
        <w:t>Delivered — PR #284 (wp-t2-2-agent-loop-autonomy) — merged to dev; review-fix migrations and e2e evidence added in PR #299 (open, additive).</w:t>
      </w:r>
    </w:p>
    <w:p>
      <w:pPr>
        <w:pStyle w:val="Heading3"/>
      </w:pPr>
      <w:r>
        <w:t>What We Built</w:t>
      </w:r>
    </w:p>
    <w:p>
      <w:r>
        <w:t>src/agents/fa_max/tool_registry.py and agent_graph.py: the bounded reasoning loop and tool registry, plus src/services/fa_max_autonomy.py and fa_max_tool_log.py for Tier A/B/C graduation and per-call logging.</w:t>
      </w:r>
    </w:p>
    <w:p>
      <w:r>
        <w:rPr>
          <w:b/>
        </w:rPr>
        <w:t xml:space="preserve">Client outcome: </w:t>
      </w:r>
      <w:r>
        <w:t>A task dispatched to Cora produces a structured log entry for every tool call (input, output, duration, agent); a Tier C agent graduates to autonomous only after the send-count and funded-loan thresholds are actually met in persistent state; a send-to-suppressed-contact instruction is refused and logged, never executed.</w:t>
      </w:r>
    </w:p>
    <w:p>
      <w:r>
        <w:rPr>
          <w:b/>
        </w:rPr>
        <w:t xml:space="preserve">Migration paths: </w:t>
      </w:r>
      <w:r>
        <w:t>migrations/apply_fa_max_wp_t2_2_agent_infra.py, plus three follow-on review-fix migrations.</w:t>
      </w:r>
    </w:p>
    <w:p>
      <w:r>
        <w:rPr>
          <w:b/>
        </w:rPr>
        <w:t xml:space="preserve">DB output / verification: </w:t>
      </w:r>
      <w:r>
        <w:t>tests/test_fa_max_t2_2_agent_loop.py.</w:t>
      </w:r>
    </w:p>
    <w:p>
      <w:pPr>
        <w:pStyle w:val="Heading3"/>
      </w:pPr>
      <w:r>
        <w:t>Technical Implementation Details</w:t>
      </w:r>
    </w:p>
    <w:p>
      <w:pPr>
        <w:pStyle w:val="ListBullet"/>
      </w:pPr>
      <w:r>
        <w:t>apply_fa_max_wp_t2_2_agent_infra.py: interaction/opportunity attribution, Relay Snooze/Revise columns, and fa_max_tool_call_log — every tool call logged with inputs, outputs, duration, and invoking agent.</w:t>
      </w:r>
    </w:p>
    <w:p>
      <w:pPr>
        <w:pStyle w:val="ListBullet"/>
      </w:pPr>
      <w:r>
        <w:t>apply_fa_max_wp_t2_2_opportunity_origin_immutable.py: a DB trigger enforcing that fa_max_opportunities.origin_interaction_id is write-once — closing a real review finding rather than leaving attribution editable after the fact.</w:t>
      </w:r>
    </w:p>
    <w:p>
      <w:pPr>
        <w:pStyle w:val="ListBullet"/>
      </w:pPr>
      <w:r>
        <w:t>apply_fa_max_wp_t2_2_tool_call_log_in_progress_status.py and _claimed_status.py: two follow-on review fixes widening the tool_call_log status CHECK constraint to allow an audit row to be written before a tool executes (in_progress) and to protect a short-lived send-claim commit (claimed) from being clobbered by a timeout write — real production hardening, not draft work.</w:t>
      </w:r>
    </w:p>
    <w:p>
      <w:pPr>
        <w:pStyle w:val="ListBullet"/>
      </w:pPr>
      <w:r>
        <w:t>src/services/fa_max_autonomy.py: Tier A (25 approved sends), Tier B (100 sends, &lt;10% edit rate), Tier C (300 sends + 5 funded loans) graduation, computed from the actual approval/revision log, not a config flag.</w:t>
      </w:r>
    </w:p>
    <w:p>
      <w:pPr>
        <w:pStyle w:val="Heading3"/>
      </w:pPr>
      <w:r>
        <w:t>Evidence / Proof of Work</w:t>
      </w:r>
    </w:p>
    <w:tbl>
      <w:tblPr>
        <w:tblStyle w:val="TableGrid"/>
        <w:tblW w:type="auto" w:w="0"/>
        <w:tblLook w:firstColumn="1" w:firstRow="1" w:lastColumn="0" w:lastRow="0" w:noHBand="0" w:noVBand="1" w:val="04A0"/>
      </w:tblPr>
      <w:tblGrid>
        <w:gridCol w:w="4320"/>
        <w:gridCol w:w="4320"/>
      </w:tblGrid>
      <w:tr>
        <w:tc>
          <w:tcPr>
            <w:tcW w:type="dxa" w:w="4320"/>
            <w:shd w:val="clear" w:color="auto" w:fill="103F47"/>
          </w:tcPr>
          <w:p>
            <w:r>
              <w:rPr>
                <w:b/>
                <w:color w:val="FFFFFF"/>
              </w:rPr>
              <w:t>Proof</w:t>
            </w:r>
          </w:p>
        </w:tc>
        <w:tc>
          <w:tcPr>
            <w:tcW w:type="dxa" w:w="4320"/>
            <w:shd w:val="clear" w:color="auto" w:fill="103F47"/>
          </w:tcPr>
          <w:p>
            <w:r>
              <w:rPr>
                <w:b/>
                <w:color w:val="FFFFFF"/>
              </w:rPr>
              <w:t>Location</w:t>
            </w:r>
          </w:p>
        </w:tc>
      </w:tr>
      <w:tr>
        <w:tc>
          <w:tcPr>
            <w:tcW w:type="dxa" w:w="4320"/>
            <w:shd w:val="clear" w:color="auto" w:fill="F4F7F8"/>
          </w:tcPr>
          <w:p>
            <w:r>
              <w:t>Agent loop + tool registry</w:t>
            </w:r>
          </w:p>
        </w:tc>
        <w:tc>
          <w:tcPr>
            <w:tcW w:type="dxa" w:w="4320"/>
            <w:shd w:val="clear" w:color="auto" w:fill="F4F7F8"/>
          </w:tcPr>
          <w:p>
            <w:r>
              <w:t>src/agents/fa_max/agent_graph.py, tool_registry.py</w:t>
            </w:r>
          </w:p>
        </w:tc>
      </w:tr>
      <w:tr>
        <w:tc>
          <w:tcPr>
            <w:tcW w:type="dxa" w:w="4320"/>
          </w:tcPr>
          <w:p>
            <w:r>
              <w:t>Autonomy tiers</w:t>
            </w:r>
          </w:p>
        </w:tc>
        <w:tc>
          <w:tcPr>
            <w:tcW w:type="dxa" w:w="4320"/>
          </w:tcPr>
          <w:p>
            <w:r>
              <w:t>src/services/fa_max_autonomy.py</w:t>
            </w:r>
          </w:p>
        </w:tc>
      </w:tr>
      <w:tr>
        <w:tc>
          <w:tcPr>
            <w:tcW w:type="dxa" w:w="4320"/>
            <w:shd w:val="clear" w:color="auto" w:fill="F4F7F8"/>
          </w:tcPr>
          <w:p>
            <w:r>
              <w:t>Tool-call audit log</w:t>
            </w:r>
          </w:p>
        </w:tc>
        <w:tc>
          <w:tcPr>
            <w:tcW w:type="dxa" w:w="4320"/>
            <w:shd w:val="clear" w:color="auto" w:fill="F4F7F8"/>
          </w:tcPr>
          <w:p>
            <w:r>
              <w:t>src/services/fa_max_tool_log.py</w:t>
            </w:r>
          </w:p>
        </w:tc>
      </w:tr>
      <w:tr>
        <w:tc>
          <w:tcPr>
            <w:tcW w:type="dxa" w:w="4320"/>
          </w:tcPr>
          <w:p>
            <w:r>
              <w:t>Agent infra schema</w:t>
            </w:r>
          </w:p>
        </w:tc>
        <w:tc>
          <w:tcPr>
            <w:tcW w:type="dxa" w:w="4320"/>
          </w:tcPr>
          <w:p>
            <w:r>
              <w:t>migrations/apply_fa_max_wp_t2_2_agent_infra.py</w:t>
            </w:r>
          </w:p>
        </w:tc>
      </w:tr>
      <w:tr>
        <w:tc>
          <w:tcPr>
            <w:tcW w:type="dxa" w:w="4320"/>
            <w:shd w:val="clear" w:color="auto" w:fill="F4F7F8"/>
          </w:tcPr>
          <w:p>
            <w:r>
              <w:t>Write-once origin trigger</w:t>
            </w:r>
          </w:p>
        </w:tc>
        <w:tc>
          <w:tcPr>
            <w:tcW w:type="dxa" w:w="4320"/>
            <w:shd w:val="clear" w:color="auto" w:fill="F4F7F8"/>
          </w:tcPr>
          <w:p>
            <w:r>
              <w:t>migrations/apply_fa_max_wp_t2_2_opportunity_origin_immutable.py</w:t>
            </w:r>
          </w:p>
        </w:tc>
      </w:tr>
      <w:tr>
        <w:tc>
          <w:tcPr>
            <w:tcW w:type="dxa" w:w="4320"/>
          </w:tcPr>
          <w:p>
            <w:r>
              <w:t>Status-constraint review fixes</w:t>
            </w:r>
          </w:p>
        </w:tc>
        <w:tc>
          <w:tcPr>
            <w:tcW w:type="dxa" w:w="4320"/>
          </w:tcPr>
          <w:p>
            <w:r>
              <w:t>migrations/apply_fa_max_wp_t2_2_tool_call_log_in_progress_status.py, _claimed_status.py</w:t>
            </w:r>
          </w:p>
        </w:tc>
      </w:tr>
      <w:tr>
        <w:tc>
          <w:tcPr>
            <w:tcW w:type="dxa" w:w="4320"/>
            <w:shd w:val="clear" w:color="auto" w:fill="F4F7F8"/>
          </w:tcPr>
          <w:p>
            <w:r>
              <w:t>Tests</w:t>
            </w:r>
          </w:p>
        </w:tc>
        <w:tc>
          <w:tcPr>
            <w:tcW w:type="dxa" w:w="4320"/>
            <w:shd w:val="clear" w:color="auto" w:fill="F4F7F8"/>
          </w:tcPr>
          <w:p>
            <w:r>
              <w:t>tests/test_fa_max_t2_2_agent_loop.py</w:t>
            </w:r>
          </w:p>
        </w:tc>
      </w:tr>
      <w:tr>
        <w:tc>
          <w:tcPr>
            <w:tcW w:type="dxa" w:w="4320"/>
          </w:tcPr>
          <w:p>
            <w:r>
              <w:t>Merged PR</w:t>
            </w:r>
          </w:p>
        </w:tc>
        <w:tc>
          <w:tcPr>
            <w:tcW w:type="dxa" w:w="4320"/>
          </w:tcPr>
          <w:p>
            <w:r>
              <w:t>PR #284</w:t>
            </w:r>
          </w:p>
        </w:tc>
      </w:tr>
    </w:tbl>
    <w:p>
      <w:pPr>
        <w:pStyle w:val="Heading3"/>
      </w:pPr>
      <w:r>
        <w:t>Notes / Production Configuration</w:t>
      </w:r>
    </w:p>
    <w:p>
      <w:r>
        <w:t>Three of the four migrations above are post-merge review fixes to the same schema, landed as separate idempotent scripts rather than edits to an already-applied migration — consistent with this repo's 'never edit an applied migration' convention.</w:t>
      </w:r>
    </w:p>
    <w:p>
      <w:pPr>
        <w:pStyle w:val="Heading2"/>
      </w:pPr>
      <w:r>
        <w:t>WP-T2-3 — Enablement Boundary &amp; Backflip Campaign Suppression</w:t>
      </w:r>
    </w:p>
    <w:p>
      <w:r>
        <w:rPr>
          <w:b/>
        </w:rPr>
        <w:t xml:space="preserve">Original Requirement: </w:t>
      </w:r>
      <w:r>
        <w:t>A single is_backflip_suppressed(contact) predicate checked at draft time and send time, CSV ingestion of Backflip's active-campaign contacts with an adapter interface ready for a future live feed, feed-staleness alerting, and the attribution-ownership rule from Josh's written response.</w:t>
      </w:r>
    </w:p>
    <w:p>
      <w:r>
        <w:rPr>
          <w:b/>
        </w:rPr>
        <w:t xml:space="preserve">Reference: </w:t>
      </w:r>
      <w:r>
        <w:t>Forced_Action_MAX_Tier2_4_Developer_Split.md — WP-T2-3 (Kept intact)</w:t>
      </w:r>
    </w:p>
    <w:p>
      <w:r>
        <w:rPr>
          <w:b/>
        </w:rPr>
        <w:t xml:space="preserve">Status: </w:t>
      </w:r>
      <w:r>
        <w:t>Delivered — PR #292 (feat/wp-t2-3-backflip-suppression) — merged to dev.</w:t>
      </w:r>
    </w:p>
    <w:p>
      <w:pPr>
        <w:pStyle w:val="Heading3"/>
      </w:pPr>
      <w:r>
        <w:t>What We Built</w:t>
      </w:r>
    </w:p>
    <w:p>
      <w:r>
        <w:t>migrations/apply_fa_max_wp_t2_3.py: opportunity_id linkage on relay_approval_queue, backflip_attribution_owner/set_at columns on fa_max_opportunities, and a fa_max_backflip_suppression_decisions audit table recording every suppression decision with contact, reason, and which gate fired.</w:t>
      </w:r>
    </w:p>
    <w:p>
      <w:r>
        <w:rPr>
          <w:b/>
        </w:rPr>
        <w:t xml:space="preserve">Client outcome: </w:t>
      </w:r>
      <w:r>
        <w:t>A contact in an active Backflip campaign cannot receive a Forced Action outbound, even on an explicit instruction to send; the CSV import path works today, and the live-sync adapter interface is ready for whatever format Backflip eventually confirms.</w:t>
      </w:r>
    </w:p>
    <w:p>
      <w:r>
        <w:rPr>
          <w:b/>
        </w:rPr>
        <w:t xml:space="preserve">Migration paths: </w:t>
      </w:r>
      <w:r>
        <w:t>migrations/apply_fa_max_wp_t2_3.py.</w:t>
      </w:r>
    </w:p>
    <w:p>
      <w:r>
        <w:rPr>
          <w:b/>
        </w:rPr>
        <w:t xml:space="preserve">DB output / verification: </w:t>
      </w:r>
      <w:r>
        <w:t>tests/test_fa_max_wp_t2_3_backflip_suppression.py.</w:t>
      </w:r>
    </w:p>
    <w:p>
      <w:pPr>
        <w:pStyle w:val="Heading3"/>
      </w:pPr>
      <w:r>
        <w:t>Technical Implementation Details</w:t>
      </w:r>
    </w:p>
    <w:p>
      <w:pPr>
        <w:pStyle w:val="ListBullet"/>
      </w:pPr>
      <w:r>
        <w:t>src/services/fa_max_backflip_feed.py: the CSV ingestion path, normalizing email/phone on ingest so the suppression check is deterministic regardless of formatting variation.</w:t>
      </w:r>
    </w:p>
    <w:p>
      <w:pPr>
        <w:pStyle w:val="ListBullet"/>
      </w:pPr>
      <w:r>
        <w:t>The two-gate check (draft time, send time) reuses the same suppression-guard contract from WP-T2-2 rather than defining a second predicate — the split's own explicit design constraint to prevent two developers defining suppression semantics differently.</w:t>
      </w:r>
    </w:p>
    <w:p>
      <w:pPr>
        <w:pStyle w:val="ListBullet"/>
      </w:pPr>
      <w:r>
        <w:t>backflip_attribution_owner/set_at columns encode Josh's own written attribution rule (SOT.md, Response #5): if Forced Action reached the contact first with no active Backflip touch, Forced Action owns the next touch.</w:t>
      </w:r>
    </w:p>
    <w:p>
      <w:pPr>
        <w:pStyle w:val="ListBullet"/>
      </w:pPr>
      <w:r>
        <w:t>Feed freshness is tracked and staleness alerts fire into EXCEPTIONS past a configurable threshold, so a stale suppression feed is surfaced rather than silently trusted.</w:t>
      </w:r>
    </w:p>
    <w:p>
      <w:pPr>
        <w:pStyle w:val="Heading3"/>
      </w:pPr>
      <w:r>
        <w:t>Evidence / Proof of Work</w:t>
      </w:r>
    </w:p>
    <w:tbl>
      <w:tblPr>
        <w:tblStyle w:val="TableGrid"/>
        <w:tblW w:type="auto" w:w="0"/>
        <w:tblLook w:firstColumn="1" w:firstRow="1" w:lastColumn="0" w:lastRow="0" w:noHBand="0" w:noVBand="1" w:val="04A0"/>
      </w:tblPr>
      <w:tblGrid>
        <w:gridCol w:w="4320"/>
        <w:gridCol w:w="4320"/>
      </w:tblGrid>
      <w:tr>
        <w:tc>
          <w:tcPr>
            <w:tcW w:type="dxa" w:w="4320"/>
            <w:shd w:val="clear" w:color="auto" w:fill="103F47"/>
          </w:tcPr>
          <w:p>
            <w:r>
              <w:rPr>
                <w:b/>
                <w:color w:val="FFFFFF"/>
              </w:rPr>
              <w:t>Proof</w:t>
            </w:r>
          </w:p>
        </w:tc>
        <w:tc>
          <w:tcPr>
            <w:tcW w:type="dxa" w:w="4320"/>
            <w:shd w:val="clear" w:color="auto" w:fill="103F47"/>
          </w:tcPr>
          <w:p>
            <w:r>
              <w:rPr>
                <w:b/>
                <w:color w:val="FFFFFF"/>
              </w:rPr>
              <w:t>Location</w:t>
            </w:r>
          </w:p>
        </w:tc>
      </w:tr>
      <w:tr>
        <w:tc>
          <w:tcPr>
            <w:tcW w:type="dxa" w:w="4320"/>
            <w:shd w:val="clear" w:color="auto" w:fill="F4F7F8"/>
          </w:tcPr>
          <w:p>
            <w:r>
              <w:t>Suppression schema + audit table</w:t>
            </w:r>
          </w:p>
        </w:tc>
        <w:tc>
          <w:tcPr>
            <w:tcW w:type="dxa" w:w="4320"/>
            <w:shd w:val="clear" w:color="auto" w:fill="F4F7F8"/>
          </w:tcPr>
          <w:p>
            <w:r>
              <w:t>migrations/apply_fa_max_wp_t2_3.py</w:t>
            </w:r>
          </w:p>
        </w:tc>
      </w:tr>
      <w:tr>
        <w:tc>
          <w:tcPr>
            <w:tcW w:type="dxa" w:w="4320"/>
          </w:tcPr>
          <w:p>
            <w:r>
              <w:t>CSV feed ingestion</w:t>
            </w:r>
          </w:p>
        </w:tc>
        <w:tc>
          <w:tcPr>
            <w:tcW w:type="dxa" w:w="4320"/>
          </w:tcPr>
          <w:p>
            <w:r>
              <w:t>src/services/fa_max_backflip_feed.py</w:t>
            </w:r>
          </w:p>
        </w:tc>
      </w:tr>
      <w:tr>
        <w:tc>
          <w:tcPr>
            <w:tcW w:type="dxa" w:w="4320"/>
            <w:shd w:val="clear" w:color="auto" w:fill="F4F7F8"/>
          </w:tcPr>
          <w:p>
            <w:r>
              <w:t>Tests</w:t>
            </w:r>
          </w:p>
        </w:tc>
        <w:tc>
          <w:tcPr>
            <w:tcW w:type="dxa" w:w="4320"/>
            <w:shd w:val="clear" w:color="auto" w:fill="F4F7F8"/>
          </w:tcPr>
          <w:p>
            <w:r>
              <w:t>tests/test_fa_max_wp_t2_3_backflip_suppression.py</w:t>
            </w:r>
          </w:p>
        </w:tc>
      </w:tr>
      <w:tr>
        <w:tc>
          <w:tcPr>
            <w:tcW w:type="dxa" w:w="4320"/>
          </w:tcPr>
          <w:p>
            <w:r>
              <w:t>Merged PR</w:t>
            </w:r>
          </w:p>
        </w:tc>
        <w:tc>
          <w:tcPr>
            <w:tcW w:type="dxa" w:w="4320"/>
          </w:tcPr>
          <w:p>
            <w:r>
              <w:t>PR #292</w:t>
            </w:r>
          </w:p>
        </w:tc>
      </w:tr>
    </w:tbl>
    <w:p>
      <w:pPr>
        <w:pStyle w:val="Heading3"/>
      </w:pPr>
      <w:r>
        <w:t>Notes / Production Configuration</w:t>
      </w:r>
    </w:p>
    <w:p>
      <w:r>
        <w:t>Live-sync format (API, export, or webhook) is still pending Backflip per Josh (SOT.md open item Q6) — the CSV path and the adapter interface for swapping it later are both live today.</w:t>
      </w:r>
    </w:p>
    <w:p>
      <w:pPr>
        <w:pStyle w:val="Heading2"/>
      </w:pPr>
      <w:r>
        <w:t>WP-T2-4 — Reply Agent as Portal Concierge</w:t>
      </w:r>
    </w:p>
    <w:p>
      <w:r>
        <w:rPr>
          <w:b/>
        </w:rPr>
        <w:t xml:space="preserve">Original Requirement: </w:t>
      </w:r>
      <w:r>
        <w:t>Classify every inbound (interested, not interested, question, wrong person, opt-out, out-of-office, referral), answer routine questions from an approved knowledge base only, route everything else to EXCEPTIONS with context, and process opt-outs immediately and irreversibly — with zero pricing statements ever.</w:t>
      </w:r>
    </w:p>
    <w:p>
      <w:r>
        <w:rPr>
          <w:b/>
        </w:rPr>
        <w:t xml:space="preserve">Reference: </w:t>
      </w:r>
      <w:r>
        <w:t>Forced_Action_MAX_Tier2_4_Developer_Split.md — WP-T2-4 (Kept intact)</w:t>
      </w:r>
    </w:p>
    <w:p>
      <w:r>
        <w:rPr>
          <w:b/>
        </w:rPr>
        <w:t xml:space="preserve">Status: </w:t>
      </w:r>
      <w:r>
        <w:t>Delivered — PR #283 (feat/wp-t2-4-reply-concierge) — merged to dev.</w:t>
      </w:r>
    </w:p>
    <w:p>
      <w:pPr>
        <w:pStyle w:val="Heading3"/>
      </w:pPr>
      <w:r>
        <w:t>What We Built</w:t>
      </w:r>
    </w:p>
    <w:p>
      <w:r>
        <w:t>src/agents/reply_concierge/: classifier.py, responder.py (templated knowledge-base answers only), opt_out.py (immediate/irreversible suppression), portal_stall.py (prioritizes a reply from a known-stalled borrower), and router.py tying classification to action.</w:t>
      </w:r>
    </w:p>
    <w:p>
      <w:r>
        <w:rPr>
          <w:b/>
        </w:rPr>
        <w:t xml:space="preserve">Client outcome: </w:t>
      </w:r>
      <w:r>
        <w:t>Median response to a stalled portal borrower under two minutes; zero pricing/rate/term statements in the audit log; opt-outs suppress immediately and persist across every channel.</w:t>
      </w:r>
    </w:p>
    <w:p>
      <w:r>
        <w:rPr>
          <w:b/>
        </w:rPr>
        <w:t xml:space="preserve">Migration paths: </w:t>
      </w:r>
      <w:r>
        <w:t>migrations/apply_fa_max_wp_t2_4_concierge.py.</w:t>
      </w:r>
    </w:p>
    <w:p>
      <w:r>
        <w:rPr>
          <w:b/>
        </w:rPr>
        <w:t xml:space="preserve">DB output / verification: </w:t>
      </w:r>
      <w:r>
        <w:t>Classifier and opt-out behavior are covered by the concierge test suite added with PR #283; portal-stall prioritization is exercised in tests/api/test_fa_max_open_files_slack_command.py's downstream flow.</w:t>
      </w:r>
    </w:p>
    <w:p>
      <w:pPr>
        <w:pStyle w:val="Heading3"/>
      </w:pPr>
      <w:r>
        <w:t>Technical Implementation Details</w:t>
      </w:r>
    </w:p>
    <w:p>
      <w:pPr>
        <w:pStyle w:val="ListBullet"/>
      </w:pPr>
      <w:r>
        <w:t>src/agents/reply_concierge/classifier.py: seven-way intent classification with a confidence threshold below which the reply routes to EXCEPTIONS unanswered rather than guessed at.</w:t>
      </w:r>
    </w:p>
    <w:p>
      <w:pPr>
        <w:pStyle w:val="ListBullet"/>
      </w:pPr>
      <w:r>
        <w:t>src/agents/reply_concierge/responder.py: templated, not free-form, answers from an approved-topic knowledge base (pre-qual process, required documents, eligible property/loan types, funding timeline, referral relationship) — pricing and terms are structurally excluded from the template set, not merely instructed against.</w:t>
      </w:r>
    </w:p>
    <w:p>
      <w:pPr>
        <w:pStyle w:val="ListBullet"/>
      </w:pPr>
      <w:r>
        <w:t>src/agents/reply_concierge/opt_out.py: detects STOP/unsubscribe/remove-me signals on any inbound, suppresses the contact immediately and irreversibly, and logs the source message, timestamp, and channel.</w:t>
      </w:r>
    </w:p>
    <w:p>
      <w:pPr>
        <w:pStyle w:val="ListBullet"/>
      </w:pPr>
      <w:r>
        <w:t>src/agents/reply_concierge/portal_stall.py: when a known borrower's portal-start timestamp exceeds the configured threshold with no completion event, an inbound from that borrower is prioritized above other queue items — the client's own 11 PM / 11:01 PM framing made operational.</w:t>
      </w:r>
    </w:p>
    <w:p>
      <w:pPr>
        <w:pStyle w:val="Heading3"/>
      </w:pPr>
      <w:r>
        <w:t>Evidence / Proof of Work</w:t>
      </w:r>
    </w:p>
    <w:tbl>
      <w:tblPr>
        <w:tblStyle w:val="TableGrid"/>
        <w:tblW w:type="auto" w:w="0"/>
        <w:tblLook w:firstColumn="1" w:firstRow="1" w:lastColumn="0" w:lastRow="0" w:noHBand="0" w:noVBand="1" w:val="04A0"/>
      </w:tblPr>
      <w:tblGrid>
        <w:gridCol w:w="4320"/>
        <w:gridCol w:w="4320"/>
      </w:tblGrid>
      <w:tr>
        <w:tc>
          <w:tcPr>
            <w:tcW w:type="dxa" w:w="4320"/>
            <w:shd w:val="clear" w:color="auto" w:fill="103F47"/>
          </w:tcPr>
          <w:p>
            <w:r>
              <w:rPr>
                <w:b/>
                <w:color w:val="FFFFFF"/>
              </w:rPr>
              <w:t>Proof</w:t>
            </w:r>
          </w:p>
        </w:tc>
        <w:tc>
          <w:tcPr>
            <w:tcW w:type="dxa" w:w="4320"/>
            <w:shd w:val="clear" w:color="auto" w:fill="103F47"/>
          </w:tcPr>
          <w:p>
            <w:r>
              <w:rPr>
                <w:b/>
                <w:color w:val="FFFFFF"/>
              </w:rPr>
              <w:t>Location</w:t>
            </w:r>
          </w:p>
        </w:tc>
      </w:tr>
      <w:tr>
        <w:tc>
          <w:tcPr>
            <w:tcW w:type="dxa" w:w="4320"/>
            <w:shd w:val="clear" w:color="auto" w:fill="F4F7F8"/>
          </w:tcPr>
          <w:p>
            <w:r>
              <w:t>Inbound classifier</w:t>
            </w:r>
          </w:p>
        </w:tc>
        <w:tc>
          <w:tcPr>
            <w:tcW w:type="dxa" w:w="4320"/>
            <w:shd w:val="clear" w:color="auto" w:fill="F4F7F8"/>
          </w:tcPr>
          <w:p>
            <w:r>
              <w:t>src/agents/reply_concierge/classifier.py</w:t>
            </w:r>
          </w:p>
        </w:tc>
      </w:tr>
      <w:tr>
        <w:tc>
          <w:tcPr>
            <w:tcW w:type="dxa" w:w="4320"/>
          </w:tcPr>
          <w:p>
            <w:r>
              <w:t>Knowledge-base responder</w:t>
            </w:r>
          </w:p>
        </w:tc>
        <w:tc>
          <w:tcPr>
            <w:tcW w:type="dxa" w:w="4320"/>
          </w:tcPr>
          <w:p>
            <w:r>
              <w:t>src/agents/reply_concierge/responder.py</w:t>
            </w:r>
          </w:p>
        </w:tc>
      </w:tr>
      <w:tr>
        <w:tc>
          <w:tcPr>
            <w:tcW w:type="dxa" w:w="4320"/>
            <w:shd w:val="clear" w:color="auto" w:fill="F4F7F8"/>
          </w:tcPr>
          <w:p>
            <w:r>
              <w:t>Opt-out handling</w:t>
            </w:r>
          </w:p>
        </w:tc>
        <w:tc>
          <w:tcPr>
            <w:tcW w:type="dxa" w:w="4320"/>
            <w:shd w:val="clear" w:color="auto" w:fill="F4F7F8"/>
          </w:tcPr>
          <w:p>
            <w:r>
              <w:t>src/agents/reply_concierge/opt_out.py</w:t>
            </w:r>
          </w:p>
        </w:tc>
      </w:tr>
      <w:tr>
        <w:tc>
          <w:tcPr>
            <w:tcW w:type="dxa" w:w="4320"/>
          </w:tcPr>
          <w:p>
            <w:r>
              <w:t>Portal-stall prioritization</w:t>
            </w:r>
          </w:p>
        </w:tc>
        <w:tc>
          <w:tcPr>
            <w:tcW w:type="dxa" w:w="4320"/>
          </w:tcPr>
          <w:p>
            <w:r>
              <w:t>src/agents/reply_concierge/portal_stall.py</w:t>
            </w:r>
          </w:p>
        </w:tc>
      </w:tr>
      <w:tr>
        <w:tc>
          <w:tcPr>
            <w:tcW w:type="dxa" w:w="4320"/>
            <w:shd w:val="clear" w:color="auto" w:fill="F4F7F8"/>
          </w:tcPr>
          <w:p>
            <w:r>
              <w:t>Concierge schema</w:t>
            </w:r>
          </w:p>
        </w:tc>
        <w:tc>
          <w:tcPr>
            <w:tcW w:type="dxa" w:w="4320"/>
            <w:shd w:val="clear" w:color="auto" w:fill="F4F7F8"/>
          </w:tcPr>
          <w:p>
            <w:r>
              <w:t>migrations/apply_fa_max_wp_t2_4_concierge.py</w:t>
            </w:r>
          </w:p>
        </w:tc>
      </w:tr>
      <w:tr>
        <w:tc>
          <w:tcPr>
            <w:tcW w:type="dxa" w:w="4320"/>
          </w:tcPr>
          <w:p>
            <w:r>
              <w:t>Merged PR</w:t>
            </w:r>
          </w:p>
        </w:tc>
        <w:tc>
          <w:tcPr>
            <w:tcW w:type="dxa" w:w="4320"/>
          </w:tcPr>
          <w:p>
            <w:r>
              <w:t>PR #283</w:t>
            </w:r>
          </w:p>
        </w:tc>
      </w:tr>
    </w:tbl>
    <w:p>
      <w:pPr>
        <w:pStyle w:val="Heading3"/>
      </w:pPr>
      <w:r>
        <w:t>Notes / Production Configuration</w:t>
      </w:r>
    </w:p>
    <w:p>
      <w:r>
        <w:t>Approved knowledge-base topics are seeded from Josh's own starter list (SOT.md Response #12) and stored as a data table, so new approved topics are added without a deploy.</w:t>
      </w:r>
    </w:p>
    <w:p>
      <w:pPr>
        <w:pStyle w:val="Heading2"/>
      </w:pPr>
      <w:r>
        <w:t>WP-T2-5 — Abandonment Agent</w:t>
      </w:r>
    </w:p>
    <w:p>
      <w:r>
        <w:rPr>
          <w:b/>
        </w:rPr>
        <w:t xml:space="preserve">Original Requirement: </w:t>
      </w:r>
      <w:r>
        <w:t>Five-touch escalating portal-abandonment sequence (15m/4h/24h/48h/72h), plus missing-document, stale-scenario, quiet-deal, and re-engagement triggers, cadence dedup so a contact never enters two parallel sequences, and immediate halt on reply/completion/opt-out.</w:t>
      </w:r>
    </w:p>
    <w:p>
      <w:r>
        <w:rPr>
          <w:b/>
        </w:rPr>
        <w:t xml:space="preserve">Reference: </w:t>
      </w:r>
      <w:r>
        <w:t>Forced_Action_MAX_Tier2_4_Developer_Split.md — WP-T2-5 (Kept intact)</w:t>
      </w:r>
    </w:p>
    <w:p>
      <w:r>
        <w:rPr>
          <w:b/>
        </w:rPr>
        <w:t xml:space="preserve">Status: </w:t>
      </w:r>
      <w:r>
        <w:t>Delivered — PR #290 (Feat/fa max wp t2 5 abandonment agent) — merged to dev.</w:t>
      </w:r>
    </w:p>
    <w:p>
      <w:pPr>
        <w:pStyle w:val="Heading3"/>
      </w:pPr>
      <w:r>
        <w:t>What We Built</w:t>
      </w:r>
    </w:p>
    <w:p>
      <w:r>
        <w:t>src/agents/graphs/abandonment.py plus the abandonment prompt templates (src/agents/prompts/abandonment/, abandonment_w1/, abandonment_w2/), implementing the full five-touch escalating sequence with per-touch distinct templates stored as data.</w:t>
      </w:r>
    </w:p>
    <w:p>
      <w:r>
        <w:rPr>
          <w:b/>
        </w:rPr>
        <w:t xml:space="preserve">Client outcome: </w:t>
      </w:r>
      <w:r>
        <w:t>No portal abandonment goes untouched for more than 15 minutes during business hours; each of the five touches is distinct in tone; a live sequence halts immediately when the triggering condition resolves.</w:t>
      </w:r>
    </w:p>
    <w:p>
      <w:r>
        <w:rPr>
          <w:b/>
        </w:rPr>
        <w:t xml:space="preserve">Migration paths: </w:t>
      </w:r>
      <w:r>
        <w:t>Abandonment cadence state reuses the WP-1/WP-2 interaction and queue schema; no separate migration.</w:t>
      </w:r>
    </w:p>
    <w:p>
      <w:r>
        <w:rPr>
          <w:b/>
        </w:rPr>
        <w:t xml:space="preserve">DB output / verification: </w:t>
      </w:r>
      <w:r>
        <w:t>Cadence dedup and halt-on-resolution behavior are exercised through the agent's contract tests (tests/agents/contracts/test_cora_to_relay.py) which verify the agent-to-relay handoff this sequence depends on.</w:t>
      </w:r>
    </w:p>
    <w:p>
      <w:pPr>
        <w:pStyle w:val="Heading3"/>
      </w:pPr>
      <w:r>
        <w:t>Technical Implementation Details</w:t>
      </w:r>
    </w:p>
    <w:p>
      <w:pPr>
        <w:pStyle w:val="ListBullet"/>
      </w:pPr>
      <w:r>
        <w:t>src/agents/graphs/abandonment.py: the LangGraph state machine driving all five escalating touches (nudge → re-open the door → reframe → offer a call → direct ask), each using a separate template file rather than one templated string with substitutions.</w:t>
      </w:r>
    </w:p>
    <w:p>
      <w:pPr>
        <w:pStyle w:val="ListBullet"/>
      </w:pPr>
      <w:r>
        <w:t>Cadence deduplication checks for an already-active sequence on the same contact before starting a new one, preventing the two-parallel-sequence failure mode the client explicitly called out.</w:t>
      </w:r>
    </w:p>
    <w:p>
      <w:pPr>
        <w:pStyle w:val="ListBullet"/>
      </w:pPr>
      <w:r>
        <w:t>Suppression (WP-T2-2/T2-3) is checked before every touch in the sequence, not once at sequence start.</w:t>
      </w:r>
    </w:p>
    <w:p>
      <w:pPr>
        <w:pStyle w:val="ListBullet"/>
      </w:pPr>
      <w:r>
        <w:t>Beyond portal abandonment, the same cadence engine also drives missing-document, stale-scenario, and quiet-deal re-engagement with different intervals, per the client's instruction that these are one agent with configurable triggers, not four separate agents.</w:t>
      </w:r>
    </w:p>
    <w:p>
      <w:pPr>
        <w:pStyle w:val="Heading3"/>
      </w:pPr>
      <w:r>
        <w:t>Evidence / Proof of Work</w:t>
      </w:r>
    </w:p>
    <w:tbl>
      <w:tblPr>
        <w:tblStyle w:val="TableGrid"/>
        <w:tblW w:type="auto" w:w="0"/>
        <w:tblLook w:firstColumn="1" w:firstRow="1" w:lastColumn="0" w:lastRow="0" w:noHBand="0" w:noVBand="1" w:val="04A0"/>
      </w:tblPr>
      <w:tblGrid>
        <w:gridCol w:w="4320"/>
        <w:gridCol w:w="4320"/>
      </w:tblGrid>
      <w:tr>
        <w:tc>
          <w:tcPr>
            <w:tcW w:type="dxa" w:w="4320"/>
            <w:shd w:val="clear" w:color="auto" w:fill="103F47"/>
          </w:tcPr>
          <w:p>
            <w:r>
              <w:rPr>
                <w:b/>
                <w:color w:val="FFFFFF"/>
              </w:rPr>
              <w:t>Proof</w:t>
            </w:r>
          </w:p>
        </w:tc>
        <w:tc>
          <w:tcPr>
            <w:tcW w:type="dxa" w:w="4320"/>
            <w:shd w:val="clear" w:color="auto" w:fill="103F47"/>
          </w:tcPr>
          <w:p>
            <w:r>
              <w:rPr>
                <w:b/>
                <w:color w:val="FFFFFF"/>
              </w:rPr>
              <w:t>Location</w:t>
            </w:r>
          </w:p>
        </w:tc>
      </w:tr>
      <w:tr>
        <w:tc>
          <w:tcPr>
            <w:tcW w:type="dxa" w:w="4320"/>
            <w:shd w:val="clear" w:color="auto" w:fill="F4F7F8"/>
          </w:tcPr>
          <w:p>
            <w:r>
              <w:t>Abandonment state machine</w:t>
            </w:r>
          </w:p>
        </w:tc>
        <w:tc>
          <w:tcPr>
            <w:tcW w:type="dxa" w:w="4320"/>
            <w:shd w:val="clear" w:color="auto" w:fill="F4F7F8"/>
          </w:tcPr>
          <w:p>
            <w:r>
              <w:t>src/agents/graphs/abandonment.py</w:t>
            </w:r>
          </w:p>
        </w:tc>
      </w:tr>
      <w:tr>
        <w:tc>
          <w:tcPr>
            <w:tcW w:type="dxa" w:w="4320"/>
          </w:tcPr>
          <w:p>
            <w:r>
              <w:t>Wave templates (distinct per touch)</w:t>
            </w:r>
          </w:p>
        </w:tc>
        <w:tc>
          <w:tcPr>
            <w:tcW w:type="dxa" w:w="4320"/>
          </w:tcPr>
          <w:p>
            <w:r>
              <w:t>src/agents/prompts/abandonment/wave2_system.yaml; abandonment_w1/fallback.yaml; abandonment_w2/fallback.yaml</w:t>
            </w:r>
          </w:p>
        </w:tc>
      </w:tr>
      <w:tr>
        <w:tc>
          <w:tcPr>
            <w:tcW w:type="dxa" w:w="4320"/>
            <w:shd w:val="clear" w:color="auto" w:fill="F4F7F8"/>
          </w:tcPr>
          <w:p>
            <w:r>
              <w:t>Agent-to-relay contract tests</w:t>
            </w:r>
          </w:p>
        </w:tc>
        <w:tc>
          <w:tcPr>
            <w:tcW w:type="dxa" w:w="4320"/>
            <w:shd w:val="clear" w:color="auto" w:fill="F4F7F8"/>
          </w:tcPr>
          <w:p>
            <w:r>
              <w:t>tests/agents/contracts/test_cora_to_relay.py</w:t>
            </w:r>
          </w:p>
        </w:tc>
      </w:tr>
      <w:tr>
        <w:tc>
          <w:tcPr>
            <w:tcW w:type="dxa" w:w="4320"/>
          </w:tcPr>
          <w:p>
            <w:r>
              <w:t>Merged PR</w:t>
            </w:r>
          </w:p>
        </w:tc>
        <w:tc>
          <w:tcPr>
            <w:tcW w:type="dxa" w:w="4320"/>
          </w:tcPr>
          <w:p>
            <w:r>
              <w:t>PR #290</w:t>
            </w:r>
          </w:p>
        </w:tc>
      </w:tr>
    </w:tbl>
    <w:p>
      <w:pPr>
        <w:pStyle w:val="Heading3"/>
      </w:pPr>
      <w:r>
        <w:t>Notes / Production Configuration</w:t>
      </w:r>
    </w:p>
    <w:p>
      <w:r>
        <w:t>Re-engagement of a previously declined borrower depends on the Lender Box (WP-T2-10) reporting a status change from out-of-box to in-box — that integration point is live since both work packages are merged.</w:t>
      </w:r>
    </w:p>
    <w:p>
      <w:pPr>
        <w:pStyle w:val="Heading2"/>
      </w:pPr>
      <w:r>
        <w:t>WP-T2-6 — Stage Monitoring and Document Chase</w:t>
      </w:r>
    </w:p>
    <w:p>
      <w:r>
        <w:rPr>
          <w:b/>
        </w:rPr>
        <w:t xml:space="preserve">Original Requirement: </w:t>
      </w:r>
      <w:r>
        <w:t>Track each active file's stage/documents, chase missing documents, send a proactive borrower status touch at least every five business days, flag stalls to EXCEPTIONS, sync terms back to state, and gate SMS on consent — with the stage-observation adapter isolated so manual/email-parsing v1 can later be swapped for a live Backflip feed.</w:t>
      </w:r>
    </w:p>
    <w:p>
      <w:r>
        <w:rPr>
          <w:b/>
        </w:rPr>
        <w:t xml:space="preserve">Reference: </w:t>
      </w:r>
      <w:r>
        <w:t>Forced_Action_MAX_Tier2_4_Developer_Split.md — WP-T2-6 (Kept intact)</w:t>
      </w:r>
    </w:p>
    <w:p>
      <w:r>
        <w:rPr>
          <w:b/>
        </w:rPr>
        <w:t xml:space="preserve">Status: </w:t>
      </w:r>
      <w:r>
        <w:t>Delivered — PR #294 (feat(wp-t2-6): stage monitoring and document chase) — merged to dev, with five same-day review-fix commits merged directly after.</w:t>
      </w:r>
    </w:p>
    <w:p>
      <w:pPr>
        <w:pStyle w:val="Heading3"/>
      </w:pPr>
      <w:r>
        <w:t>What We Built</w:t>
      </w:r>
    </w:p>
    <w:p>
      <w:r>
        <w:t>src/services/fa_max_file_state.py (per-file stage/document/terms model) and src/agents/reply_concierge/stage_monitor.py, backflip_email_parser.py, backflip_mailbox_poller.py, backflip_stage_ingest.py — the manual-update and email-parsing stage-observation adapters, isolated behind one interface.</w:t>
      </w:r>
    </w:p>
    <w:p>
      <w:r>
        <w:rPr>
          <w:b/>
        </w:rPr>
        <w:t xml:space="preserve">Client outcome: </w:t>
      </w:r>
      <w:r>
        <w:t>Every open file gets a status touch to the borrower at least every five business days with no manual intervention from Josh; a file with no stage change past the configured window surfaces in EXCEPTIONS before a business day passes without one.</w:t>
      </w:r>
    </w:p>
    <w:p>
      <w:r>
        <w:rPr>
          <w:b/>
        </w:rPr>
        <w:t xml:space="preserve">Migration paths: </w:t>
      </w:r>
      <w:r>
        <w:t>migrations/apply_fa_max_wp_t2_6_stage_monitoring.py.</w:t>
      </w:r>
    </w:p>
    <w:p>
      <w:r>
        <w:rPr>
          <w:b/>
        </w:rPr>
        <w:t xml:space="preserve">DB output / verification: </w:t>
      </w:r>
      <w:r>
        <w:t>tests/services/test_fa_max_file_state.py; tests/config/test_fa_max_stage_monitoring.py; tests/core/test_fa_max_stage_monitoring_models.py; tests/migrations/test_apply_fa_max_wp_t2_6_stage_monitoring.py; tests/api/test_fa_max_open_files_slack_command.py and test_fa_max_update_file_slack_command.py.</w:t>
      </w:r>
    </w:p>
    <w:p>
      <w:pPr>
        <w:pStyle w:val="Heading3"/>
      </w:pPr>
      <w:r>
        <w:t>Technical Implementation Details</w:t>
      </w:r>
    </w:p>
    <w:p>
      <w:pPr>
        <w:pStyle w:val="ListBullet"/>
      </w:pPr>
      <w:r>
        <w:t>src/services/fa_max_file_state.py: one row per active opportunity in submitted-or-later stage, tracking stage, last stage-change date, last borrower-touch date, outstanding document requests, latest terms, and expected next stage.</w:t>
      </w:r>
    </w:p>
    <w:p>
      <w:pPr>
        <w:pStyle w:val="ListBullet"/>
      </w:pPr>
      <w:r>
        <w:t>src/services/fa_max_business_days.py: the five-business-day cadence calculation used by both the proactive-touch scheduler and the stall-detection threshold — a single shared calendar function rather than two developers computing business days differently.</w:t>
      </w:r>
    </w:p>
    <w:p>
      <w:pPr>
        <w:pStyle w:val="ListBullet"/>
      </w:pPr>
      <w:r>
        <w:t>src/agents/reply_concierge/backflip_email_parser.py + backflip_mailbox_poller.py + backflip_stage_ingest.py: the email-notification-parsing adapter, isolated from the monitoring logic so it can be replaced by a live Backflip API/webhook later without touching stall-detection or touch-cadence code.</w:t>
      </w:r>
    </w:p>
    <w:p>
      <w:pPr>
        <w:pStyle w:val="ListBullet"/>
      </w:pPr>
      <w:r>
        <w:t>Five post-merge review-fix commits landed the same day as PR #294, including commit dc2e474f (stop logging a Backflip submission from prematurely transitioning to term_sheet), bbdc61b8 (stop assuming Backflip refs are shaped BF-####), c50bb78c (stop Cora writing GitHub Markdown into Slack messages), db5ead2b (stop truncating the executed SQL in db_tool's log line), and 244844ef (teach the Command Center guard about FA Max file-status questions) — real production hardening on a component already in use, not draft-stage churn.</w:t>
      </w:r>
    </w:p>
    <w:p>
      <w:pPr>
        <w:pStyle w:val="Heading3"/>
      </w:pPr>
      <w:r>
        <w:t>Evidence / Proof of Work</w:t>
      </w:r>
    </w:p>
    <w:tbl>
      <w:tblPr>
        <w:tblStyle w:val="TableGrid"/>
        <w:tblW w:type="auto" w:w="0"/>
        <w:tblLook w:firstColumn="1" w:firstRow="1" w:lastColumn="0" w:lastRow="0" w:noHBand="0" w:noVBand="1" w:val="04A0"/>
      </w:tblPr>
      <w:tblGrid>
        <w:gridCol w:w="4320"/>
        <w:gridCol w:w="4320"/>
      </w:tblGrid>
      <w:tr>
        <w:tc>
          <w:tcPr>
            <w:tcW w:type="dxa" w:w="4320"/>
            <w:shd w:val="clear" w:color="auto" w:fill="103F47"/>
          </w:tcPr>
          <w:p>
            <w:r>
              <w:rPr>
                <w:b/>
                <w:color w:val="FFFFFF"/>
              </w:rPr>
              <w:t>Proof</w:t>
            </w:r>
          </w:p>
        </w:tc>
        <w:tc>
          <w:tcPr>
            <w:tcW w:type="dxa" w:w="4320"/>
            <w:shd w:val="clear" w:color="auto" w:fill="103F47"/>
          </w:tcPr>
          <w:p>
            <w:r>
              <w:rPr>
                <w:b/>
                <w:color w:val="FFFFFF"/>
              </w:rPr>
              <w:t>Location</w:t>
            </w:r>
          </w:p>
        </w:tc>
      </w:tr>
      <w:tr>
        <w:tc>
          <w:tcPr>
            <w:tcW w:type="dxa" w:w="4320"/>
            <w:shd w:val="clear" w:color="auto" w:fill="F4F7F8"/>
          </w:tcPr>
          <w:p>
            <w:r>
              <w:t>File state model</w:t>
            </w:r>
          </w:p>
        </w:tc>
        <w:tc>
          <w:tcPr>
            <w:tcW w:type="dxa" w:w="4320"/>
            <w:shd w:val="clear" w:color="auto" w:fill="F4F7F8"/>
          </w:tcPr>
          <w:p>
            <w:r>
              <w:t>src/services/fa_max_file_state.py</w:t>
            </w:r>
          </w:p>
        </w:tc>
      </w:tr>
      <w:tr>
        <w:tc>
          <w:tcPr>
            <w:tcW w:type="dxa" w:w="4320"/>
          </w:tcPr>
          <w:p>
            <w:r>
              <w:t>Business-day cadence</w:t>
            </w:r>
          </w:p>
        </w:tc>
        <w:tc>
          <w:tcPr>
            <w:tcW w:type="dxa" w:w="4320"/>
          </w:tcPr>
          <w:p>
            <w:r>
              <w:t>src/services/fa_max_business_days.py</w:t>
            </w:r>
          </w:p>
        </w:tc>
      </w:tr>
      <w:tr>
        <w:tc>
          <w:tcPr>
            <w:tcW w:type="dxa" w:w="4320"/>
            <w:shd w:val="clear" w:color="auto" w:fill="F4F7F8"/>
          </w:tcPr>
          <w:p>
            <w:r>
              <w:t>Stage-observation adapters</w:t>
            </w:r>
          </w:p>
        </w:tc>
        <w:tc>
          <w:tcPr>
            <w:tcW w:type="dxa" w:w="4320"/>
            <w:shd w:val="clear" w:color="auto" w:fill="F4F7F8"/>
          </w:tcPr>
          <w:p>
            <w:r>
              <w:t>src/agents/reply_concierge/backflip_email_parser.py, backflip_mailbox_poller.py, backflip_stage_ingest.py, stage_monitor.py</w:t>
            </w:r>
          </w:p>
        </w:tc>
      </w:tr>
      <w:tr>
        <w:tc>
          <w:tcPr>
            <w:tcW w:type="dxa" w:w="4320"/>
          </w:tcPr>
          <w:p>
            <w:r>
              <w:t>Schema</w:t>
            </w:r>
          </w:p>
        </w:tc>
        <w:tc>
          <w:tcPr>
            <w:tcW w:type="dxa" w:w="4320"/>
          </w:tcPr>
          <w:p>
            <w:r>
              <w:t>migrations/apply_fa_max_wp_t2_6_stage_monitoring.py</w:t>
            </w:r>
          </w:p>
        </w:tc>
      </w:tr>
      <w:tr>
        <w:tc>
          <w:tcPr>
            <w:tcW w:type="dxa" w:w="4320"/>
            <w:shd w:val="clear" w:color="auto" w:fill="F4F7F8"/>
          </w:tcPr>
          <w:p>
            <w:r>
              <w:t>Tests</w:t>
            </w:r>
          </w:p>
        </w:tc>
        <w:tc>
          <w:tcPr>
            <w:tcW w:type="dxa" w:w="4320"/>
            <w:shd w:val="clear" w:color="auto" w:fill="F4F7F8"/>
          </w:tcPr>
          <w:p>
            <w:r>
              <w:t>tests/services/test_fa_max_file_state.py; tests/config/test_fa_max_stage_monitoring.py; tests/core/test_fa_max_stage_monitoring_models.py</w:t>
            </w:r>
          </w:p>
        </w:tc>
      </w:tr>
      <w:tr>
        <w:tc>
          <w:tcPr>
            <w:tcW w:type="dxa" w:w="4320"/>
          </w:tcPr>
          <w:p>
            <w:r>
              <w:t>Merged PR + same-day fixes</w:t>
            </w:r>
          </w:p>
        </w:tc>
        <w:tc>
          <w:tcPr>
            <w:tcW w:type="dxa" w:w="4320"/>
          </w:tcPr>
          <w:p>
            <w:r>
              <w:t>PR #294; commits dc2e474f, bbdc61b8, c50bb78c, db5ead2b, 244844ef</w:t>
            </w:r>
          </w:p>
        </w:tc>
      </w:tr>
    </w:tbl>
    <w:p>
      <w:pPr>
        <w:pStyle w:val="Heading3"/>
      </w:pPr>
      <w:r>
        <w:t>Notes / Production Configuration</w:t>
      </w:r>
    </w:p>
    <w:p>
      <w:r>
        <w:t>Stage observation is manual-update/email-parsing for v1 per Josh's own decision (SOT.md open item Q13 — 'I already made the call to keep this pipeline on my own data') — this is the confirmed v1 scope, not a shortfall.</w:t>
      </w:r>
    </w:p>
    <w:p>
      <w:pPr>
        <w:pStyle w:val="Heading2"/>
      </w:pPr>
      <w:r>
        <w:t>WP-T2-7 — Calendar Integration</w:t>
      </w:r>
    </w:p>
    <w:p>
      <w:r>
        <w:rPr>
          <w:b/>
        </w:rPr>
        <w:t xml:space="preserve">Original Requirement: </w:t>
      </w:r>
      <w:r>
        <w:t>Google Calendar OAuth availability query, minimum-notice enforcement, booking creation with invitation, a bookable link that reads live availability without a Cora round-trip, reschedule handling routed to EXCEPTIONS in v1, and a FakeCalendar for testing.</w:t>
      </w:r>
    </w:p>
    <w:p>
      <w:r>
        <w:rPr>
          <w:b/>
        </w:rPr>
        <w:t xml:space="preserve">Reference: </w:t>
      </w:r>
      <w:r>
        <w:t>Forced_Action_MAX_Tier2_4_Developer_Split.md — WP-T2-7 (Kept intact)</w:t>
      </w:r>
    </w:p>
    <w:p>
      <w:r>
        <w:rPr>
          <w:b/>
        </w:rPr>
        <w:t xml:space="preserve">Status: </w:t>
      </w:r>
      <w:r>
        <w:t>Open / in review — PR #296 (feat/fa-max-wp-t2-7-calendar-integration) — NOT merged to dev; gh pr view reports mergeable state CONFLICTING against current dev.</w:t>
      </w:r>
    </w:p>
    <w:p>
      <w:pPr>
        <w:pStyle w:val="Heading3"/>
      </w:pPr>
      <w:r>
        <w:t>What We Built</w:t>
      </w:r>
    </w:p>
    <w:p>
      <w:r>
        <w:t>The calendar tool (OAuth read of the client's Google Calendar, availability query respecting business hours/24-hour minimum notice/weekday-only, booking creation, and a FakeCalendar implementation) exists on branch feat/fa-max-wp-t2-7-calendar-integration but has not landed on dev.</w:t>
      </w:r>
    </w:p>
    <w:p>
      <w:r>
        <w:rPr>
          <w:b/>
        </w:rPr>
        <w:t xml:space="preserve">Client outcome: </w:t>
      </w:r>
      <w:r>
        <w:t>Not yet realized in the deployed system — any agent that would attach a live booking link (reply concierge, abandonment agent) is still working against the FakeCalendar test contract only, per the split's own recommended build order, so nothing downstream is structurally blocked, but no real booking can be created yet.</w:t>
      </w:r>
    </w:p>
    <w:p>
      <w:r>
        <w:rPr>
          <w:b/>
        </w:rPr>
        <w:t xml:space="preserve">Migration paths: </w:t>
      </w:r>
      <w:r>
        <w:t>Not yet applied to dev.</w:t>
      </w:r>
    </w:p>
    <w:p>
      <w:r>
        <w:rPr>
          <w:b/>
        </w:rPr>
        <w:t xml:space="preserve">DB output / verification: </w:t>
      </w:r>
      <w:r>
        <w:t>Cannot be verified against dev until the PR is merged.</w:t>
      </w:r>
    </w:p>
    <w:p>
      <w:pPr>
        <w:pStyle w:val="Heading3"/>
      </w:pPr>
      <w:r>
        <w:t>Technical Implementation Details</w:t>
      </w:r>
    </w:p>
    <w:p>
      <w:pPr>
        <w:pStyle w:val="ListBullet"/>
      </w:pPr>
      <w:r>
        <w:t>PR #296 targets dev directly and implements the split's full scope: get_slots(date_range), book(contact, slot, topic), reschedule(booking_id) as the tool-registry interface WP-T2-2 expects any tool to expose.</w:t>
      </w:r>
    </w:p>
    <w:p>
      <w:pPr>
        <w:pStyle w:val="ListBullet"/>
      </w:pPr>
      <w:r>
        <w:t>The conflict is against commits merged to dev after PR #296 was opened — most likely the WP-T2-6 stage-monitoring follow-on fixes and the WP-T2-2/T2-3 migrations that landed afterward and touch adjacent scheduling/tool-registry surface area.</w:t>
      </w:r>
    </w:p>
    <w:p>
      <w:pPr>
        <w:pStyle w:val="ListBullet"/>
      </w:pPr>
      <w:r>
        <w:t>Because WP-T2-2 (agent loop/tool registry) shipped its own FakeCalendar-compatible tool contract ahead of this PR per the split's dependency ordering, the reply concierge and abandonment agent were built and merged against that contract already — they will pick up a live calendar with no further code change once #296 lands.</w:t>
      </w:r>
    </w:p>
    <w:p>
      <w:pPr>
        <w:pStyle w:val="Heading3"/>
      </w:pPr>
      <w:r>
        <w:t>Evidence / Proof of Work</w:t>
      </w:r>
    </w:p>
    <w:tbl>
      <w:tblPr>
        <w:tblStyle w:val="TableGrid"/>
        <w:tblW w:type="auto" w:w="0"/>
        <w:tblLook w:firstColumn="1" w:firstRow="1" w:lastColumn="0" w:lastRow="0" w:noHBand="0" w:noVBand="1" w:val="04A0"/>
      </w:tblPr>
      <w:tblGrid>
        <w:gridCol w:w="4320"/>
        <w:gridCol w:w="4320"/>
      </w:tblGrid>
      <w:tr>
        <w:tc>
          <w:tcPr>
            <w:tcW w:type="dxa" w:w="4320"/>
            <w:shd w:val="clear" w:color="auto" w:fill="103F47"/>
          </w:tcPr>
          <w:p>
            <w:r>
              <w:rPr>
                <w:b/>
                <w:color w:val="FFFFFF"/>
              </w:rPr>
              <w:t>Proof</w:t>
            </w:r>
          </w:p>
        </w:tc>
        <w:tc>
          <w:tcPr>
            <w:tcW w:type="dxa" w:w="4320"/>
            <w:shd w:val="clear" w:color="auto" w:fill="103F47"/>
          </w:tcPr>
          <w:p>
            <w:r>
              <w:rPr>
                <w:b/>
                <w:color w:val="FFFFFF"/>
              </w:rPr>
              <w:t>Location</w:t>
            </w:r>
          </w:p>
        </w:tc>
      </w:tr>
      <w:tr>
        <w:tc>
          <w:tcPr>
            <w:tcW w:type="dxa" w:w="4320"/>
            <w:shd w:val="clear" w:color="auto" w:fill="F4F7F8"/>
          </w:tcPr>
          <w:p>
            <w:r>
              <w:t>Open PR</w:t>
            </w:r>
          </w:p>
        </w:tc>
        <w:tc>
          <w:tcPr>
            <w:tcW w:type="dxa" w:w="4320"/>
            <w:shd w:val="clear" w:color="auto" w:fill="F4F7F8"/>
          </w:tcPr>
          <w:p>
            <w:r>
              <w:t>PR #296 — feat/fa-max-wp-t2-7-calendar-integration</w:t>
            </w:r>
          </w:p>
        </w:tc>
      </w:tr>
      <w:tr>
        <w:tc>
          <w:tcPr>
            <w:tcW w:type="dxa" w:w="4320"/>
          </w:tcPr>
          <w:p>
            <w:r>
              <w:t>Merge status</w:t>
            </w:r>
          </w:p>
        </w:tc>
        <w:tc>
          <w:tcPr>
            <w:tcW w:type="dxa" w:w="4320"/>
          </w:tcPr>
          <w:p>
            <w:r>
              <w:t>gh pr view 296 → state OPEN, mergeable CONFLICTING (checked at report time)</w:t>
            </w:r>
          </w:p>
        </w:tc>
      </w:tr>
    </w:tbl>
    <w:p>
      <w:pPr>
        <w:pStyle w:val="Heading3"/>
      </w:pPr>
      <w:r>
        <w:t>Notes / Production Configuration</w:t>
      </w:r>
    </w:p>
    <w:p>
      <w:r>
        <w:t>ACTION ITEM: rebase PR #296 onto current dev, resolve the conflict, re-run the suite, and merge. This is the one remaining gap between the Tier 1/2 scope as specified and what is live on dev today.</w:t>
      </w:r>
    </w:p>
    <w:p>
      <w:pPr>
        <w:pStyle w:val="Heading2"/>
      </w:pPr>
      <w:r>
        <w:t>WP-T2-8 — Construction and Builder Engine</w:t>
      </w:r>
    </w:p>
    <w:p>
      <w:r>
        <w:rPr>
          <w:b/>
        </w:rPr>
        <w:t xml:space="preserve">Original Requirement: </w:t>
      </w:r>
      <w:r>
        <w:t>Permit sourcing for Hillsborough/Pinellas/Pasco extending the existing 41-source scheduler (no second scheduler), canonical-borrower resolution of permit holders, repeat/concurrent/spec-builder pattern detection, and 85% LTC-weighted scoring feeding the dial list — with construction signals ranked above generic distress.</w:t>
      </w:r>
    </w:p>
    <w:p>
      <w:r>
        <w:rPr>
          <w:b/>
        </w:rPr>
        <w:t xml:space="preserve">Reference: </w:t>
      </w:r>
      <w:r>
        <w:t>Forced_Action_MAX_Tier2_4_Developer_Split.md — WP-T2-8 (Kept intact)</w:t>
      </w:r>
    </w:p>
    <w:p>
      <w:r>
        <w:rPr>
          <w:b/>
        </w:rPr>
        <w:t xml:space="preserve">Status: </w:t>
      </w:r>
      <w:r>
        <w:t>Delivered — PR #277 (WP-T2-8 Construction/Builder Engine — Stages A–D, F) — merged to dev; extended with CapDetail permit enrichment in PR #286.</w:t>
      </w:r>
    </w:p>
    <w:p>
      <w:pPr>
        <w:pStyle w:val="Heading3"/>
      </w:pPr>
      <w:r>
        <w:t>What We Built</w:t>
      </w:r>
    </w:p>
    <w:p>
      <w:r>
        <w:t>src/services/builder_patterns.py (repeat/concurrent/spec-builder detection) and builder_sizing.py (85% LTC-weighted loan-size estimation), consuming permits from the existing src/scrappers/permit/ engine rather than a new scraper stack.</w:t>
      </w:r>
    </w:p>
    <w:p>
      <w:r>
        <w:rPr>
          <w:b/>
        </w:rPr>
        <w:t xml:space="preserve">Client outcome: </w:t>
      </w:r>
      <w:r>
        <w:t>Every active permit-puller in Hillsborough and Pinellas with two or more permits in 24 months is in the graph with a resolved principal; builder opportunities rank above generic distress signals of equal expected revenue in the dial list.</w:t>
      </w:r>
    </w:p>
    <w:p>
      <w:r>
        <w:rPr>
          <w:b/>
        </w:rPr>
        <w:t xml:space="preserve">Migration paths: </w:t>
      </w:r>
      <w:r>
        <w:t>Builder-pattern flags and scoring reuse the existing property/permit schema; no new scheduler process was introduced, per the client's explicit instruction.</w:t>
      </w:r>
    </w:p>
    <w:p>
      <w:r>
        <w:rPr>
          <w:b/>
        </w:rPr>
        <w:t xml:space="preserve">DB output / verification: </w:t>
      </w:r>
      <w:r>
        <w:t>Pattern-detection logic is covered under the builder-engine test suite added with PR #277; permit-detail enrichment (Stages A–E) is covered separately under PR #286.</w:t>
      </w:r>
    </w:p>
    <w:p>
      <w:pPr>
        <w:pStyle w:val="Heading3"/>
      </w:pPr>
      <w:r>
        <w:t>Technical Implementation Details</w:t>
      </w:r>
    </w:p>
    <w:p>
      <w:pPr>
        <w:pStyle w:val="ListBullet"/>
      </w:pPr>
      <w:r>
        <w:t>src/services/builder_patterns.py: repeat builder (2+ permits/24mo), concurrent builder (2+ currently active), townhome/infill clustering, land-acquisition-to-permit (deed within 90 days followed by a permit from the same principal), and spec-builder cadence detection — all five patterns the split specifies.</w:t>
      </w:r>
    </w:p>
    <w:p>
      <w:pPr>
        <w:pStyle w:val="ListBullet"/>
      </w:pPr>
      <w:r>
        <w:t>src/services/builder_sizing.py: loan-size estimation referencing 85% LTC as the construction-program reference point, feeding the same expected-revenue formula used by the dial list (WP-9) so construction/builder deals aren't scored on a second, incompatible scale.</w:t>
      </w:r>
    </w:p>
    <w:p>
      <w:pPr>
        <w:pStyle w:val="ListBullet"/>
      </w:pPr>
      <w:r>
        <w:t>src/scrappers/permit/permit_engine.py and detail_parse.py: the underlying permit source, extended (per PR #286's 'Accela CapDetail permit enrichment — Stages A–E') rather than replaced, running under the repo's existing 41-source SLA-monitored scheduler.</w:t>
      </w:r>
    </w:p>
    <w:p>
      <w:pPr>
        <w:pStyle w:val="ListBullet"/>
      </w:pPr>
      <w:r>
        <w:t>Permit-holder and contractor names resolve through the WP-3/WP-4 identity layer; permits below the resolution-confidence threshold route to EXCEPTIONS for manual confirmation rather than being silently attached to the wrong principal.</w:t>
      </w:r>
    </w:p>
    <w:p>
      <w:pPr>
        <w:pStyle w:val="Heading3"/>
      </w:pPr>
      <w:r>
        <w:t>Evidence / Proof of Work</w:t>
      </w:r>
    </w:p>
    <w:tbl>
      <w:tblPr>
        <w:tblStyle w:val="TableGrid"/>
        <w:tblW w:type="auto" w:w="0"/>
        <w:tblLook w:firstColumn="1" w:firstRow="1" w:lastColumn="0" w:lastRow="0" w:noHBand="0" w:noVBand="1" w:val="04A0"/>
      </w:tblPr>
      <w:tblGrid>
        <w:gridCol w:w="4320"/>
        <w:gridCol w:w="4320"/>
      </w:tblGrid>
      <w:tr>
        <w:tc>
          <w:tcPr>
            <w:tcW w:type="dxa" w:w="4320"/>
            <w:shd w:val="clear" w:color="auto" w:fill="103F47"/>
          </w:tcPr>
          <w:p>
            <w:r>
              <w:rPr>
                <w:b/>
                <w:color w:val="FFFFFF"/>
              </w:rPr>
              <w:t>Proof</w:t>
            </w:r>
          </w:p>
        </w:tc>
        <w:tc>
          <w:tcPr>
            <w:tcW w:type="dxa" w:w="4320"/>
            <w:shd w:val="clear" w:color="auto" w:fill="103F47"/>
          </w:tcPr>
          <w:p>
            <w:r>
              <w:rPr>
                <w:b/>
                <w:color w:val="FFFFFF"/>
              </w:rPr>
              <w:t>Location</w:t>
            </w:r>
          </w:p>
        </w:tc>
      </w:tr>
      <w:tr>
        <w:tc>
          <w:tcPr>
            <w:tcW w:type="dxa" w:w="4320"/>
            <w:shd w:val="clear" w:color="auto" w:fill="F4F7F8"/>
          </w:tcPr>
          <w:p>
            <w:r>
              <w:t>Builder pattern detection</w:t>
            </w:r>
          </w:p>
        </w:tc>
        <w:tc>
          <w:tcPr>
            <w:tcW w:type="dxa" w:w="4320"/>
            <w:shd w:val="clear" w:color="auto" w:fill="F4F7F8"/>
          </w:tcPr>
          <w:p>
            <w:r>
              <w:t>src/services/builder_patterns.py</w:t>
            </w:r>
          </w:p>
        </w:tc>
      </w:tr>
      <w:tr>
        <w:tc>
          <w:tcPr>
            <w:tcW w:type="dxa" w:w="4320"/>
          </w:tcPr>
          <w:p>
            <w:r>
              <w:t>Construction loan sizing (85% LTC)</w:t>
            </w:r>
          </w:p>
        </w:tc>
        <w:tc>
          <w:tcPr>
            <w:tcW w:type="dxa" w:w="4320"/>
          </w:tcPr>
          <w:p>
            <w:r>
              <w:t>src/services/builder_sizing.py</w:t>
            </w:r>
          </w:p>
        </w:tc>
      </w:tr>
      <w:tr>
        <w:tc>
          <w:tcPr>
            <w:tcW w:type="dxa" w:w="4320"/>
            <w:shd w:val="clear" w:color="auto" w:fill="F4F7F8"/>
          </w:tcPr>
          <w:p>
            <w:r>
              <w:t>Permit source (extended, not replaced)</w:t>
            </w:r>
          </w:p>
        </w:tc>
        <w:tc>
          <w:tcPr>
            <w:tcW w:type="dxa" w:w="4320"/>
            <w:shd w:val="clear" w:color="auto" w:fill="F4F7F8"/>
          </w:tcPr>
          <w:p>
            <w:r>
              <w:t>src/scrappers/permit/permit_engine.py, detail_parse.py</w:t>
            </w:r>
          </w:p>
        </w:tc>
      </w:tr>
      <w:tr>
        <w:tc>
          <w:tcPr>
            <w:tcW w:type="dxa" w:w="4320"/>
          </w:tcPr>
          <w:p>
            <w:r>
              <w:t>Merged PRs</w:t>
            </w:r>
          </w:p>
        </w:tc>
        <w:tc>
          <w:tcPr>
            <w:tcW w:type="dxa" w:w="4320"/>
          </w:tcPr>
          <w:p>
            <w:r>
              <w:t>PR #277; PR #286 (CapDetail enrichment Stages A–E)</w:t>
            </w:r>
          </w:p>
        </w:tc>
      </w:tr>
    </w:tbl>
    <w:p>
      <w:pPr>
        <w:pStyle w:val="Heading3"/>
      </w:pPr>
      <w:r>
        <w:t>Notes / Production Configuration</w:t>
      </w:r>
    </w:p>
    <w:p>
      <w:r>
        <w:t>Pasco is treated as best-effort/higher-risk per the client's own guidance (SOT.md Response #3) — coverage runs under the same SLA-monitored scheduler with a stale-source alert rather than a hard dependency.</w:t>
      </w:r>
    </w:p>
    <w:p>
      <w:pPr>
        <w:pStyle w:val="Heading2"/>
      </w:pPr>
      <w:r>
        <w:t>WP-T2-9 — Partner Mining and Producer Ranking</w:t>
      </w:r>
    </w:p>
    <w:p>
      <w:r>
        <w:rPr>
          <w:b/>
        </w:rPr>
        <w:t xml:space="preserve">Original Requirement: </w:t>
      </w:r>
      <w:r>
        <w:t>Deed counterparty extraction (title, agents, lender, wholesaler), resolution to canonical contacts via the identity graph, partner-class assignment, and a ranked top-25-per-class list with observed transaction counts, updating as new deeds arrive.</w:t>
      </w:r>
    </w:p>
    <w:p>
      <w:r>
        <w:rPr>
          <w:b/>
        </w:rPr>
        <w:t xml:space="preserve">Reference: </w:t>
      </w:r>
      <w:r>
        <w:t>Forced_Action_MAX_Tier2_4_Developer_Split.md — WP-T2-9 (Kept intact)</w:t>
      </w:r>
    </w:p>
    <w:p>
      <w:r>
        <w:rPr>
          <w:b/>
        </w:rPr>
        <w:t xml:space="preserve">Status: </w:t>
      </w:r>
      <w:r>
        <w:t>Delivered — PR #287 (WP-T2-9 Partner Mining — deed counterparty classification + buyer entity enrichment) — merged to dev.</w:t>
      </w:r>
    </w:p>
    <w:p>
      <w:pPr>
        <w:pStyle w:val="Heading3"/>
      </w:pPr>
      <w:r>
        <w:t>What We Built</w:t>
      </w:r>
    </w:p>
    <w:p>
      <w:r>
        <w:t>src/services/partner_mining/enrich.py (counterparty extraction + classification + enrichment cascade) and persist.py (ranked, persisted partner records linked to the WP-3/WP-4 identity graph).</w:t>
      </w:r>
    </w:p>
    <w:p>
      <w:r>
        <w:rPr>
          <w:b/>
        </w:rPr>
        <w:t xml:space="preserve">Client outcome: </w:t>
      </w:r>
      <w:r>
        <w:t>A ranked top-25-per-class list for the target counties exists with observed transaction counts and resolved contacts, updating automatically as new deeds arrive through the scheduler — the client's own week-one deliverable.</w:t>
      </w:r>
    </w:p>
    <w:p>
      <w:r>
        <w:rPr>
          <w:b/>
        </w:rPr>
        <w:t xml:space="preserve">Migration paths: </w:t>
      </w:r>
      <w:r>
        <w:t>Partner records ship in PR #287's migration set, linked into the existing person/entity graph.</w:t>
      </w:r>
    </w:p>
    <w:p>
      <w:r>
        <w:rPr>
          <w:b/>
        </w:rPr>
        <w:t xml:space="preserve">DB output / verification: </w:t>
      </w:r>
      <w:r>
        <w:t>Deed counterparty extraction and ranking logic are covered under the partner-mining test suite added with PR #287.</w:t>
      </w:r>
    </w:p>
    <w:p>
      <w:pPr>
        <w:pStyle w:val="Heading3"/>
      </w:pPr>
      <w:r>
        <w:t>Technical Implementation Details</w:t>
      </w:r>
    </w:p>
    <w:p>
      <w:pPr>
        <w:pStyle w:val="ListBullet"/>
      </w:pPr>
      <w:r>
        <w:t>src/services/partner_mining/enrich.py: parses recorded deeds for buyer, seller, title company/representative, both agents, and any recorded lender; classifies each into one of the eight client-specified partner classes (title rep, investor-friendly agent, wholesaler, builder, contractor, property manager, broker, insurance agent).</w:t>
      </w:r>
    </w:p>
    <w:p>
      <w:pPr>
        <w:pStyle w:val="ListBullet"/>
      </w:pPr>
      <w:r>
        <w:t>Low-confidence counterparty resolutions route to EXCEPTIONS rather than being silently attached to the wrong contact, reusing the WP-3/WP-4 confidence model.</w:t>
      </w:r>
    </w:p>
    <w:p>
      <w:pPr>
        <w:pStyle w:val="ListBullet"/>
      </w:pPr>
      <w:r>
        <w:t>Enrichment for missing contact details falls back to this repo's existing Tracerfy/BatchData/PDL cascade rather than a new enrichment integration, per the client's own reuse instruction.</w:t>
      </w:r>
    </w:p>
    <w:p>
      <w:pPr>
        <w:pStyle w:val="ListBullet"/>
      </w:pPr>
      <w:r>
        <w:t>src/services/partner_mining/persist.py: ranks by observed investor-transaction count per class and flags the top 25 as week-one outreach candidates; partners who drop out of the top 25 are re-ranked, not deleted.</w:t>
      </w:r>
    </w:p>
    <w:p>
      <w:pPr>
        <w:pStyle w:val="Heading3"/>
      </w:pPr>
      <w:r>
        <w:t>Evidence / Proof of Work</w:t>
      </w:r>
    </w:p>
    <w:tbl>
      <w:tblPr>
        <w:tblStyle w:val="TableGrid"/>
        <w:tblW w:type="auto" w:w="0"/>
        <w:tblLook w:firstColumn="1" w:firstRow="1" w:lastColumn="0" w:lastRow="0" w:noHBand="0" w:noVBand="1" w:val="04A0"/>
      </w:tblPr>
      <w:tblGrid>
        <w:gridCol w:w="4320"/>
        <w:gridCol w:w="4320"/>
      </w:tblGrid>
      <w:tr>
        <w:tc>
          <w:tcPr>
            <w:tcW w:type="dxa" w:w="4320"/>
            <w:shd w:val="clear" w:color="auto" w:fill="103F47"/>
          </w:tcPr>
          <w:p>
            <w:r>
              <w:rPr>
                <w:b/>
                <w:color w:val="FFFFFF"/>
              </w:rPr>
              <w:t>Proof</w:t>
            </w:r>
          </w:p>
        </w:tc>
        <w:tc>
          <w:tcPr>
            <w:tcW w:type="dxa" w:w="4320"/>
            <w:shd w:val="clear" w:color="auto" w:fill="103F47"/>
          </w:tcPr>
          <w:p>
            <w:r>
              <w:rPr>
                <w:b/>
                <w:color w:val="FFFFFF"/>
              </w:rPr>
              <w:t>Location</w:t>
            </w:r>
          </w:p>
        </w:tc>
      </w:tr>
      <w:tr>
        <w:tc>
          <w:tcPr>
            <w:tcW w:type="dxa" w:w="4320"/>
            <w:shd w:val="clear" w:color="auto" w:fill="F4F7F8"/>
          </w:tcPr>
          <w:p>
            <w:r>
              <w:t>Counterparty extraction + classification</w:t>
            </w:r>
          </w:p>
        </w:tc>
        <w:tc>
          <w:tcPr>
            <w:tcW w:type="dxa" w:w="4320"/>
            <w:shd w:val="clear" w:color="auto" w:fill="F4F7F8"/>
          </w:tcPr>
          <w:p>
            <w:r>
              <w:t>src/services/partner_mining/enrich.py</w:t>
            </w:r>
          </w:p>
        </w:tc>
      </w:tr>
      <w:tr>
        <w:tc>
          <w:tcPr>
            <w:tcW w:type="dxa" w:w="4320"/>
          </w:tcPr>
          <w:p>
            <w:r>
              <w:t>Ranking + persistence</w:t>
            </w:r>
          </w:p>
        </w:tc>
        <w:tc>
          <w:tcPr>
            <w:tcW w:type="dxa" w:w="4320"/>
          </w:tcPr>
          <w:p>
            <w:r>
              <w:t>src/services/partner_mining/persist.py</w:t>
            </w:r>
          </w:p>
        </w:tc>
      </w:tr>
      <w:tr>
        <w:tc>
          <w:tcPr>
            <w:tcW w:type="dxa" w:w="4320"/>
            <w:shd w:val="clear" w:color="auto" w:fill="F4F7F8"/>
          </w:tcPr>
          <w:p>
            <w:r>
              <w:t>Merged PR</w:t>
            </w:r>
          </w:p>
        </w:tc>
        <w:tc>
          <w:tcPr>
            <w:tcW w:type="dxa" w:w="4320"/>
            <w:shd w:val="clear" w:color="auto" w:fill="F4F7F8"/>
          </w:tcPr>
          <w:p>
            <w:r>
              <w:t>PR #287</w:t>
            </w:r>
          </w:p>
        </w:tc>
      </w:tr>
    </w:tbl>
    <w:p>
      <w:pPr>
        <w:pStyle w:val="Heading3"/>
      </w:pPr>
      <w:r>
        <w:t>Notes / Production Configuration</w:t>
      </w:r>
    </w:p>
    <w:p>
      <w:r>
        <w:t>Title reps — the client's own highest-value class — resolve through the same enrichment cascade as every other class; no separate title-rep-specific pipeline was built, since the split calls for one pipeline with class assignment, not eight.</w:t>
      </w:r>
    </w:p>
    <w:p>
      <w:pPr>
        <w:pStyle w:val="Heading2"/>
      </w:pPr>
      <w:r>
        <w:t>WP-T2-10 — Lender Box Engine</w:t>
      </w:r>
    </w:p>
    <w:p>
      <w:r>
        <w:rPr>
          <w:b/>
        </w:rPr>
        <w:t xml:space="preserve">Original Requirement: </w:t>
      </w:r>
      <w:r>
        <w:t>A program-rules data table (no-deploy edits) and a lenderbox.evaluate(deal) function returning in-box / exception / out-of-box with specific reasons — with every out-of-box result routed to EXCEPTIONS rather than discarded, and re-evaluation of open opportunities when a program rule changes.</w:t>
      </w:r>
    </w:p>
    <w:p>
      <w:r>
        <w:rPr>
          <w:b/>
        </w:rPr>
        <w:t xml:space="preserve">Reference: </w:t>
      </w:r>
      <w:r>
        <w:t>Forced_Action_MAX_Tier2_4_Developer_Split.md — WP-T2-10 (Kept intact)</w:t>
      </w:r>
    </w:p>
    <w:p>
      <w:r>
        <w:rPr>
          <w:b/>
        </w:rPr>
        <w:t xml:space="preserve">Status: </w:t>
      </w:r>
      <w:r>
        <w:t>Delivered — PR #282 (Feat/fa max lender box command center) — merged to dev.</w:t>
      </w:r>
    </w:p>
    <w:p>
      <w:pPr>
        <w:pStyle w:val="Heading3"/>
      </w:pPr>
      <w:r>
        <w:t>What We Built</w:t>
      </w:r>
    </w:p>
    <w:p>
      <w:r>
        <w:t>src/services/lender_box.py: the program-rules table and the evaluate(deal) eligibility function consumed directly by the Scenario Builder (WP-8A) and the opportunity router (WP-T2-11).</w:t>
      </w:r>
    </w:p>
    <w:p>
      <w:r>
        <w:rPr>
          <w:b/>
        </w:rPr>
        <w:t xml:space="preserve">Client outcome: </w:t>
      </w:r>
      <w:r>
        <w:t>Josh can answer 'will Backflip do this deal' in seconds with a correct, specific answer; a program-rule change is a row edit, never a deploy; no opportunity is silently discarded.</w:t>
      </w:r>
    </w:p>
    <w:p>
      <w:r>
        <w:rPr>
          <w:b/>
        </w:rPr>
        <w:t xml:space="preserve">Migration paths: </w:t>
      </w:r>
      <w:r>
        <w:t>Program-rules table ships in PR #282's migration set alongside the Command Center schema.</w:t>
      </w:r>
    </w:p>
    <w:p>
      <w:r>
        <w:rPr>
          <w:b/>
        </w:rPr>
        <w:t xml:space="preserve">DB output / verification: </w:t>
      </w:r>
      <w:r>
        <w:t>Eligibility evaluation and exception routing are covered under the lender-box test suite added with PR #282; the router's consumption of this interface is covered by tests/test_fa_max_opportunity_router.py.</w:t>
      </w:r>
    </w:p>
    <w:p>
      <w:pPr>
        <w:pStyle w:val="Heading3"/>
      </w:pPr>
      <w:r>
        <w:t>Technical Implementation Details</w:t>
      </w:r>
    </w:p>
    <w:p>
      <w:pPr>
        <w:pStyle w:val="ListBullet"/>
      </w:pPr>
      <w:r>
        <w:t>src/services/lender_box.py: one row per program constraint (property type, loan-size range, LTC/LTV limits, geography, borrower-experience requirements, exclusions), each tagged with an effective/expiry date so deactivated rules stay available for historical reference.</w:t>
      </w:r>
    </w:p>
    <w:p>
      <w:pPr>
        <w:pStyle w:val="ListBullet"/>
      </w:pPr>
      <w:r>
        <w:t>evaluate(deal) returns match status (in-box/exception/out-of-box), the matched program if in-box, fail reasons if out-of-box, and an explicit uncertain flag — never a bare 'no' — when required inputs are missing.</w:t>
      </w:r>
    </w:p>
    <w:p>
      <w:pPr>
        <w:pStyle w:val="ListBullet"/>
      </w:pPr>
      <w:r>
        <w:t>Out-of-box results write an exception record rather than a discard, carrying the specific failed rules and (once enough history exists) Josh's historical exception rate for that rule type.</w:t>
      </w:r>
    </w:p>
    <w:p>
      <w:pPr>
        <w:pStyle w:val="ListBullet"/>
      </w:pPr>
      <w:r>
        <w:t>A program-rule update triggers re-evaluation of open opportunities; any opportunity whose status flips from out-of-box to in-box resurfaces in EXCEPTIONS as a possible re-engagement — directly feeding WP-T2-5's re-engagement trigger.</w:t>
      </w:r>
    </w:p>
    <w:p>
      <w:pPr>
        <w:pStyle w:val="Heading3"/>
      </w:pPr>
      <w:r>
        <w:t>Evidence / Proof of Work</w:t>
      </w:r>
    </w:p>
    <w:tbl>
      <w:tblPr>
        <w:tblStyle w:val="TableGrid"/>
        <w:tblW w:type="auto" w:w="0"/>
        <w:tblLook w:firstColumn="1" w:firstRow="1" w:lastColumn="0" w:lastRow="0" w:noHBand="0" w:noVBand="1" w:val="04A0"/>
      </w:tblPr>
      <w:tblGrid>
        <w:gridCol w:w="4320"/>
        <w:gridCol w:w="4320"/>
      </w:tblGrid>
      <w:tr>
        <w:tc>
          <w:tcPr>
            <w:tcW w:type="dxa" w:w="4320"/>
            <w:shd w:val="clear" w:color="auto" w:fill="103F47"/>
          </w:tcPr>
          <w:p>
            <w:r>
              <w:rPr>
                <w:b/>
                <w:color w:val="FFFFFF"/>
              </w:rPr>
              <w:t>Proof</w:t>
            </w:r>
          </w:p>
        </w:tc>
        <w:tc>
          <w:tcPr>
            <w:tcW w:type="dxa" w:w="4320"/>
            <w:shd w:val="clear" w:color="auto" w:fill="103F47"/>
          </w:tcPr>
          <w:p>
            <w:r>
              <w:rPr>
                <w:b/>
                <w:color w:val="FFFFFF"/>
              </w:rPr>
              <w:t>Location</w:t>
            </w:r>
          </w:p>
        </w:tc>
      </w:tr>
      <w:tr>
        <w:tc>
          <w:tcPr>
            <w:tcW w:type="dxa" w:w="4320"/>
            <w:shd w:val="clear" w:color="auto" w:fill="F4F7F8"/>
          </w:tcPr>
          <w:p>
            <w:r>
              <w:t>Program rules + eligibility function</w:t>
            </w:r>
          </w:p>
        </w:tc>
        <w:tc>
          <w:tcPr>
            <w:tcW w:type="dxa" w:w="4320"/>
            <w:shd w:val="clear" w:color="auto" w:fill="F4F7F8"/>
          </w:tcPr>
          <w:p>
            <w:r>
              <w:t>src/services/lender_box.py</w:t>
            </w:r>
          </w:p>
        </w:tc>
      </w:tr>
      <w:tr>
        <w:tc>
          <w:tcPr>
            <w:tcW w:type="dxa" w:w="4320"/>
          </w:tcPr>
          <w:p>
            <w:r>
              <w:t>Router consumption of evaluate(deal)</w:t>
            </w:r>
          </w:p>
        </w:tc>
        <w:tc>
          <w:tcPr>
            <w:tcW w:type="dxa" w:w="4320"/>
          </w:tcPr>
          <w:p>
            <w:r>
              <w:t>tests/test_fa_max_opportunity_router.py</w:t>
            </w:r>
          </w:p>
        </w:tc>
      </w:tr>
      <w:tr>
        <w:tc>
          <w:tcPr>
            <w:tcW w:type="dxa" w:w="4320"/>
            <w:shd w:val="clear" w:color="auto" w:fill="F4F7F8"/>
          </w:tcPr>
          <w:p>
            <w:r>
              <w:t>Merged PR</w:t>
            </w:r>
          </w:p>
        </w:tc>
        <w:tc>
          <w:tcPr>
            <w:tcW w:type="dxa" w:w="4320"/>
            <w:shd w:val="clear" w:color="auto" w:fill="F4F7F8"/>
          </w:tcPr>
          <w:p>
            <w:r>
              <w:t>PR #282</w:t>
            </w:r>
          </w:p>
        </w:tc>
      </w:tr>
    </w:tbl>
    <w:p>
      <w:pPr>
        <w:pStyle w:val="Heading3"/>
      </w:pPr>
      <w:r>
        <w:t>Notes / Production Configuration</w:t>
      </w:r>
    </w:p>
    <w:p>
      <w:r>
        <w:t>v1 ships with placeholder program rules pending Backflip's confirmed current values (SOT.md open item #14) — the schema and evaluation logic are not blocked on this, since the rules are data going into an already-built table, exactly as the client instructed.</w:t>
      </w:r>
    </w:p>
    <w:p>
      <w:pPr>
        <w:pStyle w:val="Heading2"/>
      </w:pPr>
      <w:r>
        <w:t>WP-T2-11 — Green/Yellow/Red Opportunity Router</w:t>
      </w:r>
    </w:p>
    <w:p>
      <w:r>
        <w:rPr>
          <w:b/>
        </w:rPr>
        <w:t xml:space="preserve">Original Requirement: </w:t>
      </w:r>
      <w:r>
        <w:t>Color + expected-revenue assignment per opportunity, consuming the Lender Box, borrower ledger, and Scenario Builder outputs; ranking within color by expected dollars; green→MONEY, red→EXCEPTIONS with reason; stale-green resurfacing after one business day.</w:t>
      </w:r>
    </w:p>
    <w:p>
      <w:r>
        <w:rPr>
          <w:b/>
        </w:rPr>
        <w:t xml:space="preserve">Reference: </w:t>
      </w:r>
      <w:r>
        <w:t>Forced_Action_MAX_Tier2_4_Developer_Split.md — WP-T2-11 (Kept intact)</w:t>
      </w:r>
    </w:p>
    <w:p>
      <w:r>
        <w:rPr>
          <w:b/>
        </w:rPr>
        <w:t xml:space="preserve">Status: </w:t>
      </w:r>
      <w:r>
        <w:t>Delivered — PR #291 (feat/wp-t2-11-opportunity-router) — merged to dev.</w:t>
      </w:r>
    </w:p>
    <w:p>
      <w:pPr>
        <w:pStyle w:val="Heading3"/>
      </w:pPr>
      <w:r>
        <w:t>What We Built</w:t>
      </w:r>
    </w:p>
    <w:p>
      <w:r>
        <w:t>src/services/opportunity_router/: classify.py (color assignment), assemble.py, router.py (ranking + queue routing), models.py, and delivery.py (posting into MONEY/EXCEPTIONS).</w:t>
      </w:r>
    </w:p>
    <w:p>
      <w:r>
        <w:rPr>
          <w:b/>
        </w:rPr>
        <w:t xml:space="preserve">Client outcome: </w:t>
      </w:r>
      <w:r>
        <w:t>Every opportunity carries a current color and expected-revenue figure; green opportunities appear in MONEY ranked by expected revenue before 7 AM; an unactioned green opportunity resurfaces with a staleness flag after one business day; red opportunities carry a specific, human-readable reason.</w:t>
      </w:r>
    </w:p>
    <w:p>
      <w:r>
        <w:rPr>
          <w:b/>
        </w:rPr>
        <w:t xml:space="preserve">Migration paths: </w:t>
      </w:r>
      <w:r>
        <w:t>migrations/apply_fa_max_wp_t2_11_opportunity_router.py.</w:t>
      </w:r>
    </w:p>
    <w:p>
      <w:r>
        <w:rPr>
          <w:b/>
        </w:rPr>
        <w:t xml:space="preserve">DB output / verification: </w:t>
      </w:r>
      <w:r>
        <w:t>tests/test_fa_max_opportunity_router.py.</w:t>
      </w:r>
    </w:p>
    <w:p>
      <w:pPr>
        <w:pStyle w:val="Heading3"/>
      </w:pPr>
      <w:r>
        <w:t>Technical Implementation Details</w:t>
      </w:r>
    </w:p>
    <w:p>
      <w:pPr>
        <w:pStyle w:val="ListBullet"/>
      </w:pPr>
      <w:r>
        <w:t>src/services/opportunity_router/classify.py: green requires in-Lender-Box + expected revenue above threshold + no blocking data gap + not suppressed; yellow is near-box-but-missing-something-specific; red is clearly out-of-box, suppressed, already funded elsewhere, or dead — exactly the three-way split the client specified, never a binary in/out.</w:t>
      </w:r>
    </w:p>
    <w:p>
      <w:pPr>
        <w:pStyle w:val="ListBullet"/>
      </w:pPr>
      <w:r>
        <w:t>Expected-revenue calculation (probability × loan size × commission × urgency) is the same formula as the dial list (WP-9) and construction engine (WP-T2-8), read from one shared function rather than reimplemented per consumer.</w:t>
      </w:r>
    </w:p>
    <w:p>
      <w:pPr>
        <w:pStyle w:val="ListBullet"/>
      </w:pPr>
      <w:r>
        <w:t>migrations/apply_fa_max_wp_t2_11_opportunity_router.py: the color/rank/staleness columns on fa_max_opportunities that this router reads and writes.</w:t>
      </w:r>
    </w:p>
    <w:p>
      <w:pPr>
        <w:pStyle w:val="ListBullet"/>
      </w:pPr>
      <w:r>
        <w:t>Stale-green resurfacing: a green opportunity not actioned (approved, snoozed, marked called) within one business day resurfaces with a staleness flag rather than silently aging in the queue.</w:t>
      </w:r>
    </w:p>
    <w:p>
      <w:pPr>
        <w:pStyle w:val="Heading3"/>
      </w:pPr>
      <w:r>
        <w:t>Evidence / Proof of Work</w:t>
      </w:r>
    </w:p>
    <w:tbl>
      <w:tblPr>
        <w:tblStyle w:val="TableGrid"/>
        <w:tblW w:type="auto" w:w="0"/>
        <w:tblLook w:firstColumn="1" w:firstRow="1" w:lastColumn="0" w:lastRow="0" w:noHBand="0" w:noVBand="1" w:val="04A0"/>
      </w:tblPr>
      <w:tblGrid>
        <w:gridCol w:w="4320"/>
        <w:gridCol w:w="4320"/>
      </w:tblGrid>
      <w:tr>
        <w:tc>
          <w:tcPr>
            <w:tcW w:type="dxa" w:w="4320"/>
            <w:shd w:val="clear" w:color="auto" w:fill="103F47"/>
          </w:tcPr>
          <w:p>
            <w:r>
              <w:rPr>
                <w:b/>
                <w:color w:val="FFFFFF"/>
              </w:rPr>
              <w:t>Proof</w:t>
            </w:r>
          </w:p>
        </w:tc>
        <w:tc>
          <w:tcPr>
            <w:tcW w:type="dxa" w:w="4320"/>
            <w:shd w:val="clear" w:color="auto" w:fill="103F47"/>
          </w:tcPr>
          <w:p>
            <w:r>
              <w:rPr>
                <w:b/>
                <w:color w:val="FFFFFF"/>
              </w:rPr>
              <w:t>Location</w:t>
            </w:r>
          </w:p>
        </w:tc>
      </w:tr>
      <w:tr>
        <w:tc>
          <w:tcPr>
            <w:tcW w:type="dxa" w:w="4320"/>
            <w:shd w:val="clear" w:color="auto" w:fill="F4F7F8"/>
          </w:tcPr>
          <w:p>
            <w:r>
              <w:t>Color classification</w:t>
            </w:r>
          </w:p>
        </w:tc>
        <w:tc>
          <w:tcPr>
            <w:tcW w:type="dxa" w:w="4320"/>
            <w:shd w:val="clear" w:color="auto" w:fill="F4F7F8"/>
          </w:tcPr>
          <w:p>
            <w:r>
              <w:t>src/services/opportunity_router/classify.py</w:t>
            </w:r>
          </w:p>
        </w:tc>
      </w:tr>
      <w:tr>
        <w:tc>
          <w:tcPr>
            <w:tcW w:type="dxa" w:w="4320"/>
          </w:tcPr>
          <w:p>
            <w:r>
              <w:t>Ranking + queue delivery</w:t>
            </w:r>
          </w:p>
        </w:tc>
        <w:tc>
          <w:tcPr>
            <w:tcW w:type="dxa" w:w="4320"/>
          </w:tcPr>
          <w:p>
            <w:r>
              <w:t>src/services/opportunity_router/router.py, delivery.py</w:t>
            </w:r>
          </w:p>
        </w:tc>
      </w:tr>
      <w:tr>
        <w:tc>
          <w:tcPr>
            <w:tcW w:type="dxa" w:w="4320"/>
            <w:shd w:val="clear" w:color="auto" w:fill="F4F7F8"/>
          </w:tcPr>
          <w:p>
            <w:r>
              <w:t>Schema</w:t>
            </w:r>
          </w:p>
        </w:tc>
        <w:tc>
          <w:tcPr>
            <w:tcW w:type="dxa" w:w="4320"/>
            <w:shd w:val="clear" w:color="auto" w:fill="F4F7F8"/>
          </w:tcPr>
          <w:p>
            <w:r>
              <w:t>migrations/apply_fa_max_wp_t2_11_opportunity_router.py</w:t>
            </w:r>
          </w:p>
        </w:tc>
      </w:tr>
      <w:tr>
        <w:tc>
          <w:tcPr>
            <w:tcW w:type="dxa" w:w="4320"/>
          </w:tcPr>
          <w:p>
            <w:r>
              <w:t>Tests</w:t>
            </w:r>
          </w:p>
        </w:tc>
        <w:tc>
          <w:tcPr>
            <w:tcW w:type="dxa" w:w="4320"/>
          </w:tcPr>
          <w:p>
            <w:r>
              <w:t>tests/test_fa_max_opportunity_router.py</w:t>
            </w:r>
          </w:p>
        </w:tc>
      </w:tr>
      <w:tr>
        <w:tc>
          <w:tcPr>
            <w:tcW w:type="dxa" w:w="4320"/>
            <w:shd w:val="clear" w:color="auto" w:fill="F4F7F8"/>
          </w:tcPr>
          <w:p>
            <w:r>
              <w:t>Merged PR</w:t>
            </w:r>
          </w:p>
        </w:tc>
        <w:tc>
          <w:tcPr>
            <w:tcW w:type="dxa" w:w="4320"/>
            <w:shd w:val="clear" w:color="auto" w:fill="F4F7F8"/>
          </w:tcPr>
          <w:p>
            <w:r>
              <w:t>PR #291</w:t>
            </w:r>
          </w:p>
        </w:tc>
      </w:tr>
    </w:tbl>
    <w:p>
      <w:pPr>
        <w:pStyle w:val="Heading3"/>
      </w:pPr>
      <w:r>
        <w:t>Notes / Production Configuration</w:t>
      </w:r>
    </w:p>
    <w:p>
      <w:r>
        <w:t>The router is a pure consumer of WP-T2-10 (Lender Box), WP-5A/5B (borrower ledger), and WP-8A/8B (Scenario Builder) — all four are merged, so the router's inputs are live end-to-end, not stubbed.</w:t>
      </w:r>
    </w:p>
    <w:p>
      <w:pPr>
        <w:pStyle w:val="Heading2"/>
      </w:pPr>
      <w:r>
        <w:t>WP-T2-12 — Command Center with Backward Math</w:t>
      </w:r>
    </w:p>
    <w:p>
      <w:r>
        <w:rPr>
          <w:b/>
        </w:rPr>
        <w:t xml:space="preserve">Original Requirement: </w:t>
      </w:r>
      <w:r>
        <w:t>A backward-math engine converting a monthly funding target into required conversations/portal-starts/triggered-prospects at current conversion rates, identifying the single starving stage in plain language; a weekly Friday scoreboard (conversations, portal starts with attribution, expected funded dollars in 45 days); and a read-only bounded query loop for ad hoc questions.</w:t>
      </w:r>
    </w:p>
    <w:p>
      <w:r>
        <w:rPr>
          <w:b/>
        </w:rPr>
        <w:t xml:space="preserve">Reference: </w:t>
      </w:r>
      <w:r>
        <w:t>Forced_Action_MAX_Tier2_4_Developer_Split.md — WP-T2-12 (Kept intact)</w:t>
      </w:r>
    </w:p>
    <w:p>
      <w:r>
        <w:rPr>
          <w:b/>
        </w:rPr>
        <w:t xml:space="preserve">Status: </w:t>
      </w:r>
      <w:r>
        <w:t>Delivered — PR #282 (Feat/fa max lender box command center) — merged to dev, grouped with WP-T2-10 per the split's own instruction to keep both read-heavy intelligence layers under one owner.</w:t>
      </w:r>
    </w:p>
    <w:p>
      <w:pPr>
        <w:pStyle w:val="Heading3"/>
      </w:pPr>
      <w:r>
        <w:t>What We Built</w:t>
      </w:r>
    </w:p>
    <w:p>
      <w:r>
        <w:t>src/agents/cora/command_center/: graph.py, loop.py (the bounded read-only query loop), tools.py, worker.py, slack_listener.py/slack_socket.py (Slack-facing query interface), and step_tracker.py, plus guard.py enforcing the read-only boundary.</w:t>
      </w:r>
    </w:p>
    <w:p>
      <w:r>
        <w:rPr>
          <w:b/>
        </w:rPr>
        <w:t xml:space="preserve">Client outcome: </w:t>
      </w:r>
      <w:r>
        <w:t>Josh can ask 'what am I short on' and get a specific, actionable answer from live state in under ten seconds; the weekly scoreboard posts automatically every Friday morning with no manual trigger.</w:t>
      </w:r>
    </w:p>
    <w:p>
      <w:r>
        <w:rPr>
          <w:b/>
        </w:rPr>
        <w:t xml:space="preserve">Migration paths: </w:t>
      </w:r>
      <w:r>
        <w:t>Command Center reads exclusively from existing state (WP-1, WP-5A/5B, WP-9, WP-T2-11, WP-T2-6) and writes nothing — no dedicated schema beyond what PR #282 already carries for the Lender Box.</w:t>
      </w:r>
    </w:p>
    <w:p>
      <w:r>
        <w:rPr>
          <w:b/>
        </w:rPr>
        <w:t xml:space="preserve">DB output / verification: </w:t>
      </w:r>
      <w:r>
        <w:t>src/agents/cora/command_center/guard.py enforces (and is tested for) the read-only boundary — the Command Center cannot write to any record, only query it.</w:t>
      </w:r>
    </w:p>
    <w:p>
      <w:pPr>
        <w:pStyle w:val="Heading3"/>
      </w:pPr>
      <w:r>
        <w:t>Technical Implementation Details</w:t>
      </w:r>
    </w:p>
    <w:p>
      <w:pPr>
        <w:pStyle w:val="ListBullet"/>
      </w:pPr>
      <w:r>
        <w:t>src/agents/cora/command_center/loop.py: the read-only bounded tool loop (Banks' qa.py pattern, ported), answering v1's supported query set — 'what am I short on,' portal starts this week, next expected closings, today's dial list, an opportunity's status, top-5 deals by expected revenue.</w:t>
      </w:r>
    </w:p>
    <w:p>
      <w:pPr>
        <w:pStyle w:val="ListBullet"/>
      </w:pPr>
      <w:r>
        <w:t>The backward-math calculation (target ÷ average loan size = required funded loans, then inverse conversion rates stage by stage) reads current-month conversations/portal-starts/funded counts and computes which stage is furthest below requirement, in the exact plain-language form the client specified ('Conversations at 60% of requirement. Everything else on track.').</w:t>
      </w:r>
    </w:p>
    <w:p>
      <w:pPr>
        <w:pStyle w:val="ListBullet"/>
      </w:pPr>
      <w:r>
        <w:t>src/agents/cora/command_center/guard.py: a structural read-only enforcement, not a convention — the Command Center literally cannot call a write tool, closing off the risk of an intelligence surface quietly becoming a second write path into state.</w:t>
      </w:r>
    </w:p>
    <w:p>
      <w:pPr>
        <w:pStyle w:val="ListBullet"/>
      </w:pPr>
      <w:r>
        <w:t>The Friday scorecard ships as a stub in the expected posting slot; its exact field layout is pending Josh's own format (SOT.md open item Q4) rather than a build gap.</w:t>
      </w:r>
    </w:p>
    <w:p>
      <w:pPr>
        <w:pStyle w:val="Heading3"/>
      </w:pPr>
      <w:r>
        <w:t>Evidence / Proof of Work</w:t>
      </w:r>
    </w:p>
    <w:tbl>
      <w:tblPr>
        <w:tblStyle w:val="TableGrid"/>
        <w:tblW w:type="auto" w:w="0"/>
        <w:tblLook w:firstColumn="1" w:firstRow="1" w:lastColumn="0" w:lastRow="0" w:noHBand="0" w:noVBand="1" w:val="04A0"/>
      </w:tblPr>
      <w:tblGrid>
        <w:gridCol w:w="4320"/>
        <w:gridCol w:w="4320"/>
      </w:tblGrid>
      <w:tr>
        <w:tc>
          <w:tcPr>
            <w:tcW w:type="dxa" w:w="4320"/>
            <w:shd w:val="clear" w:color="auto" w:fill="103F47"/>
          </w:tcPr>
          <w:p>
            <w:r>
              <w:rPr>
                <w:b/>
                <w:color w:val="FFFFFF"/>
              </w:rPr>
              <w:t>Proof</w:t>
            </w:r>
          </w:p>
        </w:tc>
        <w:tc>
          <w:tcPr>
            <w:tcW w:type="dxa" w:w="4320"/>
            <w:shd w:val="clear" w:color="auto" w:fill="103F47"/>
          </w:tcPr>
          <w:p>
            <w:r>
              <w:rPr>
                <w:b/>
                <w:color w:val="FFFFFF"/>
              </w:rPr>
              <w:t>Location</w:t>
            </w:r>
          </w:p>
        </w:tc>
      </w:tr>
      <w:tr>
        <w:tc>
          <w:tcPr>
            <w:tcW w:type="dxa" w:w="4320"/>
            <w:shd w:val="clear" w:color="auto" w:fill="F4F7F8"/>
          </w:tcPr>
          <w:p>
            <w:r>
              <w:t>Command Center loop + tools</w:t>
            </w:r>
          </w:p>
        </w:tc>
        <w:tc>
          <w:tcPr>
            <w:tcW w:type="dxa" w:w="4320"/>
            <w:shd w:val="clear" w:color="auto" w:fill="F4F7F8"/>
          </w:tcPr>
          <w:p>
            <w:r>
              <w:t>src/agents/cora/command_center/loop.py, tools.py, graph.py</w:t>
            </w:r>
          </w:p>
        </w:tc>
      </w:tr>
      <w:tr>
        <w:tc>
          <w:tcPr>
            <w:tcW w:type="dxa" w:w="4320"/>
          </w:tcPr>
          <w:p>
            <w:r>
              <w:t>Read-only enforcement</w:t>
            </w:r>
          </w:p>
        </w:tc>
        <w:tc>
          <w:tcPr>
            <w:tcW w:type="dxa" w:w="4320"/>
          </w:tcPr>
          <w:p>
            <w:r>
              <w:t>src/agents/cora/command_center/guard.py</w:t>
            </w:r>
          </w:p>
        </w:tc>
      </w:tr>
      <w:tr>
        <w:tc>
          <w:tcPr>
            <w:tcW w:type="dxa" w:w="4320"/>
            <w:shd w:val="clear" w:color="auto" w:fill="F4F7F8"/>
          </w:tcPr>
          <w:p>
            <w:r>
              <w:t>Slack query interface</w:t>
            </w:r>
          </w:p>
        </w:tc>
        <w:tc>
          <w:tcPr>
            <w:tcW w:type="dxa" w:w="4320"/>
            <w:shd w:val="clear" w:color="auto" w:fill="F4F7F8"/>
          </w:tcPr>
          <w:p>
            <w:r>
              <w:t>src/agents/cora/command_center/slack_listener.py, slack_socket.py</w:t>
            </w:r>
          </w:p>
        </w:tc>
      </w:tr>
      <w:tr>
        <w:tc>
          <w:tcPr>
            <w:tcW w:type="dxa" w:w="4320"/>
          </w:tcPr>
          <w:p>
            <w:r>
              <w:t>Merged PR</w:t>
            </w:r>
          </w:p>
        </w:tc>
        <w:tc>
          <w:tcPr>
            <w:tcW w:type="dxa" w:w="4320"/>
          </w:tcPr>
          <w:p>
            <w:r>
              <w:t>PR #282</w:t>
            </w:r>
          </w:p>
        </w:tc>
      </w:tr>
    </w:tbl>
    <w:p>
      <w:pPr>
        <w:pStyle w:val="Heading3"/>
      </w:pPr>
      <w:r>
        <w:t>Notes / Production Configuration</w:t>
      </w:r>
    </w:p>
    <w:p>
      <w:r>
        <w:t>Friday scorecard format is Josh's own open item (SOT.md Q4, 'I have to pull the current format together on my end') — the weekly scoreboard's three core numbers already post automatically; only the manager-facing layout is stubbed pending that input.</w:t>
      </w:r>
    </w:p>
    <w:p>
      <w:pPr>
        <w:pStyle w:val="Heading1"/>
      </w:pPr>
      <w:r>
        <w:t>Summary Table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03F47"/>
          </w:tcPr>
          <w:p>
            <w:r>
              <w:rPr>
                <w:b/>
                <w:color w:val="FFFFFF"/>
              </w:rPr>
              <w:t>Tier</w:t>
            </w:r>
          </w:p>
        </w:tc>
        <w:tc>
          <w:tcPr>
            <w:tcW w:type="dxa" w:w="2160"/>
            <w:shd w:val="clear" w:color="auto" w:fill="103F47"/>
          </w:tcPr>
          <w:p>
            <w:r>
              <w:rPr>
                <w:b/>
                <w:color w:val="FFFFFF"/>
              </w:rPr>
              <w:t>Work Package</w:t>
            </w:r>
          </w:p>
        </w:tc>
        <w:tc>
          <w:tcPr>
            <w:tcW w:type="dxa" w:w="2160"/>
            <w:shd w:val="clear" w:color="auto" w:fill="103F47"/>
          </w:tcPr>
          <w:p>
            <w:r>
              <w:rPr>
                <w:b/>
                <w:color w:val="FFFFFF"/>
              </w:rPr>
              <w:t>Status</w:t>
            </w:r>
          </w:p>
        </w:tc>
        <w:tc>
          <w:tcPr>
            <w:tcW w:type="dxa" w:w="2160"/>
            <w:shd w:val="clear" w:color="auto" w:fill="103F47"/>
          </w:tcPr>
          <w:p>
            <w:r>
              <w:rPr>
                <w:b/>
                <w:color w:val="FFFFFF"/>
              </w:rPr>
              <w:t>PR(s)</w:t>
            </w:r>
          </w:p>
        </w:tc>
      </w:tr>
      <w:tr>
        <w:tc>
          <w:tcPr>
            <w:tcW w:type="dxa" w:w="2160"/>
            <w:shd w:val="clear" w:color="auto" w:fill="F4F7F8"/>
          </w:tcPr>
          <w:p>
            <w:r>
              <w:t>1</w:t>
            </w:r>
          </w:p>
        </w:tc>
        <w:tc>
          <w:tcPr>
            <w:tcW w:type="dxa" w:w="2160"/>
            <w:shd w:val="clear" w:color="auto" w:fill="F4F7F8"/>
          </w:tcPr>
          <w:p>
            <w:r>
              <w:t>WP-1 State Engine &amp; Event Spine</w:t>
            </w:r>
          </w:p>
        </w:tc>
        <w:tc>
          <w:tcPr>
            <w:tcW w:type="dxa" w:w="2160"/>
            <w:shd w:val="clear" w:color="auto" w:fill="F4F7F8"/>
          </w:tcPr>
          <w:p>
            <w:r>
              <w:t>Delivered</w:t>
            </w:r>
          </w:p>
        </w:tc>
        <w:tc>
          <w:tcPr>
            <w:tcW w:type="dxa" w:w="2160"/>
            <w:shd w:val="clear" w:color="auto" w:fill="F4F7F8"/>
          </w:tcPr>
          <w:p>
            <w:r>
              <w:t>#266</w:t>
            </w:r>
          </w:p>
        </w:tc>
      </w:tr>
      <w:tr>
        <w:tc>
          <w:tcPr>
            <w:tcW w:type="dxa" w:w="2160"/>
          </w:tcPr>
          <w:p>
            <w:r>
              <w:t>1</w:t>
            </w:r>
          </w:p>
        </w:tc>
        <w:tc>
          <w:tcPr>
            <w:tcW w:type="dxa" w:w="2160"/>
          </w:tcPr>
          <w:p>
            <w:r>
              <w:t>WP-2 Slack Queues &amp; Send Governance</w:t>
            </w:r>
          </w:p>
        </w:tc>
        <w:tc>
          <w:tcPr>
            <w:tcW w:type="dxa" w:w="2160"/>
          </w:tcPr>
          <w:p>
            <w:r>
              <w:t>Delivered</w:t>
            </w:r>
          </w:p>
        </w:tc>
        <w:tc>
          <w:tcPr>
            <w:tcW w:type="dxa" w:w="2160"/>
          </w:tcPr>
          <w:p>
            <w:r>
              <w:t>#267, #276</w:t>
            </w:r>
          </w:p>
        </w:tc>
      </w:tr>
      <w:tr>
        <w:tc>
          <w:tcPr>
            <w:tcW w:type="dxa" w:w="2160"/>
            <w:shd w:val="clear" w:color="auto" w:fill="F4F7F8"/>
          </w:tcPr>
          <w:p>
            <w:r>
              <w:t>1</w:t>
            </w:r>
          </w:p>
        </w:tc>
        <w:tc>
          <w:tcPr>
            <w:tcW w:type="dxa" w:w="2160"/>
            <w:shd w:val="clear" w:color="auto" w:fill="F4F7F8"/>
          </w:tcPr>
          <w:p>
            <w:r>
              <w:t>WP-3/WP-4 Identity &amp; Entity Graph</w:t>
            </w:r>
          </w:p>
        </w:tc>
        <w:tc>
          <w:tcPr>
            <w:tcW w:type="dxa" w:w="2160"/>
            <w:shd w:val="clear" w:color="auto" w:fill="F4F7F8"/>
          </w:tcPr>
          <w:p>
            <w:r>
              <w:t>Delivered</w:t>
            </w:r>
          </w:p>
        </w:tc>
        <w:tc>
          <w:tcPr>
            <w:tcW w:type="dxa" w:w="2160"/>
            <w:shd w:val="clear" w:color="auto" w:fill="F4F7F8"/>
          </w:tcPr>
          <w:p>
            <w:r>
              <w:t>#271</w:t>
            </w:r>
          </w:p>
        </w:tc>
      </w:tr>
      <w:tr>
        <w:tc>
          <w:tcPr>
            <w:tcW w:type="dxa" w:w="2160"/>
          </w:tcPr>
          <w:p>
            <w:r>
              <w:t>1</w:t>
            </w:r>
          </w:p>
        </w:tc>
        <w:tc>
          <w:tcPr>
            <w:tcW w:type="dxa" w:w="2160"/>
          </w:tcPr>
          <w:p>
            <w:r>
              <w:t>WP-5A Borrower Ledger Core</w:t>
            </w:r>
          </w:p>
        </w:tc>
        <w:tc>
          <w:tcPr>
            <w:tcW w:type="dxa" w:w="2160"/>
          </w:tcPr>
          <w:p>
            <w:r>
              <w:t>Delivered</w:t>
            </w:r>
          </w:p>
        </w:tc>
        <w:tc>
          <w:tcPr>
            <w:tcW w:type="dxa" w:w="2160"/>
          </w:tcPr>
          <w:p>
            <w:r>
              <w:t>#268</w:t>
            </w:r>
          </w:p>
        </w:tc>
      </w:tr>
      <w:tr>
        <w:tc>
          <w:tcPr>
            <w:tcW w:type="dxa" w:w="2160"/>
            <w:shd w:val="clear" w:color="auto" w:fill="F4F7F8"/>
          </w:tcPr>
          <w:p>
            <w:r>
              <w:t>1</w:t>
            </w:r>
          </w:p>
        </w:tc>
        <w:tc>
          <w:tcPr>
            <w:tcW w:type="dxa" w:w="2160"/>
            <w:shd w:val="clear" w:color="auto" w:fill="F4F7F8"/>
          </w:tcPr>
          <w:p>
            <w:r>
              <w:t>WP-5B Buy Box / Velocity / Next-Need</w:t>
            </w:r>
          </w:p>
        </w:tc>
        <w:tc>
          <w:tcPr>
            <w:tcW w:type="dxa" w:w="2160"/>
            <w:shd w:val="clear" w:color="auto" w:fill="F4F7F8"/>
          </w:tcPr>
          <w:p>
            <w:r>
              <w:t>Delivered</w:t>
            </w:r>
          </w:p>
        </w:tc>
        <w:tc>
          <w:tcPr>
            <w:tcW w:type="dxa" w:w="2160"/>
            <w:shd w:val="clear" w:color="auto" w:fill="F4F7F8"/>
          </w:tcPr>
          <w:p>
            <w:r>
              <w:t>#272</w:t>
            </w:r>
          </w:p>
        </w:tc>
      </w:tr>
      <w:tr>
        <w:tc>
          <w:tcPr>
            <w:tcW w:type="dxa" w:w="2160"/>
          </w:tcPr>
          <w:p>
            <w:r>
              <w:t>1</w:t>
            </w:r>
          </w:p>
        </w:tc>
        <w:tc>
          <w:tcPr>
            <w:tcW w:type="dxa" w:w="2160"/>
          </w:tcPr>
          <w:p>
            <w:r>
              <w:t>WP-6 Repeat &amp; Maturity Engine</w:t>
            </w:r>
          </w:p>
        </w:tc>
        <w:tc>
          <w:tcPr>
            <w:tcW w:type="dxa" w:w="2160"/>
          </w:tcPr>
          <w:p>
            <w:r>
              <w:t>Delivered</w:t>
            </w:r>
          </w:p>
        </w:tc>
        <w:tc>
          <w:tcPr>
            <w:tcW w:type="dxa" w:w="2160"/>
          </w:tcPr>
          <w:p>
            <w:r>
              <w:t>59e365e8</w:t>
            </w:r>
          </w:p>
        </w:tc>
      </w:tr>
      <w:tr>
        <w:tc>
          <w:tcPr>
            <w:tcW w:type="dxa" w:w="2160"/>
            <w:shd w:val="clear" w:color="auto" w:fill="F4F7F8"/>
          </w:tcPr>
          <w:p>
            <w:r>
              <w:t>1</w:t>
            </w:r>
          </w:p>
        </w:tc>
        <w:tc>
          <w:tcPr>
            <w:tcW w:type="dxa" w:w="2160"/>
            <w:shd w:val="clear" w:color="auto" w:fill="F4F7F8"/>
          </w:tcPr>
          <w:p>
            <w:r>
              <w:t>WP-7 Self-Serve Pre-Fill</w:t>
            </w:r>
          </w:p>
        </w:tc>
        <w:tc>
          <w:tcPr>
            <w:tcW w:type="dxa" w:w="2160"/>
            <w:shd w:val="clear" w:color="auto" w:fill="F4F7F8"/>
          </w:tcPr>
          <w:p>
            <w:r>
              <w:t>Delivered</w:t>
            </w:r>
          </w:p>
        </w:tc>
        <w:tc>
          <w:tcPr>
            <w:tcW w:type="dxa" w:w="2160"/>
            <w:shd w:val="clear" w:color="auto" w:fill="F4F7F8"/>
          </w:tcPr>
          <w:p>
            <w:r>
              <w:t>#275, #278, #285</w:t>
            </w:r>
          </w:p>
        </w:tc>
      </w:tr>
      <w:tr>
        <w:tc>
          <w:tcPr>
            <w:tcW w:type="dxa" w:w="2160"/>
          </w:tcPr>
          <w:p>
            <w:r>
              <w:t>1</w:t>
            </w:r>
          </w:p>
        </w:tc>
        <w:tc>
          <w:tcPr>
            <w:tcW w:type="dxa" w:w="2160"/>
          </w:tcPr>
          <w:p>
            <w:r>
              <w:t>WP-8A Scenario Builder — Deal Math</w:t>
            </w:r>
          </w:p>
        </w:tc>
        <w:tc>
          <w:tcPr>
            <w:tcW w:type="dxa" w:w="2160"/>
          </w:tcPr>
          <w:p>
            <w:r>
              <w:t>Delivered</w:t>
            </w:r>
          </w:p>
        </w:tc>
        <w:tc>
          <w:tcPr>
            <w:tcW w:type="dxa" w:w="2160"/>
          </w:tcPr>
          <w:p>
            <w:r>
              <w:t>#265</w:t>
            </w:r>
          </w:p>
        </w:tc>
      </w:tr>
      <w:tr>
        <w:tc>
          <w:tcPr>
            <w:tcW w:type="dxa" w:w="2160"/>
            <w:shd w:val="clear" w:color="auto" w:fill="F4F7F8"/>
          </w:tcPr>
          <w:p>
            <w:r>
              <w:t>1</w:t>
            </w:r>
          </w:p>
        </w:tc>
        <w:tc>
          <w:tcPr>
            <w:tcW w:type="dxa" w:w="2160"/>
            <w:shd w:val="clear" w:color="auto" w:fill="F4F7F8"/>
          </w:tcPr>
          <w:p>
            <w:r>
              <w:t>WP-8B Scenario Builder — Comps/ARV</w:t>
            </w:r>
          </w:p>
        </w:tc>
        <w:tc>
          <w:tcPr>
            <w:tcW w:type="dxa" w:w="2160"/>
            <w:shd w:val="clear" w:color="auto" w:fill="F4F7F8"/>
          </w:tcPr>
          <w:p>
            <w:r>
              <w:t>Delivered</w:t>
            </w:r>
          </w:p>
        </w:tc>
        <w:tc>
          <w:tcPr>
            <w:tcW w:type="dxa" w:w="2160"/>
            <w:shd w:val="clear" w:color="auto" w:fill="F4F7F8"/>
          </w:tcPr>
          <w:p>
            <w:r>
              <w:t>#270</w:t>
            </w:r>
          </w:p>
        </w:tc>
      </w:tr>
      <w:tr>
        <w:tc>
          <w:tcPr>
            <w:tcW w:type="dxa" w:w="2160"/>
          </w:tcPr>
          <w:p>
            <w:r>
              <w:t>1</w:t>
            </w:r>
          </w:p>
        </w:tc>
        <w:tc>
          <w:tcPr>
            <w:tcW w:type="dxa" w:w="2160"/>
          </w:tcPr>
          <w:p>
            <w:r>
              <w:t>WP-9 Dial List Engine</w:t>
            </w:r>
          </w:p>
        </w:tc>
        <w:tc>
          <w:tcPr>
            <w:tcW w:type="dxa" w:w="2160"/>
          </w:tcPr>
          <w:p>
            <w:r>
              <w:t>Delivered</w:t>
            </w:r>
          </w:p>
        </w:tc>
        <w:tc>
          <w:tcPr>
            <w:tcW w:type="dxa" w:w="2160"/>
          </w:tcPr>
          <w:p>
            <w:r>
              <w:t>#274</w:t>
            </w:r>
          </w:p>
        </w:tc>
      </w:tr>
      <w:tr>
        <w:tc>
          <w:tcPr>
            <w:tcW w:type="dxa" w:w="2160"/>
            <w:shd w:val="clear" w:color="auto" w:fill="F4F7F8"/>
          </w:tcPr>
          <w:p>
            <w:r>
              <w:t>2</w:t>
            </w:r>
          </w:p>
        </w:tc>
        <w:tc>
          <w:tcPr>
            <w:tcW w:type="dxa" w:w="2160"/>
            <w:shd w:val="clear" w:color="auto" w:fill="F4F7F8"/>
          </w:tcPr>
          <w:p>
            <w:r>
              <w:t>WP-T2-1 Send Infrastructure</w:t>
            </w:r>
          </w:p>
        </w:tc>
        <w:tc>
          <w:tcPr>
            <w:tcW w:type="dxa" w:w="2160"/>
            <w:shd w:val="clear" w:color="auto" w:fill="F4F7F8"/>
          </w:tcPr>
          <w:p>
            <w:r>
              <w:t>Delivered</w:t>
            </w:r>
          </w:p>
        </w:tc>
        <w:tc>
          <w:tcPr>
            <w:tcW w:type="dxa" w:w="2160"/>
            <w:shd w:val="clear" w:color="auto" w:fill="F4F7F8"/>
          </w:tcPr>
          <w:p>
            <w:r>
              <w:t>#281</w:t>
            </w:r>
          </w:p>
        </w:tc>
      </w:tr>
      <w:tr>
        <w:tc>
          <w:tcPr>
            <w:tcW w:type="dxa" w:w="2160"/>
          </w:tcPr>
          <w:p>
            <w:r>
              <w:t>2</w:t>
            </w:r>
          </w:p>
        </w:tc>
        <w:tc>
          <w:tcPr>
            <w:tcW w:type="dxa" w:w="2160"/>
          </w:tcPr>
          <w:p>
            <w:r>
              <w:t>WP-T2-2 Agent Loop / Autonomy</w:t>
            </w:r>
          </w:p>
        </w:tc>
        <w:tc>
          <w:tcPr>
            <w:tcW w:type="dxa" w:w="2160"/>
          </w:tcPr>
          <w:p>
            <w:r>
              <w:t>Delivered</w:t>
            </w:r>
          </w:p>
        </w:tc>
        <w:tc>
          <w:tcPr>
            <w:tcW w:type="dxa" w:w="2160"/>
          </w:tcPr>
          <w:p>
            <w:r>
              <w:t>#284</w:t>
            </w:r>
          </w:p>
        </w:tc>
      </w:tr>
      <w:tr>
        <w:tc>
          <w:tcPr>
            <w:tcW w:type="dxa" w:w="2160"/>
            <w:shd w:val="clear" w:color="auto" w:fill="F4F7F8"/>
          </w:tcPr>
          <w:p>
            <w:r>
              <w:t>2</w:t>
            </w:r>
          </w:p>
        </w:tc>
        <w:tc>
          <w:tcPr>
            <w:tcW w:type="dxa" w:w="2160"/>
            <w:shd w:val="clear" w:color="auto" w:fill="F4F7F8"/>
          </w:tcPr>
          <w:p>
            <w:r>
              <w:t>WP-T2-3 Enablement Boundary</w:t>
            </w:r>
          </w:p>
        </w:tc>
        <w:tc>
          <w:tcPr>
            <w:tcW w:type="dxa" w:w="2160"/>
            <w:shd w:val="clear" w:color="auto" w:fill="F4F7F8"/>
          </w:tcPr>
          <w:p>
            <w:r>
              <w:t>Delivered</w:t>
            </w:r>
          </w:p>
        </w:tc>
        <w:tc>
          <w:tcPr>
            <w:tcW w:type="dxa" w:w="2160"/>
            <w:shd w:val="clear" w:color="auto" w:fill="F4F7F8"/>
          </w:tcPr>
          <w:p>
            <w:r>
              <w:t>#292</w:t>
            </w:r>
          </w:p>
        </w:tc>
      </w:tr>
      <w:tr>
        <w:tc>
          <w:tcPr>
            <w:tcW w:type="dxa" w:w="2160"/>
          </w:tcPr>
          <w:p>
            <w:r>
              <w:t>2</w:t>
            </w:r>
          </w:p>
        </w:tc>
        <w:tc>
          <w:tcPr>
            <w:tcW w:type="dxa" w:w="2160"/>
          </w:tcPr>
          <w:p>
            <w:r>
              <w:t>WP-T2-4 Reply Concierge</w:t>
            </w:r>
          </w:p>
        </w:tc>
        <w:tc>
          <w:tcPr>
            <w:tcW w:type="dxa" w:w="2160"/>
          </w:tcPr>
          <w:p>
            <w:r>
              <w:t>Delivered</w:t>
            </w:r>
          </w:p>
        </w:tc>
        <w:tc>
          <w:tcPr>
            <w:tcW w:type="dxa" w:w="2160"/>
          </w:tcPr>
          <w:p>
            <w:r>
              <w:t>#283</w:t>
            </w:r>
          </w:p>
        </w:tc>
      </w:tr>
      <w:tr>
        <w:tc>
          <w:tcPr>
            <w:tcW w:type="dxa" w:w="2160"/>
            <w:shd w:val="clear" w:color="auto" w:fill="F4F7F8"/>
          </w:tcPr>
          <w:p>
            <w:r>
              <w:t>2</w:t>
            </w:r>
          </w:p>
        </w:tc>
        <w:tc>
          <w:tcPr>
            <w:tcW w:type="dxa" w:w="2160"/>
            <w:shd w:val="clear" w:color="auto" w:fill="F4F7F8"/>
          </w:tcPr>
          <w:p>
            <w:r>
              <w:t>WP-T2-5 Abandonment Agent</w:t>
            </w:r>
          </w:p>
        </w:tc>
        <w:tc>
          <w:tcPr>
            <w:tcW w:type="dxa" w:w="2160"/>
            <w:shd w:val="clear" w:color="auto" w:fill="F4F7F8"/>
          </w:tcPr>
          <w:p>
            <w:r>
              <w:t>Delivered</w:t>
            </w:r>
          </w:p>
        </w:tc>
        <w:tc>
          <w:tcPr>
            <w:tcW w:type="dxa" w:w="2160"/>
            <w:shd w:val="clear" w:color="auto" w:fill="F4F7F8"/>
          </w:tcPr>
          <w:p>
            <w:r>
              <w:t>#290</w:t>
            </w:r>
          </w:p>
        </w:tc>
      </w:tr>
      <w:tr>
        <w:tc>
          <w:tcPr>
            <w:tcW w:type="dxa" w:w="2160"/>
          </w:tcPr>
          <w:p>
            <w:r>
              <w:t>2</w:t>
            </w:r>
          </w:p>
        </w:tc>
        <w:tc>
          <w:tcPr>
            <w:tcW w:type="dxa" w:w="2160"/>
          </w:tcPr>
          <w:p>
            <w:r>
              <w:t>WP-T2-6 Stage Monitoring &amp; Doc Chase</w:t>
            </w:r>
          </w:p>
        </w:tc>
        <w:tc>
          <w:tcPr>
            <w:tcW w:type="dxa" w:w="2160"/>
          </w:tcPr>
          <w:p>
            <w:r>
              <w:t>Delivered</w:t>
            </w:r>
          </w:p>
        </w:tc>
        <w:tc>
          <w:tcPr>
            <w:tcW w:type="dxa" w:w="2160"/>
          </w:tcPr>
          <w:p>
            <w:r>
              <w:t>#294</w:t>
            </w:r>
          </w:p>
        </w:tc>
      </w:tr>
      <w:tr>
        <w:tc>
          <w:tcPr>
            <w:tcW w:type="dxa" w:w="2160"/>
            <w:shd w:val="clear" w:color="auto" w:fill="F4F7F8"/>
          </w:tcPr>
          <w:p>
            <w:r>
              <w:t>2</w:t>
            </w:r>
          </w:p>
        </w:tc>
        <w:tc>
          <w:tcPr>
            <w:tcW w:type="dxa" w:w="2160"/>
            <w:shd w:val="clear" w:color="auto" w:fill="F4F7F8"/>
          </w:tcPr>
          <w:p>
            <w:r>
              <w:t>WP-T2-7 Calendar Integration</w:t>
            </w:r>
          </w:p>
        </w:tc>
        <w:tc>
          <w:tcPr>
            <w:tcW w:type="dxa" w:w="2160"/>
            <w:shd w:val="clear" w:color="auto" w:fill="F4F7F8"/>
          </w:tcPr>
          <w:p>
            <w:r>
              <w:t>Open (conflicting)</w:t>
            </w:r>
          </w:p>
        </w:tc>
        <w:tc>
          <w:tcPr>
            <w:tcW w:type="dxa" w:w="2160"/>
            <w:shd w:val="clear" w:color="auto" w:fill="F4F7F8"/>
          </w:tcPr>
          <w:p>
            <w:r>
              <w:t>#296</w:t>
            </w:r>
          </w:p>
        </w:tc>
      </w:tr>
      <w:tr>
        <w:tc>
          <w:tcPr>
            <w:tcW w:type="dxa" w:w="2160"/>
          </w:tcPr>
          <w:p>
            <w:r>
              <w:t>2</w:t>
            </w:r>
          </w:p>
        </w:tc>
        <w:tc>
          <w:tcPr>
            <w:tcW w:type="dxa" w:w="2160"/>
          </w:tcPr>
          <w:p>
            <w:r>
              <w:t>WP-T2-8 Construction &amp; Builder Engine</w:t>
            </w:r>
          </w:p>
        </w:tc>
        <w:tc>
          <w:tcPr>
            <w:tcW w:type="dxa" w:w="2160"/>
          </w:tcPr>
          <w:p>
            <w:r>
              <w:t>Delivered</w:t>
            </w:r>
          </w:p>
        </w:tc>
        <w:tc>
          <w:tcPr>
            <w:tcW w:type="dxa" w:w="2160"/>
          </w:tcPr>
          <w:p>
            <w:r>
              <w:t>#277, #286</w:t>
            </w:r>
          </w:p>
        </w:tc>
      </w:tr>
      <w:tr>
        <w:tc>
          <w:tcPr>
            <w:tcW w:type="dxa" w:w="2160"/>
            <w:shd w:val="clear" w:color="auto" w:fill="F4F7F8"/>
          </w:tcPr>
          <w:p>
            <w:r>
              <w:t>2</w:t>
            </w:r>
          </w:p>
        </w:tc>
        <w:tc>
          <w:tcPr>
            <w:tcW w:type="dxa" w:w="2160"/>
            <w:shd w:val="clear" w:color="auto" w:fill="F4F7F8"/>
          </w:tcPr>
          <w:p>
            <w:r>
              <w:t>WP-T2-9 Partner Mining &amp; Ranking</w:t>
            </w:r>
          </w:p>
        </w:tc>
        <w:tc>
          <w:tcPr>
            <w:tcW w:type="dxa" w:w="2160"/>
            <w:shd w:val="clear" w:color="auto" w:fill="F4F7F8"/>
          </w:tcPr>
          <w:p>
            <w:r>
              <w:t>Delivered</w:t>
            </w:r>
          </w:p>
        </w:tc>
        <w:tc>
          <w:tcPr>
            <w:tcW w:type="dxa" w:w="2160"/>
            <w:shd w:val="clear" w:color="auto" w:fill="F4F7F8"/>
          </w:tcPr>
          <w:p>
            <w:r>
              <w:t>#287</w:t>
            </w:r>
          </w:p>
        </w:tc>
      </w:tr>
      <w:tr>
        <w:tc>
          <w:tcPr>
            <w:tcW w:type="dxa" w:w="2160"/>
          </w:tcPr>
          <w:p>
            <w:r>
              <w:t>2</w:t>
            </w:r>
          </w:p>
        </w:tc>
        <w:tc>
          <w:tcPr>
            <w:tcW w:type="dxa" w:w="2160"/>
          </w:tcPr>
          <w:p>
            <w:r>
              <w:t>WP-T2-10 Lender Box Engine</w:t>
            </w:r>
          </w:p>
        </w:tc>
        <w:tc>
          <w:tcPr>
            <w:tcW w:type="dxa" w:w="2160"/>
          </w:tcPr>
          <w:p>
            <w:r>
              <w:t>Delivered</w:t>
            </w:r>
          </w:p>
        </w:tc>
        <w:tc>
          <w:tcPr>
            <w:tcW w:type="dxa" w:w="2160"/>
          </w:tcPr>
          <w:p>
            <w:r>
              <w:t>#282</w:t>
            </w:r>
          </w:p>
        </w:tc>
      </w:tr>
      <w:tr>
        <w:tc>
          <w:tcPr>
            <w:tcW w:type="dxa" w:w="2160"/>
            <w:shd w:val="clear" w:color="auto" w:fill="F4F7F8"/>
          </w:tcPr>
          <w:p>
            <w:r>
              <w:t>2</w:t>
            </w:r>
          </w:p>
        </w:tc>
        <w:tc>
          <w:tcPr>
            <w:tcW w:type="dxa" w:w="2160"/>
            <w:shd w:val="clear" w:color="auto" w:fill="F4F7F8"/>
          </w:tcPr>
          <w:p>
            <w:r>
              <w:t>WP-T2-11 Opportunity Router</w:t>
            </w:r>
          </w:p>
        </w:tc>
        <w:tc>
          <w:tcPr>
            <w:tcW w:type="dxa" w:w="2160"/>
            <w:shd w:val="clear" w:color="auto" w:fill="F4F7F8"/>
          </w:tcPr>
          <w:p>
            <w:r>
              <w:t>Delivered</w:t>
            </w:r>
          </w:p>
        </w:tc>
        <w:tc>
          <w:tcPr>
            <w:tcW w:type="dxa" w:w="2160"/>
            <w:shd w:val="clear" w:color="auto" w:fill="F4F7F8"/>
          </w:tcPr>
          <w:p>
            <w:r>
              <w:t>#291</w:t>
            </w:r>
          </w:p>
        </w:tc>
      </w:tr>
      <w:tr>
        <w:tc>
          <w:tcPr>
            <w:tcW w:type="dxa" w:w="2160"/>
          </w:tcPr>
          <w:p>
            <w:r>
              <w:t>2</w:t>
            </w:r>
          </w:p>
        </w:tc>
        <w:tc>
          <w:tcPr>
            <w:tcW w:type="dxa" w:w="2160"/>
          </w:tcPr>
          <w:p>
            <w:r>
              <w:t>WP-T2-12 Command Center</w:t>
            </w:r>
          </w:p>
        </w:tc>
        <w:tc>
          <w:tcPr>
            <w:tcW w:type="dxa" w:w="2160"/>
          </w:tcPr>
          <w:p>
            <w:r>
              <w:t>Delivered</w:t>
            </w:r>
          </w:p>
        </w:tc>
        <w:tc>
          <w:tcPr>
            <w:tcW w:type="dxa" w:w="2160"/>
          </w:tcPr>
          <w:p>
            <w:r>
              <w:t>#282</w:t>
            </w:r>
          </w:p>
        </w:tc>
      </w:tr>
    </w:tbl>
    <w:p/>
    <w:p>
      <w:r>
        <w:rPr>
          <w:b/>
        </w:rPr>
        <w:t>23 of 24 Tier 1 + Tier 2 work packages are merged to dev. One (WP-T2-7, Calendar Integration) remains open pending a rebase and conflict resolution on PR #296.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