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556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ck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6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2B4D6"/>
          <w:sz w:val="26"/>
        </w:rPr>
        <w:t>Obserra EU CRA Governance</w:t>
      </w:r>
    </w:p>
    <w:p>
      <w:pPr>
        <w:pStyle w:val="Title"/>
        <w:jc w:val="center"/>
      </w:pPr>
      <w:r>
        <w:t>Executive Guide</w:t>
      </w:r>
    </w:p>
    <w:p>
      <w:pPr>
        <w:jc w:val="center"/>
      </w:pPr>
      <w:r>
        <w:t>EU Cyber Resilience Act (Regulation (EU) 2024/2847) product governance</w:t>
      </w:r>
    </w:p>
    <w:p>
      <w:pPr>
        <w:jc w:val="center"/>
      </w:pPr>
      <w:r>
        <w:rPr>
          <w:color w:val="808080"/>
          <w:sz w:val="18"/>
        </w:rPr>
        <w:t>August 2026  ·  Confidential — prepared for internal use.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 About Obserra EU CRA Governance</w:t>
      </w:r>
    </w:p>
    <w:p>
      <w:r>
        <w:t>2.  Installing the App (One-Click PWA)</w:t>
      </w:r>
    </w:p>
    <w:p>
      <w:r>
        <w:t>3.  Signing In</w:t>
      </w:r>
    </w:p>
    <w:p>
      <w:r>
        <w:t>4.  Going Live — Production Setup Checklist</w:t>
      </w:r>
    </w:p>
    <w:p>
      <w:r>
        <w:t>5.  Executive Overview</w:t>
      </w:r>
    </w:p>
    <w:p>
      <w:r>
        <w:t>6.  Cyber Crisis Commander</w:t>
      </w:r>
    </w:p>
    <w:p>
      <w:r>
        <w:t>7.  Tool Toxicity Map</w:t>
      </w:r>
    </w:p>
    <w:p>
      <w:r>
        <w:t>8.  Defensibility &amp; Evidence</w:t>
      </w:r>
    </w:p>
    <w:p>
      <w:r>
        <w:t>9.  Obserrian Advisor</w:t>
      </w:r>
    </w:p>
    <w:p>
      <w:r>
        <w:t>10.  Support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 EU CRA Governance</w:t>
      </w:r>
    </w:p>
    <w:p>
      <w:r>
        <w:t>Obserra EU CRA Governance helps manufacturers, importers and distributors bring products with digital elements into conformity with the EU Cyber Resilience Act (Regulation (EU) 2024/2847). It gives compliance, security and executive teams a single live view of product classification, regulation-mapped readiness, SBOMs, Article 14 vulnerability reporting clocks, notified-body sign-off and CE Declaration of Conformity.</w:t>
      </w:r>
    </w:p>
    <w:p>
      <w:r>
        <w:t>Every fact is computed LIVE from the underlying product records (No-Mock): proposed Class I / Class II / Critical classification, conformity pathway, assessment scores and market-readiness gates are all derived from real records. Every regulatory action is written to a tamper-evident, hash-chained Internal Regulatory Ledger so the compliance timeline is audit-defensible, and secure vendor / notified-body portals never expose that private ledger.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 — and works across desktop, tablet and mobile.</w:t>
      </w:r>
    </w:p>
    <w:p>
      <w:r>
        <w:t>Desktop (Chrome / Edge): click the Install icon in the address bar, or use the in-app 'Install' banner. Android (Chrome): tap the 'Install' banner or menu -&gt; Add to Home screen. iPhone / iPad (Safari): tap Share -&gt; Add to Home Screen.</w:t>
      </w:r>
    </w:p>
    <w:p>
      <w:r>
        <w:t>Once installed, the app launches full-screen and can receive push notifications for AI security alerts, shadow-AI discoveries and guardrail breaches.</w:t>
      </w:r>
    </w:p>
    <w:p>
      <w:pPr>
        <w:pStyle w:val="Heading1"/>
      </w:pPr>
      <w:r>
        <w:rPr>
          <w:color w:val="0F1E3D"/>
        </w:rPr>
        <w:t>3. Signing In</w:t>
      </w:r>
    </w:p>
    <w:p>
      <w:r>
        <w:t>Open the app and sign in with your work email and password. Passwords follow NIST 800-63B (&gt;=12 chars with upper/lower/number/symbol). Roles determine what you see: admins get full enforcement controls, executives get the board view.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Signing In</w:t>
      </w:r>
    </w:p>
    <w:p>
      <w:pPr>
        <w:pStyle w:val="Heading1"/>
      </w:pPr>
      <w:r>
        <w:rPr>
          <w:color w:val="0F1E3D"/>
        </w:rPr>
        <w:t>4. Going Live — Production Setup Checklist</w:t>
      </w:r>
    </w:p>
    <w:p>
      <w:r>
        <w:t>Follow these steps to take Obserra from first sign-in to a fully live, audit-defensible deployment. Progress is tracked automatically by the Go-Live Readiness checklist on the Connector Health page — every check runs against real state, so the score reflects your actual production readiness (No-Mock).</w:t>
      </w:r>
    </w:p>
    <w:p>
      <w:r>
        <w:t>1) Connect your sources. Open Connector Health (Sources) and connect your identity, agent and security feeds, then use 'Re-probe all connectors' so every source reads healthy and fresh. Enterprise connectors that need customer OAuth credentials are shown honestly as 'credentials required' until you supply them.</w:t>
      </w:r>
    </w:p>
    <w:p>
      <w:r>
        <w:t>2) Run the Go-Live Readiness checklist. It evaluates eight live checks: database connectivity, source-connector ingestion, data freshness, identity inventory, the correlation &amp; risk engine, the AI advisor engine, the evidence integrity seal and the agent-runtime enforcement webhook. Each item shows Ready / Attention / Blocker with a live detail line, and the card auto-refreshes every 30 seconds.</w:t>
      </w:r>
    </w:p>
    <w:p>
      <w:r>
        <w:t>3) Wire the agent-runtime enforcement webhook. Click 'Fix' on the runtime item (or go to Settings -&gt; Agent runtime connector) and register your signed HTTPS endpoint. Once saved, Kill / Suspend / Resume actions are dispatched (HMAC-SHA256 signed) to your external agent runtime and the checklist reaches 100% — 'Production ready'.</w:t>
      </w:r>
    </w:p>
    <w:p>
      <w:r>
        <w:t>4) Confirm readiness everywhere. A green 'Production ready' badge with a trend sparkline appears on the Executive Overview, and the readiness score is recorded automatically every day (no login required) so leadership can watch the trend climb toward 100%.</w:t>
      </w:r>
    </w:p>
    <w:p>
      <w:r>
        <w:t>5) Export the proof. Download the signed Evidence Pack — every page-one cover carries a SHA-256 'Verified by Obserra' integrity seal — and share it with auditors or fold the score into the emailed board digest.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go_l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Going Live — Production Setup Checklist</w:t>
      </w:r>
    </w:p>
    <w:p>
      <w:pPr>
        <w:pStyle w:val="Heading1"/>
      </w:pPr>
      <w:r>
        <w:rPr>
          <w:color w:val="0F1E3D"/>
        </w:rPr>
        <w:t>5. Executive Overview</w:t>
      </w:r>
    </w:p>
    <w:p>
      <w:r>
        <w:t>The landing dashboard is the complete rollup of the AI security estate: modelled agent risk, autonomous agents, toxic capability combinations, shadow-AI exposure, guardrail gaps and open AI incidents — all as one board-ready view. Every KPI and card opens a standardized deep-dive with an AI strategic brief and recommended actions, and admins can email the executive brief on demand or on a cadence from here.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Executive Overview</w:t>
      </w:r>
    </w:p>
    <w:p>
      <w:pPr>
        <w:pStyle w:val="Heading1"/>
      </w:pPr>
      <w:r>
        <w:rPr>
          <w:color w:val="0F1E3D"/>
        </w:rPr>
        <w:t>6. Cyber Crisis Commander</w:t>
      </w:r>
    </w:p>
    <w:p>
      <w:r>
        <w:t>The dedicated seven-tab workspace: Mission Control, Agent Inventory, Authority &amp; Tools (with the Tool Toxicity Map), Guardrails &amp; Red Team, Shadow AI, Incidents and Defensibility. Mission Control summarises the estate; every tile is clickable and drills into the relevant tab or agent.</w:t>
      </w:r>
    </w:p>
    <w:p>
      <w:pPr>
        <w:pStyle w:val="Heading1"/>
      </w:pPr>
      <w:r>
        <w:rPr>
          <w:color w:val="0F1E3D"/>
        </w:rPr>
        <w:t>7. Tool Toxicity Map</w:t>
      </w:r>
    </w:p>
    <w:p>
      <w:r>
        <w:t>A visual Agent -&gt; Tool -&gt; Permission -&gt; Resource graph that flags toxic capability combinations — for example an action-capable tool such as shell.exec paired with write permissions and no human-in-the-loop guardrail, or a data-exfiltration-capable tool with access to sensitive resources. The heatmap makes the most dangerous agents glanceable so reviewers can neutralise them first.</w:t>
      </w:r>
    </w:p>
    <w:p>
      <w:pPr>
        <w:pStyle w:val="Heading1"/>
      </w:pPr>
      <w:r>
        <w:rPr>
          <w:color w:val="0F1E3D"/>
        </w:rPr>
        <w:t>8. Defensibility &amp; Evidence</w:t>
      </w:r>
    </w:p>
    <w:p>
      <w:r>
        <w:t>The evidence layer: live data-source status, an explicit separation of FACT vs MODELLED vs HEURISTIC BASELINE vs AI RECOMMENDATION, the runtime-enforcement boundary statement and connector health. This is what makes the whole plane audit-defensible.</w:t>
      </w:r>
    </w:p>
    <w:p>
      <w:pPr>
        <w:pStyle w:val="Heading1"/>
      </w:pPr>
      <w:r>
        <w:rPr>
          <w:color w:val="0F1E3D"/>
        </w:rPr>
        <w:t>9. Obserrian Advisor</w:t>
      </w:r>
    </w:p>
    <w:p>
      <w:r>
        <w:t>The floating Obserrian Advisor (bottom-right, and via the top-bar ask box) answers AI security questions grounded on your LIVE agent telemetry — delegated tools, permissions, guardrail coverage, tool-governance violations and the red-team baseline. It can execute recommended actions and, for admins, reports its own usage and spend.</w:t>
      </w:r>
    </w:p>
    <w:p>
      <w:pPr>
        <w:pStyle w:val="Heading1"/>
      </w:pPr>
      <w:r>
        <w:rPr>
          <w:color w:val="0F1E3D"/>
        </w:rPr>
        <w:t>10.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