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EU CRA Governance</w:t>
      </w:r>
    </w:p>
    <w:p>
      <w:pPr>
        <w:pStyle w:val="Title"/>
        <w:jc w:val="center"/>
      </w:pPr>
      <w:r>
        <w:t>Install &amp; User Guide</w:t>
      </w:r>
    </w:p>
    <w:p>
      <w:pPr>
        <w:jc w:val="center"/>
      </w:pPr>
      <w:r>
        <w:t>European Union Cyber Resilience Act (Regulation (EU) 2024/2847) product governance</w:t>
      </w:r>
    </w:p>
    <w:p>
      <w:pPr>
        <w:jc w:val="center"/>
      </w:pPr>
      <w:r>
        <w:rPr>
          <w:color w:val="808080"/>
          <w:sz w:val="18"/>
        </w:rPr>
        <w:t>August 2026  ·  Confidential — prepared for internal use.</w:t>
      </w:r>
    </w:p>
    <w:p>
      <w:r>
        <w:br w:type="page"/>
      </w:r>
    </w:p>
    <w:p>
      <w:pPr>
        <w:pStyle w:val="Heading1"/>
      </w:pPr>
      <w:r>
        <w:t>Contents</w:t>
      </w:r>
    </w:p>
    <w:p>
      <w:r>
        <w:t>1.  About Obserra EU CRA Governance</w:t>
      </w:r>
    </w:p>
    <w:p>
      <w:r>
        <w:t>2.  Installing the App (One-Click PWA)</w:t>
      </w:r>
    </w:p>
    <w:p>
      <w:r>
        <w:t>3.  On-Premise Installation (Docker)</w:t>
      </w:r>
    </w:p>
    <w:p>
      <w:r>
        <w:t>4.  Signing In</w:t>
      </w:r>
    </w:p>
    <w:p>
      <w:r>
        <w:t>5.  Getting Started — Load Sample Products</w:t>
      </w:r>
    </w:p>
    <w:p>
      <w:r>
        <w:t>6.  Mission Control &amp; the CRA AI Analyst</w:t>
      </w:r>
    </w:p>
    <w:p>
      <w:r>
        <w:t>7.  Products &amp; Classification</w:t>
      </w:r>
    </w:p>
    <w:p>
      <w:r>
        <w:t>8.  CRA Readiness Assessments &amp; the Certification Portal</w:t>
      </w:r>
    </w:p>
    <w:p>
      <w:r>
        <w:t>9.  SBOM &amp; Software Components</w:t>
      </w:r>
    </w:p>
    <w:p>
      <w:r>
        <w:t>10.  Article 14 Vulnerability &amp; Incident Reporting</w:t>
      </w:r>
    </w:p>
    <w:p>
      <w:r>
        <w:t>11.  Labs &amp; Notified Bodies (Conformity Assessment)</w:t>
      </w:r>
    </w:p>
    <w:p>
      <w:r>
        <w:t>12.  EU Declaration of Conformity &amp; CE Marking</w:t>
      </w:r>
    </w:p>
    <w:p>
      <w:r>
        <w:t>13.  Internal Regulatory Ledger &amp; Auditor Verification</w:t>
      </w:r>
    </w:p>
    <w:p>
      <w:r>
        <w:t>14.  Regulation Map</w:t>
      </w:r>
    </w:p>
    <w:p>
      <w:r>
        <w:t>15.  Executive Brief &amp; Board Reporting</w:t>
      </w:r>
    </w:p>
    <w:p>
      <w:r>
        <w:t>16.  Settings, Branding &amp; Deployment</w:t>
      </w:r>
    </w:p>
    <w:p>
      <w:r>
        <w:t>17.  Support &amp; Legal Boundary</w:t>
      </w:r>
    </w:p>
    <w:p>
      <w:r>
        <w:br w:type="page"/>
      </w:r>
    </w:p>
    <w:p>
      <w:pPr>
        <w:pStyle w:val="Heading1"/>
      </w:pPr>
      <w:r>
        <w:rPr>
          <w:color w:val="0F1E3D"/>
        </w:rPr>
        <w:t>1. About Obserra EU CRA Governance</w:t>
      </w:r>
    </w:p>
    <w:p>
      <w:r>
        <w:t>Obserra EU CRA Governance helps manufacturers, importers and distributors bring products with digital elements into conformity with the European Union Cyber Resilience Act (Regulation (EU) 2024/2847). It gives compliance, security and executive teams a single live view of product classification, regulation-mapped readiness, software bills of materials (SBOMs), Article 14 vulnerability and incident reporting clocks, notified-body sign-off and the EU Declaration of Conformity that underpins CE marking.</w:t>
      </w:r>
    </w:p>
    <w:p>
      <w:r>
        <w:t>Every fact is computed LIVE from the underlying product records (No-Mock): proposed Class I / Class II / Critical / Default classification, the conformity assessment pathway, assessment scores and market-readiness gates are all derived from real records. Every regulatory action is written to a tamper-evident, hash-chained Internal Regulatory Ledger so the compliance timeline is audit-defensible, and secure vendor / notified-body portals never expose that private ledger.</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Article 14 reporting deadlines, classification approvals and CE-readiness changes.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governance and approval controls, executives get the board-ready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Getting Started — Load Sample Products</w:t>
      </w:r>
    </w:p>
    <w:p>
      <w:r>
        <w:t>New tenants can populate the workspace instantly. On Products &amp; Classification, an admin clicks 'Load Samples' to seed a small set of real, editable CRA product records — an identity broker, a web firewall, a smart lock, a secure element and a general productivity app — spanning Default, Class I, Class II and Critical classifications.</w:t>
      </w:r>
    </w:p>
    <w:p>
      <w:r>
        <w:t>The sample set also seeds an initial readiness assessment and a CycloneDX SBOM so the dashboard, AI Analyst and ledger tell a complete story on first open. Samples are clearly flagged and can be removed at any time with 'Clear Samples'; loading is idempotent, so it never creates duplicates.</w:t>
      </w:r>
    </w:p>
    <w:p>
      <w:pPr>
        <w:pStyle w:val="Heading1"/>
      </w:pPr>
      <w:r>
        <w:rPr>
          <w:color w:val="0F1E3D"/>
        </w:rPr>
        <w:t>6. Mission Control &amp; the CRA AI Analyst</w:t>
      </w:r>
    </w:p>
    <w:p>
      <w:r>
        <w:t>Mission Control is the board-ready rollup: products under governance, average regulation-mapped readiness, the Class I / II / Critical split, open external assessments, overdue Article 14 clocks and CE-ready count. Every tile is clickable and drills into the relevant workspace tab.</w:t>
      </w:r>
    </w:p>
    <w:p>
      <w:r>
        <w:t>The CRA AI Analyst sits at the top of Mission Control. It reads the LIVE CRA posture — product counts, classification split, named CE-marking blockers and overdue Article 14 reporting stages — and returns a concise executive briefing: a headline that opens with the countdown to the nearest statutory CRA deadline, three-to-five grounded insights labelled FACT / ESTIMATE / RISK, and prioritised recommended actions. Every statement is grounded in your own records; a deterministic fallback keeps the briefing available even if the AI service is momentarily unreachable. Click 'Regenerate' to refresh after making changes, and opt in to the weekly CRA AI Analyst email so leadership sees CE-readiness drift without logging in.</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cra_mission.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Mission Control &amp; the CRA AI Analyst</w:t>
      </w:r>
    </w:p>
    <w:p>
      <w:pPr>
        <w:pStyle w:val="Heading1"/>
      </w:pPr>
      <w:r>
        <w:rPr>
          <w:color w:val="0F1E3D"/>
        </w:rPr>
        <w:t>7. Products &amp; Classification</w:t>
      </w:r>
    </w:p>
    <w:p>
      <w:r>
        <w:t>Register each product with digital elements: name, version, manufacturer legal name, description, core functionality and any known Annex III / IV category codes. Obserra then runs a deterministic, explainable classification: explicit Annex categories take priority, and where none are selected a transparent heuristic proposes Default, Class I, Class II or Critical with the matching conformity pathway (self-assessment, third-party assessment, or critical-product route).</w:t>
      </w:r>
    </w:p>
    <w:p>
      <w:r>
        <w:t>Classification is always PROPOSED until an authorised user records a formal approval with a written rationale. Approving locks the classification into the compliance record and writes the decision, actor and legal basis to the Internal Regulatory Ledger. Products can be re-classified whenever functionality or categories change.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cra_products.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Products &amp; Classification</w:t>
      </w:r>
    </w:p>
    <w:p>
      <w:pPr>
        <w:pStyle w:val="Heading1"/>
      </w:pPr>
      <w:r>
        <w:rPr>
          <w:color w:val="0F1E3D"/>
        </w:rPr>
        <w:t>8. CRA Readiness Assessments &amp; the Certification Portal</w:t>
      </w:r>
    </w:p>
    <w:p>
      <w:r>
        <w:t>Each product is assessed against a regulation-mapped requirement set. Every question links back to specific CRA Articles and Annex I essential requirements, and the score reflects conforming, partial and non-conforming answers with evidence references.</w:t>
      </w:r>
    </w:p>
    <w:p>
      <w:r>
        <w:t>Assessments can be completed internally or delegated. From the Certification Portal, an admin issues a tenant-scoped, time-limited link to a vendor (for self-assessment) or to a testing lab / notified body (for external sign-off). Tokens are stored only as hashes, and the external portal exposes only the invited product context — never the private Internal Regulatory Ledger.</w:t>
      </w:r>
    </w:p>
    <w:p>
      <w:pPr>
        <w:pStyle w:val="Heading1"/>
      </w:pPr>
      <w:r>
        <w:rPr>
          <w:color w:val="0F1E3D"/>
        </w:rPr>
        <w:t>9. SBOM &amp; Software Components</w:t>
      </w:r>
    </w:p>
    <w:p>
      <w:r>
        <w:t>Obserra generates a machine-readable Software Bill of Materials in CycloneDX 1.6 or SPDX 2.3 from supported dependency manifests (requirements.txt, package.json / package-lock.json, pom.xml). Each generated artifact records the component count and full component inventory.</w:t>
      </w:r>
    </w:p>
    <w:p>
      <w:r>
        <w:t>SBOM generation is logged to the Internal Regulatory Ledger and mapped to Annex I Part II(1), supporting the CRA obligation to identify and document the components contained in a product with digital elements.</w:t>
      </w:r>
    </w:p>
    <w:p>
      <w:pPr>
        <w:pStyle w:val="Heading1"/>
      </w:pPr>
      <w:r>
        <w:rPr>
          <w:color w:val="0F1E3D"/>
        </w:rPr>
        <w:t>10. Article 14 Vulnerability &amp; Incident Reporting</w:t>
      </w:r>
    </w:p>
    <w:p>
      <w:r>
        <w:t>The reporting workspace tracks the statutory clocks for actively exploited vulnerabilities and severe incidents: the 24-hour early warning, the 72-hour notification and the final report. Deadlines are computed from the moment of awareness, and overdue stages are flagged in red across Mission Control and the AI Analyst.</w:t>
      </w:r>
    </w:p>
    <w:p>
      <w:r>
        <w:t>Article 14 reporting obligations apply from 11 September 2026. Obserra prepares and tracks the submission package and records each stage against the single reporting platform; it does not claim a regulatory submission has been made until an official submission or receipt reference is recorded, keeping the timeline honest and audit-defensible.</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cra_vuln.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Article 14 Vulnerability &amp; Incident Reporting</w:t>
      </w:r>
    </w:p>
    <w:p>
      <w:pPr>
        <w:pStyle w:val="Heading1"/>
      </w:pPr>
      <w:r>
        <w:rPr>
          <w:color w:val="0F1E3D"/>
        </w:rPr>
        <w:t>11. Labs &amp; Notified Bodies (Conformity Assessment)</w:t>
      </w:r>
    </w:p>
    <w:p>
      <w:r>
        <w:t>Maintain a provider-neutral registry of testing labs, CRA notified bodies and certification bodies, capturing NANDO identity, country and verification evidence. Class II and Critical products — and Class I products without a fully applied harmonised route — require third-party conformity assessment.</w:t>
      </w:r>
    </w:p>
    <w:p>
      <w:r>
        <w:t>Raise external conformity assessment requests against a product and provider, supporting Module B + Module C, Module H, EU cybersecurity certification and testing-evidence workflows. External assessors record their decision and findings through the secure portal, and the outcome flows back into the product's market-readiness gates.</w:t>
      </w:r>
    </w:p>
    <w:p>
      <w:pPr>
        <w:pStyle w:val="Heading1"/>
      </w:pPr>
      <w:r>
        <w:rPr>
          <w:color w:val="0F1E3D"/>
        </w:rPr>
        <w:t>12. EU Declaration of Conformity &amp; CE Marking</w:t>
      </w:r>
    </w:p>
    <w:p>
      <w:r>
        <w:t>The Declaration &amp; CE workspace evaluates market readiness against live records: an approved classification, a complete readiness assessment, a generated SBOM, any required notified-body sign-off and an approved EU Declaration of Conformity. Each open gate is shown as an explicit blocker or warning.</w:t>
      </w:r>
    </w:p>
    <w:p>
      <w:r>
        <w:t>A completed assessment does NOT equal a Declaration approved, CE ready, or product placed on the market. Approving the EU Declaration of Conformity requires an authorised signatory name and title; the approval, signatory and declaration reference are written to the Internal Regulatory Ledger before a product is reported as CE ready. General CRA application begins 11 December 2027.</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cra_declaration.jpg"/>
                    <pic:cNvPicPr/>
                  </pic:nvPicPr>
                  <pic:blipFill>
                    <a:blip r:embed="rId14"/>
                    <a:stretch>
                      <a:fillRect/>
                    </a:stretch>
                  </pic:blipFill>
                  <pic:spPr>
                    <a:xfrm>
                      <a:off x="0" y="0"/>
                      <a:ext cx="5669280" cy="3543300"/>
                    </a:xfrm>
                    <a:prstGeom prst="rect"/>
                  </pic:spPr>
                </pic:pic>
              </a:graphicData>
            </a:graphic>
          </wp:inline>
        </w:drawing>
      </w:r>
    </w:p>
    <w:p>
      <w:pPr>
        <w:jc w:val="center"/>
      </w:pPr>
      <w:r>
        <w:rPr>
          <w:color w:val="808080"/>
          <w:sz w:val="16"/>
        </w:rPr>
        <w:t>Figure: EU Declaration of Conformity &amp; CE Marking</w:t>
      </w:r>
    </w:p>
    <w:p>
      <w:pPr>
        <w:pStyle w:val="Heading1"/>
      </w:pPr>
      <w:r>
        <w:rPr>
          <w:color w:val="0F1E3D"/>
        </w:rPr>
        <w:t>13. Internal Regulatory Ledger &amp; Auditor Verification</w:t>
      </w:r>
    </w:p>
    <w:p>
      <w:r>
        <w:t>Every regulatory action — product registration, classification proposal and approval, assessment, SBOM generation, reporting submission and declaration approval — is appended to a private, hash-chained Internal Regulatory Ledger. Each record carries the prior-record hash and its own hash, so any tampering is detectable.</w:t>
      </w:r>
    </w:p>
    <w:p>
      <w:r>
        <w:t>For independent assurance, an admin issues a read-only Auditor Verification link for a product from the Regulatory Ledger tab and shares it with one tap. The auditor or notified body opens the link and sees the product's classification, conformity route, CE status, the tamper-evident compliance timeline and a live re-computation of hash-chain integrity — without ever exposing the private ledger payloads. Links are time-limited and tenant-scoped.</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cra_ledger.jpg"/>
                    <pic:cNvPicPr/>
                  </pic:nvPicPr>
                  <pic:blipFill>
                    <a:blip r:embed="rId15"/>
                    <a:stretch>
                      <a:fillRect/>
                    </a:stretch>
                  </pic:blipFill>
                  <pic:spPr>
                    <a:xfrm>
                      <a:off x="0" y="0"/>
                      <a:ext cx="5669280" cy="3543300"/>
                    </a:xfrm>
                    <a:prstGeom prst="rect"/>
                  </pic:spPr>
                </pic:pic>
              </a:graphicData>
            </a:graphic>
          </wp:inline>
        </w:drawing>
      </w:r>
    </w:p>
    <w:p>
      <w:pPr>
        <w:jc w:val="center"/>
      </w:pPr>
      <w:r>
        <w:rPr>
          <w:color w:val="808080"/>
          <w:sz w:val="16"/>
        </w:rPr>
        <w:t>Figure: Internal Regulatory Ledger &amp; Auditor Verification</w:t>
      </w:r>
    </w:p>
    <w:p>
      <w:pPr>
        <w:pStyle w:val="Heading1"/>
      </w:pPr>
      <w:r>
        <w:rPr>
          <w:color w:val="0F1E3D"/>
        </w:rPr>
        <w:t>14. Regulation Map</w:t>
      </w:r>
    </w:p>
    <w:p>
      <w:r>
        <w:t>The Regulation Map is the authoritative requirement catalogue: each governance object links back to Regulation (EU) 2024/2847 and Commission Implementing Regulation (EU) 2025/2392, with the obligation, legal basis and expected evidence types. It is the traceability layer that makes every workflow defensible against the source law.</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cra_regulation.jpg"/>
                    <pic:cNvPicPr/>
                  </pic:nvPicPr>
                  <pic:blipFill>
                    <a:blip r:embed="rId16"/>
                    <a:stretch>
                      <a:fillRect/>
                    </a:stretch>
                  </pic:blipFill>
                  <pic:spPr>
                    <a:xfrm>
                      <a:off x="0" y="0"/>
                      <a:ext cx="5669280" cy="3543300"/>
                    </a:xfrm>
                    <a:prstGeom prst="rect"/>
                  </pic:spPr>
                </pic:pic>
              </a:graphicData>
            </a:graphic>
          </wp:inline>
        </w:drawing>
      </w:r>
    </w:p>
    <w:p>
      <w:pPr>
        <w:jc w:val="center"/>
      </w:pPr>
      <w:r>
        <w:rPr>
          <w:color w:val="808080"/>
          <w:sz w:val="16"/>
        </w:rPr>
        <w:t>Figure: Regulation Map</w:t>
      </w:r>
    </w:p>
    <w:p>
      <w:pPr>
        <w:pStyle w:val="Heading1"/>
      </w:pPr>
      <w:r>
        <w:rPr>
          <w:color w:val="0F1E3D"/>
        </w:rPr>
        <w:t>15. Executive Brief &amp; Board Reporting</w:t>
      </w:r>
    </w:p>
    <w:p>
      <w:r>
        <w:t>One click generates the EU CRA Governance Executive Brief as a branded PDF — product posture, classification split, readiness, Article 14 status and CE readiness — suitable for leadership and board packs. It is compiled from live records with an explicit note that Obserra provides regulatory workflow and traceability, not legal advice.</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 the on-premise package and these guides in PDF and Word.</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cra_settings.jpg"/>
                    <pic:cNvPicPr/>
                  </pic:nvPicPr>
                  <pic:blipFill>
                    <a:blip r:embed="rId17"/>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Support &amp; Legal Boundary</w:t>
      </w:r>
    </w:p>
    <w:p>
      <w:r>
        <w:t>For assistance contact your Obserra administrator. Classifications are automatically PROPOSED and require authorised approval; readiness scores and AI Analyst briefings are decision-support outputs and do not constitute legal advice or a guarantee of CRA conformity. Placing a product on the EU market remains the manufacturer's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