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A78C3" w14:textId="2A32336F" w:rsidR="00B50CAB" w:rsidRDefault="00B50CAB" w:rsidP="004D1CC9">
      <w:pPr>
        <w:pStyle w:val="Ttulo"/>
        <w:rPr>
          <w:color w:val="000000" w:themeColor="text1"/>
        </w:rPr>
      </w:pPr>
      <w:bookmarkStart w:id="0" w:name="OLE_LINK56"/>
      <w:r w:rsidRPr="00B50CAB">
        <w:t xml:space="preserve"> </w:t>
      </w:r>
      <w:r w:rsidR="00C0331E" w:rsidRPr="00C0331E">
        <w:rPr>
          <w:color w:val="000000" w:themeColor="text1"/>
          <w:sz w:val="52"/>
          <w:szCs w:val="52"/>
        </w:rPr>
        <w:t>RESOLUCIÓN DE UNA ECUACIÓN DIFERENCIAL ESTOCÁSTICA UTILIZANDO EL LEMA DE ITÔ</w:t>
      </w:r>
    </w:p>
    <w:p w14:paraId="58CF01B0" w14:textId="28A668CD" w:rsidR="004D1CC9" w:rsidRDefault="00C0331E" w:rsidP="004D1CC9">
      <w:pPr>
        <w:pStyle w:val="Ttulo"/>
        <w:rPr>
          <w:color w:val="000000" w:themeColor="text1"/>
        </w:rPr>
      </w:pPr>
      <w:r w:rsidRPr="00C0331E">
        <w:rPr>
          <w:color w:val="000000" w:themeColor="text1"/>
          <w:sz w:val="52"/>
          <w:szCs w:val="52"/>
        </w:rPr>
        <w:t>ACTIVIDAD</w:t>
      </w:r>
      <w:r w:rsidR="00B50CAB" w:rsidRPr="00C0331E">
        <w:rPr>
          <w:color w:val="000000" w:themeColor="text1"/>
          <w:sz w:val="52"/>
          <w:szCs w:val="52"/>
        </w:rPr>
        <w:t xml:space="preserve"> 3</w:t>
      </w:r>
      <w:r w:rsidR="004D1CC9" w:rsidRPr="008B148B">
        <w:rPr>
          <w:color w:val="000000" w:themeColor="text1"/>
        </w:rPr>
        <w:t xml:space="preserve"> </w:t>
      </w:r>
    </w:p>
    <w:p w14:paraId="34F943DB" w14:textId="64A1A792" w:rsidR="00906331" w:rsidRDefault="00906331" w:rsidP="00906331">
      <w:r>
        <w:rPr>
          <w:b/>
          <w:bCs/>
          <w:noProof/>
          <w:spacing w:val="5"/>
          <w:sz w:val="28"/>
        </w:rPr>
        <w:drawing>
          <wp:anchor distT="0" distB="0" distL="114300" distR="114300" simplePos="0" relativeHeight="251669504" behindDoc="1" locked="0" layoutInCell="1" allowOverlap="1" wp14:anchorId="77E9C2F7" wp14:editId="261838E8">
            <wp:simplePos x="0" y="0"/>
            <wp:positionH relativeFrom="margin">
              <wp:align>center</wp:align>
            </wp:positionH>
            <wp:positionV relativeFrom="margin">
              <wp:posOffset>1790700</wp:posOffset>
            </wp:positionV>
            <wp:extent cx="1317919" cy="793824"/>
            <wp:effectExtent l="0" t="0" r="0" b="0"/>
            <wp:wrapNone/>
            <wp:docPr id="1751402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02668" name="Picture 17514026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919" cy="793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F5C6E" w14:textId="77777777" w:rsidR="00906331" w:rsidRDefault="00906331" w:rsidP="00906331"/>
    <w:p w14:paraId="0DFBC959" w14:textId="77777777" w:rsidR="00906331" w:rsidRDefault="00906331" w:rsidP="00906331"/>
    <w:p w14:paraId="24FBF029" w14:textId="77777777" w:rsidR="00906331" w:rsidRDefault="00906331" w:rsidP="00906331"/>
    <w:p w14:paraId="403320D0" w14:textId="77777777" w:rsidR="00906331" w:rsidRPr="00906331" w:rsidRDefault="00906331" w:rsidP="00906331"/>
    <w:p w14:paraId="54D51AF6" w14:textId="394E118D" w:rsidR="0095561E" w:rsidRPr="00906331" w:rsidRDefault="008113F6" w:rsidP="006943F5">
      <w:pPr>
        <w:pStyle w:val="Citadestacada"/>
        <w:rPr>
          <w:rStyle w:val="Ttulodellibro"/>
          <w:b/>
          <w:bCs w:val="0"/>
          <w:i/>
          <w:iCs/>
          <w:sz w:val="32"/>
          <w:szCs w:val="24"/>
        </w:rPr>
      </w:pPr>
      <w:r w:rsidRPr="00906331">
        <w:rPr>
          <w:rStyle w:val="Ttulodellibro"/>
          <w:b/>
          <w:bCs w:val="0"/>
          <w:i/>
          <w:iCs/>
          <w:sz w:val="32"/>
          <w:szCs w:val="24"/>
        </w:rPr>
        <w:t>Universidad Internacional de la Rioja (UNIR)</w:t>
      </w:r>
    </w:p>
    <w:p w14:paraId="3DFB2CF9" w14:textId="15F5B9C1" w:rsidR="00E64B99" w:rsidRPr="00906331" w:rsidRDefault="008113F6" w:rsidP="004D1CC9">
      <w:pPr>
        <w:pStyle w:val="Citadestacada"/>
        <w:rPr>
          <w:rStyle w:val="Ttulodellibro"/>
          <w:b/>
          <w:bCs w:val="0"/>
          <w:i/>
          <w:iCs/>
          <w:sz w:val="32"/>
          <w:szCs w:val="24"/>
        </w:rPr>
      </w:pPr>
      <w:r w:rsidRPr="00906331">
        <w:rPr>
          <w:rStyle w:val="Ttulodellibro"/>
          <w:b/>
          <w:bCs w:val="0"/>
          <w:i/>
          <w:iCs/>
          <w:sz w:val="32"/>
          <w:szCs w:val="24"/>
        </w:rPr>
        <w:t>Cuatrimestre II</w:t>
      </w:r>
    </w:p>
    <w:p w14:paraId="6987BFE9" w14:textId="22285D7F" w:rsidR="004D1CC9" w:rsidRDefault="004D1CC9" w:rsidP="00640FBB">
      <w:pPr>
        <w:jc w:val="center"/>
        <w:rPr>
          <w:rStyle w:val="Ttulodellibro"/>
        </w:rPr>
      </w:pPr>
      <w:r w:rsidRPr="00906331">
        <w:rPr>
          <w:b/>
          <w:bCs/>
          <w:kern w:val="0"/>
          <w:sz w:val="32"/>
          <w:szCs w:val="32"/>
          <w14:ligatures w14:val="none"/>
        </w:rPr>
        <w:t>Máster en Ingeniería Matemática y Computación</w:t>
      </w:r>
    </w:p>
    <w:p w14:paraId="06E93E58" w14:textId="22189944" w:rsidR="0090785A" w:rsidRPr="00B50CAB" w:rsidRDefault="00C0331E" w:rsidP="00B50CAB">
      <w:pPr>
        <w:jc w:val="center"/>
        <w:rPr>
          <w:rStyle w:val="Ttulodellibro"/>
        </w:rPr>
      </w:pPr>
      <w:r>
        <w:rPr>
          <w:rStyle w:val="Ttulodellibro"/>
        </w:rPr>
        <w:t>Ecuaciones Diferenciales Estocásticas</w:t>
      </w:r>
    </w:p>
    <w:p w14:paraId="48B7506B" w14:textId="649DEEC0" w:rsidR="00640FBB" w:rsidRDefault="0066462A" w:rsidP="00640FBB">
      <w:pPr>
        <w:jc w:val="center"/>
        <w:rPr>
          <w:rStyle w:val="Ttulodellibro"/>
          <w:b w:val="0"/>
          <w:bCs w:val="0"/>
          <w:i w:val="0"/>
          <w:iCs w:val="0"/>
          <w:kern w:val="0"/>
          <w:sz w:val="24"/>
          <w:szCs w:val="20"/>
          <w14:ligatures w14:val="none"/>
        </w:rPr>
      </w:pPr>
      <w:r w:rsidRPr="006943F5">
        <w:rPr>
          <w:rStyle w:val="Ttulodellibro"/>
          <w:i w:val="0"/>
          <w:iCs w:val="0"/>
          <w:kern w:val="0"/>
          <w:sz w:val="24"/>
          <w:szCs w:val="20"/>
          <w14:ligatures w14:val="none"/>
        </w:rPr>
        <w:t xml:space="preserve">Autor: </w:t>
      </w:r>
      <w:r w:rsidRPr="006943F5">
        <w:rPr>
          <w:rStyle w:val="Ttulodellibro"/>
          <w:b w:val="0"/>
          <w:bCs w:val="0"/>
          <w:i w:val="0"/>
          <w:iCs w:val="0"/>
          <w:kern w:val="0"/>
          <w:sz w:val="24"/>
          <w:szCs w:val="20"/>
          <w14:ligatures w14:val="none"/>
        </w:rPr>
        <w:t>Javier Blanco Álvarez</w:t>
      </w:r>
    </w:p>
    <w:p w14:paraId="2CE58EAD" w14:textId="3CFBC015" w:rsidR="0090785A" w:rsidRPr="008C433B" w:rsidRDefault="0090785A" w:rsidP="00640FBB">
      <w:pPr>
        <w:jc w:val="center"/>
        <w:rPr>
          <w:rStyle w:val="Referenciasutil"/>
        </w:rPr>
      </w:pPr>
    </w:p>
    <w:p w14:paraId="5E11E53E" w14:textId="0A8416D0" w:rsidR="00906331" w:rsidRDefault="00906331">
      <w:bookmarkStart w:id="1" w:name="OLE_LINK39"/>
      <w:r>
        <w:br w:type="page"/>
      </w:r>
    </w:p>
    <w:p w14:paraId="2C23BAF8" w14:textId="77777777" w:rsidR="00C0331E" w:rsidRPr="009744C6" w:rsidRDefault="00C0331E" w:rsidP="008E181F">
      <w:pPr>
        <w:spacing w:line="240" w:lineRule="auto"/>
        <w:jc w:val="both"/>
        <w:rPr>
          <w:rStyle w:val="Referenciasutil"/>
          <w:b w:val="0"/>
          <w:smallCaps w:val="0"/>
          <w:color w:val="auto"/>
          <w:sz w:val="22"/>
        </w:rPr>
        <w:sectPr w:rsidR="00C0331E" w:rsidRPr="009744C6" w:rsidSect="00A624D8">
          <w:footerReference w:type="default" r:id="rId9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15C8F89C" w14:textId="54A91C62" w:rsidR="00A01BF0" w:rsidRDefault="00B55B06" w:rsidP="00057182">
      <w:pPr>
        <w:pStyle w:val="Ttulo1"/>
        <w:numPr>
          <w:ilvl w:val="0"/>
          <w:numId w:val="2"/>
        </w:numPr>
        <w:rPr>
          <w:rStyle w:val="Referenciasutil"/>
          <w:b/>
          <w:smallCaps w:val="0"/>
          <w:color w:val="595959" w:themeColor="text1" w:themeTint="A6"/>
          <w:sz w:val="32"/>
        </w:rPr>
      </w:pPr>
      <w:bookmarkStart w:id="2" w:name="OLE_LINK17"/>
      <w:bookmarkStart w:id="3" w:name="OLE_LINK57"/>
      <w:bookmarkEnd w:id="1"/>
      <w:r>
        <w:rPr>
          <w:rStyle w:val="Referenciasutil"/>
          <w:b/>
          <w:smallCaps w:val="0"/>
          <w:color w:val="595959" w:themeColor="text1" w:themeTint="A6"/>
          <w:sz w:val="32"/>
        </w:rPr>
        <w:lastRenderedPageBreak/>
        <w:t>Planteamiento</w:t>
      </w:r>
    </w:p>
    <w:bookmarkEnd w:id="3"/>
    <w:p w14:paraId="1C726893" w14:textId="3056B59F" w:rsidR="00C0331E" w:rsidRPr="00BE21A1" w:rsidRDefault="00C0331E" w:rsidP="00EB2749">
      <w:pPr>
        <w:pStyle w:val="textoparrafo"/>
        <w:rPr>
          <w:rFonts w:eastAsiaTheme="minorEastAsia"/>
        </w:rPr>
      </w:pPr>
      <w:r>
        <w:rPr>
          <w:rFonts w:eastAsiaTheme="minorEastAsia"/>
        </w:rPr>
        <w:t xml:space="preserve">Se tienen dos problemas de valor inicial estocásticos (PVIE) a los que se les aplicarán las técnicas descritas en los temas 8 y 9 de la asignatura. El propósito es resolver una ecuación diferencial estocásticas utilizando el lema de Itô en sus distintas versiones (general y particular) y en forma integral y diferencial. </w:t>
      </w:r>
    </w:p>
    <w:bookmarkEnd w:id="2"/>
    <w:p w14:paraId="17CBDBB2" w14:textId="41F2D5B2" w:rsidR="00BE21A1" w:rsidRDefault="00C0331E" w:rsidP="00BE21A1">
      <w:pPr>
        <w:pStyle w:val="Ttulo1"/>
        <w:numPr>
          <w:ilvl w:val="0"/>
          <w:numId w:val="2"/>
        </w:numPr>
        <w:rPr>
          <w:rStyle w:val="Referenciasutil"/>
          <w:b/>
          <w:smallCaps w:val="0"/>
          <w:color w:val="595959" w:themeColor="text1" w:themeTint="A6"/>
          <w:sz w:val="32"/>
        </w:rPr>
      </w:pPr>
      <w:r>
        <w:rPr>
          <w:rStyle w:val="Referenciasutil"/>
          <w:b/>
          <w:smallCaps w:val="0"/>
          <w:color w:val="595959" w:themeColor="text1" w:themeTint="A6"/>
          <w:sz w:val="32"/>
        </w:rPr>
        <w:t>Problema 1</w:t>
      </w:r>
    </w:p>
    <w:p w14:paraId="40318227" w14:textId="42435CFC" w:rsidR="00C0331E" w:rsidRDefault="00C0331E" w:rsidP="00C0331E"/>
    <w:p w14:paraId="65E0E988" w14:textId="098269F5" w:rsidR="00C0331E" w:rsidRDefault="00C0331E" w:rsidP="00C0331E">
      <w:pPr>
        <w:pStyle w:val="textoparrafo"/>
      </w:pPr>
      <w:r>
        <w:t>Considerando el PVIE:</w:t>
      </w:r>
    </w:p>
    <w:p w14:paraId="2F7FED62" w14:textId="77777777" w:rsidR="00C0331E" w:rsidRPr="00C0331E" w:rsidRDefault="00C0331E" w:rsidP="00C0331E">
      <w:pPr>
        <w:pStyle w:val="textoparraf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dt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dW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ABD7091" w14:textId="023467D4" w:rsidR="00C0331E" w:rsidRPr="00C0331E" w:rsidRDefault="00C0331E" w:rsidP="00C0331E">
      <w:pPr>
        <w:pStyle w:val="textoparraf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1982E160" w14:textId="1433666B" w:rsidR="00C0331E" w:rsidRDefault="00C0331E" w:rsidP="00C0331E">
      <w:pPr>
        <w:pStyle w:val="textoparrafo"/>
      </w:pPr>
      <w:r>
        <w:t xml:space="preserve">Calcular la solución del problema estocástico (PE) mediante el lema de Itô, tomando la siguiente función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12B5B1C0" w14:textId="24081B9C" w:rsidR="00C0331E" w:rsidRDefault="00C0331E" w:rsidP="00C0331E">
      <w:pPr>
        <w:pStyle w:val="textoparrafo"/>
      </w:pPr>
      <w:r w:rsidRPr="00C0331E">
        <w:rPr>
          <w:b/>
          <w:bCs/>
        </w:rPr>
        <w:t>Datos</w:t>
      </w:r>
      <w:r>
        <w:t>:</w:t>
      </w:r>
    </w:p>
    <w:p w14:paraId="45FCB3DB" w14:textId="36A32427" w:rsidR="00C0331E" w:rsidRDefault="00C0331E" w:rsidP="00C0331E">
      <w:pPr>
        <w:pStyle w:val="textoparrafo"/>
      </w:pPr>
      <w:r>
        <w:t>Del problema propuesto podemos extraer algunos datos importantes:</w:t>
      </w:r>
    </w:p>
    <w:p w14:paraId="458B2E90" w14:textId="02A12D4E" w:rsidR="00C0331E" w:rsidRPr="00C0331E" w:rsidRDefault="00C0331E" w:rsidP="00C0331E">
      <w:pPr>
        <w:pStyle w:val="textoparraf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0ECE4D3B" w14:textId="38248FA0" w:rsidR="00C0331E" w:rsidRPr="00C0331E" w:rsidRDefault="00C0331E" w:rsidP="00C0331E">
      <w:pPr>
        <w:pStyle w:val="textoparraf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C288656" w14:textId="2EA4A98E" w:rsidR="00C0331E" w:rsidRPr="00C0331E" w:rsidRDefault="00C0331E" w:rsidP="00C0331E">
      <w:pPr>
        <w:pStyle w:val="textoparraf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 ∈ [0,t]</m:t>
          </m:r>
        </m:oMath>
      </m:oMathPara>
    </w:p>
    <w:p w14:paraId="1F82186F" w14:textId="27B8BFFA" w:rsidR="00C0331E" w:rsidRPr="00C0331E" w:rsidRDefault="00C0331E" w:rsidP="00C0331E">
      <w:pPr>
        <w:pStyle w:val="textoparrafo"/>
        <w:rPr>
          <w:rFonts w:eastAsiaTheme="minorEastAsia"/>
          <w:b/>
          <w:bCs/>
        </w:rPr>
      </w:pPr>
      <w:r w:rsidRPr="00C0331E">
        <w:rPr>
          <w:rFonts w:eastAsiaTheme="minorEastAsia"/>
          <w:b/>
          <w:bCs/>
        </w:rPr>
        <w:t>Forma Integral</w:t>
      </w:r>
    </w:p>
    <w:p w14:paraId="66E71AD3" w14:textId="0629F60B" w:rsidR="00C0331E" w:rsidRDefault="00C0331E" w:rsidP="00C0331E">
      <w:pPr>
        <w:pStyle w:val="textoparrafo"/>
      </w:pPr>
      <w:r>
        <w:t>La PVIE en cuestión tiene la siguiente forma integral</w:t>
      </w:r>
      <w:r w:rsidR="00A267A6">
        <w:rPr>
          <w:rStyle w:val="Refdenotaalpie"/>
        </w:rPr>
        <w:footnoteReference w:id="1"/>
      </w:r>
      <w:r>
        <w:t>:</w:t>
      </w:r>
    </w:p>
    <w:p w14:paraId="511FF285" w14:textId="161812F2" w:rsidR="00C0331E" w:rsidRDefault="00C0331E" w:rsidP="00C0331E">
      <w:pPr>
        <w:pStyle w:val="textoparrafo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dX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 =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(τ,X(τ)) dτ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(τ,X(τ)) d</m:t>
              </m:r>
              <m:r>
                <w:rPr>
                  <w:rFonts w:ascii="Cambria Math" w:hAnsi="Cambria Math"/>
                </w:rPr>
                <m:t>W(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 xml:space="preserve">  </m:t>
          </m:r>
        </m:oMath>
      </m:oMathPara>
    </w:p>
    <w:p w14:paraId="0758EEDC" w14:textId="7A1F5246" w:rsidR="00C0331E" w:rsidRDefault="00A267A6" w:rsidP="00C0331E">
      <w:pPr>
        <w:pStyle w:val="textoparrafo"/>
      </w:pPr>
      <w:r>
        <w:t>Siendo:</w:t>
      </w:r>
    </w:p>
    <w:p w14:paraId="1D9F5792" w14:textId="0A1536BC" w:rsidR="00A267A6" w:rsidRDefault="00A267A6" w:rsidP="00C0331E">
      <w:pPr>
        <w:pStyle w:val="textoparrafo"/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(τ,X(τ)) dτ</m:t>
            </m:r>
          </m:e>
        </m:nary>
      </m:oMath>
      <w:r>
        <w:rPr>
          <w:rFonts w:eastAsiaTheme="minorEastAsia"/>
        </w:rPr>
        <w:t xml:space="preserve"> una integral de tipo Riemann y</w:t>
      </w:r>
    </w:p>
    <w:p w14:paraId="662497CD" w14:textId="396C1F59" w:rsidR="00A267A6" w:rsidRPr="00A267A6" w:rsidRDefault="00A267A6" w:rsidP="00C0331E">
      <w:pPr>
        <w:pStyle w:val="textoparrafo"/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(τ,X(τ)) dW(τ)</m:t>
            </m:r>
          </m:e>
        </m:nary>
      </m:oMath>
      <w:r>
        <w:rPr>
          <w:rFonts w:eastAsiaTheme="minorEastAsia"/>
        </w:rPr>
        <w:t xml:space="preserve"> un integral de tipo Itô</w:t>
      </w:r>
    </w:p>
    <w:p w14:paraId="71D3CAF2" w14:textId="65F871FB" w:rsidR="00A267A6" w:rsidRDefault="00A267A6" w:rsidP="00C0331E">
      <w:pPr>
        <w:pStyle w:val="textoparrafo"/>
        <w:rPr>
          <w:rFonts w:eastAsiaTheme="minorEastAsia"/>
        </w:rPr>
      </w:pPr>
      <w:r>
        <w:lastRenderedPageBreak/>
        <w:t xml:space="preserve">Así pues,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y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son los coeficientes que acompañan a dt y dW(t) en el PVIE propuesto, por tanto, si:</w:t>
      </w:r>
    </w:p>
    <w:p w14:paraId="48000405" w14:textId="495DC249" w:rsidR="00A267A6" w:rsidRPr="00A267A6" w:rsidRDefault="00A267A6" w:rsidP="00C0331E">
      <w:pPr>
        <w:pStyle w:val="textoparraf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y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0D193D82" w14:textId="6434F167" w:rsidR="00A267A6" w:rsidRDefault="00A267A6" w:rsidP="00C0331E">
      <w:pPr>
        <w:pStyle w:val="textoparrafo"/>
        <w:rPr>
          <w:rFonts w:eastAsiaTheme="minorEastAsia"/>
        </w:rPr>
      </w:pPr>
      <w:r>
        <w:rPr>
          <w:rFonts w:eastAsiaTheme="minorEastAsia"/>
        </w:rPr>
        <w:t>Entonces:</w:t>
      </w:r>
    </w:p>
    <w:p w14:paraId="45D98CF8" w14:textId="7C66522C" w:rsidR="00A267A6" w:rsidRPr="00A267A6" w:rsidRDefault="00A267A6" w:rsidP="00C0331E">
      <w:pPr>
        <w:pStyle w:val="textoparraf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- X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nary>
            <m:naryPr>
              <m:limLoc m:val="subSup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dτ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dW(τ)</m:t>
              </m:r>
            </m:e>
          </m:nary>
        </m:oMath>
      </m:oMathPara>
    </w:p>
    <w:p w14:paraId="6180E504" w14:textId="6C3DB81B" w:rsidR="00A267A6" w:rsidRDefault="00A267A6" w:rsidP="00C0331E">
      <w:pPr>
        <w:pStyle w:val="textoparrafo"/>
      </w:pPr>
      <w:r>
        <w:t>Esta expresión se conoce como la expresión integral de la ecuación diferencial estocástica</w:t>
      </w:r>
    </w:p>
    <w:p w14:paraId="06066CF8" w14:textId="77777777" w:rsidR="00A905A5" w:rsidRDefault="00A267A6" w:rsidP="00C0331E">
      <w:pPr>
        <w:pStyle w:val="textoparrafo"/>
        <w:rPr>
          <w:rFonts w:eastAsiaTheme="minorEastAsia"/>
          <w:iCs/>
        </w:rPr>
      </w:pPr>
      <w:r>
        <w:t xml:space="preserve">Dado que </w:t>
      </w:r>
      <m:oMath>
        <m:nary>
          <m:naryPr>
            <m:limLoc m:val="subSup"/>
            <m:ctrlPr>
              <w:rPr>
                <w:rFonts w:ascii="Cambria Math" w:hAnsi="Cambria Math"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dW(τ)</m:t>
            </m:r>
          </m:e>
        </m:nary>
      </m:oMath>
      <w:r>
        <w:rPr>
          <w:rFonts w:eastAsiaTheme="minorEastAsia"/>
          <w:iCs/>
        </w:rPr>
        <w:t xml:space="preserve"> se trata de una integral de tipo Itô hemos de aplicar el lema que lleva su nombre para resolverlo. </w:t>
      </w:r>
    </w:p>
    <w:p w14:paraId="71CBD113" w14:textId="1C6435CC" w:rsidR="00A905A5" w:rsidRPr="00A905A5" w:rsidRDefault="00A905A5" w:rsidP="00C0331E">
      <w:pPr>
        <w:pStyle w:val="textoparrafo"/>
        <w:rPr>
          <w:rFonts w:eastAsiaTheme="minorEastAsia"/>
          <w:b/>
          <w:bCs/>
          <w:iCs/>
        </w:rPr>
      </w:pPr>
      <w:r w:rsidRPr="00A905A5">
        <w:rPr>
          <w:rFonts w:eastAsiaTheme="minorEastAsia"/>
          <w:b/>
          <w:bCs/>
          <w:iCs/>
        </w:rPr>
        <w:t xml:space="preserve">Solución </w:t>
      </w:r>
    </w:p>
    <w:p w14:paraId="1EC41D19" w14:textId="3F8F26AF" w:rsidR="0001653D" w:rsidRDefault="00A267A6" w:rsidP="00C0331E">
      <w:pPr>
        <w:pStyle w:val="textoparrafo"/>
        <w:rPr>
          <w:rFonts w:eastAsiaTheme="minorEastAsia"/>
          <w:iCs/>
        </w:rPr>
      </w:pPr>
      <w:r>
        <w:rPr>
          <w:rFonts w:eastAsiaTheme="minorEastAsia"/>
          <w:iCs/>
        </w:rPr>
        <w:t xml:space="preserve">En esta ocasión aplicaremos la versión general del lema de Itô, conocido también </w:t>
      </w:r>
      <w:r w:rsidRPr="000F3C6B">
        <w:rPr>
          <w:rFonts w:eastAsiaTheme="minorEastAsia"/>
          <w:b/>
          <w:bCs/>
          <w:iCs/>
        </w:rPr>
        <w:t>como el lema 0</w:t>
      </w:r>
      <w:r>
        <w:rPr>
          <w:rFonts w:eastAsiaTheme="minorEastAsia"/>
          <w:iCs/>
        </w:rPr>
        <w:t xml:space="preserve">. </w:t>
      </w:r>
    </w:p>
    <w:p w14:paraId="689B8E68" w14:textId="70C3B358" w:rsidR="00A267A6" w:rsidRDefault="00A267A6" w:rsidP="00C0331E">
      <w:pPr>
        <w:pStyle w:val="textoparrafo"/>
        <w:rPr>
          <w:rFonts w:eastAsiaTheme="minorEastAsia"/>
          <w:iCs/>
        </w:rPr>
      </w:pPr>
      <w:r>
        <w:rPr>
          <w:rFonts w:eastAsiaTheme="minorEastAsia"/>
          <w:iCs/>
        </w:rPr>
        <w:t>Este lema establece:</w:t>
      </w:r>
    </w:p>
    <w:p w14:paraId="0920B596" w14:textId="5EDD744E" w:rsidR="00A267A6" w:rsidRPr="0001653D" w:rsidRDefault="0001653D" w:rsidP="00C0331E">
      <w:pPr>
        <w:pStyle w:val="textoparrafo"/>
        <w:rPr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0"/>
            </w:rPr>
            <m:t xml:space="preserve">f(τ, X(τ)) - f(0, X(0)) = </m:t>
          </m:r>
          <m:nary>
            <m:naryPr>
              <m:limLoc m:val="subSup"/>
              <m:ctrlPr>
                <w:rPr>
                  <w:rFonts w:ascii="Cambria Math" w:hAnsi="Cambria Math"/>
                  <w:iCs/>
                  <w:sz w:val="22"/>
                  <w:szCs w:val="2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0"/>
                </w:rPr>
                <m:t>τ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Cs/>
                      <w:sz w:val="22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2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0"/>
                    </w:rPr>
                    <m:t>(τ, X(τ)) +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2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0"/>
                    </w:rPr>
                    <m:t>(τ, X(τ))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2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  <w:sz w:val="22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2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  <w:sz w:val="22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(τ, X(τ)))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2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22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0"/>
                </w:rPr>
                <m:t xml:space="preserve">dτ + 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Cs/>
                      <w:sz w:val="22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0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0"/>
                    </w:rPr>
                    <m:t>τ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2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0"/>
                    </w:rPr>
                    <m:t>(τ, X(τ))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2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0"/>
                    </w:rPr>
                    <m:t>dW(τ)</m:t>
                  </m:r>
                </m:e>
              </m:nary>
            </m:e>
          </m:nary>
        </m:oMath>
      </m:oMathPara>
    </w:p>
    <w:p w14:paraId="355A29B6" w14:textId="1680C18B" w:rsidR="00C0331E" w:rsidRDefault="0001653D" w:rsidP="00C0331E">
      <w:pPr>
        <w:pStyle w:val="textoparrafo"/>
        <w:rPr>
          <w:rFonts w:eastAsiaTheme="minorEastAsia"/>
        </w:rPr>
      </w:pPr>
      <w:r>
        <w:t xml:space="preserve">Los coeficientes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y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son conocidos, mientras que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>
        <w:rPr>
          <w:rFonts w:eastAsiaTheme="minorEastAsia"/>
        </w:rPr>
        <w:t xml:space="preserve"> serán determinadas a partir de la función </w:t>
      </w:r>
      <m:oMath>
        <m:r>
          <w:rPr>
            <w:rFonts w:ascii="Cambria Math" w:eastAsiaTheme="minorEastAsia" w:hAnsi="Cambria Math"/>
          </w:rPr>
          <m:t>f(t,x)</m:t>
        </m:r>
      </m:oMath>
      <w:r>
        <w:rPr>
          <w:rFonts w:eastAsiaTheme="minorEastAsia"/>
        </w:rPr>
        <w:t>. Por tanto:</w:t>
      </w:r>
    </w:p>
    <w:p w14:paraId="60E37F35" w14:textId="77777777" w:rsidR="0001653D" w:rsidRDefault="0001653D" w:rsidP="00C0331E">
      <w:pPr>
        <w:pStyle w:val="textoparrafo"/>
        <w:rPr>
          <w:rFonts w:ascii="Cambria Math" w:hAnsi="Cambria Math"/>
          <w:oMath/>
        </w:rPr>
        <w:sectPr w:rsidR="0001653D" w:rsidSect="00906331">
          <w:headerReference w:type="first" r:id="rId10"/>
          <w:footnotePr>
            <w:numFmt w:val="chicago"/>
          </w:footnotePr>
          <w:type w:val="continuous"/>
          <w:pgSz w:w="11906" w:h="16838"/>
          <w:pgMar w:top="1417" w:right="1701" w:bottom="1417" w:left="1701" w:header="708" w:footer="708" w:gutter="0"/>
          <w:cols w:space="568"/>
          <w:titlePg/>
          <w:docGrid w:linePitch="360"/>
        </w:sectPr>
      </w:pPr>
    </w:p>
    <w:p w14:paraId="2999EF26" w14:textId="094F28EB" w:rsidR="0001653D" w:rsidRPr="0001653D" w:rsidRDefault="0001653D" w:rsidP="00C0331E">
      <w:pPr>
        <w:pStyle w:val="textoparraf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 = 0</m:t>
          </m:r>
        </m:oMath>
      </m:oMathPara>
    </w:p>
    <w:p w14:paraId="45EA835E" w14:textId="48FC4833" w:rsidR="0001653D" w:rsidRPr="0001653D" w:rsidRDefault="0001653D" w:rsidP="00C0331E">
      <w:pPr>
        <w:pStyle w:val="textoparraf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460ECD56" w14:textId="23C0AB6A" w:rsidR="0001653D" w:rsidRPr="0001653D" w:rsidRDefault="0001653D" w:rsidP="00C0331E">
      <w:pPr>
        <w:pStyle w:val="textoparraf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18D0525E" w14:textId="4DBB3C63" w:rsidR="0001653D" w:rsidRDefault="004034F1" w:rsidP="00C0331E">
      <w:pPr>
        <w:pStyle w:val="textoparrafo"/>
        <w:rPr>
          <w:rFonts w:eastAsiaTheme="minorEastAsia"/>
        </w:rPr>
      </w:pPr>
      <w:r>
        <w:rPr>
          <w:rFonts w:eastAsiaTheme="minorEastAsia"/>
        </w:rPr>
        <w:t>Al reemplazar estos términos en la ecuación del lema de Itô se tiene:</w:t>
      </w:r>
    </w:p>
    <w:p w14:paraId="7C3844F7" w14:textId="2F722D55" w:rsidR="000F3C6B" w:rsidRPr="004034F1" w:rsidRDefault="004034F1" w:rsidP="00C0331E">
      <w:pPr>
        <w:pStyle w:val="textoparrafo"/>
        <w:rPr>
          <w:rFonts w:eastAsiaTheme="minorEastAsia"/>
          <w:iCs/>
          <w:sz w:val="22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X(τ)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X(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nary>
            <m:naryPr>
              <m:limLoc m:val="subSup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4"/>
                        </w:rPr>
                        <m:t>τ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4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8"/>
                          <w:szCs w:val="24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4"/>
                            </w:rPr>
                            <m:t>τ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4"/>
                        </w:rP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dτ + 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4"/>
                        </w:rPr>
                        <m:t>τ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4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dW(τ)</m:t>
                  </m:r>
                </m:e>
              </m:nary>
            </m:e>
          </m:nary>
        </m:oMath>
      </m:oMathPara>
    </w:p>
    <w:p w14:paraId="65B5D18E" w14:textId="2BAFB33B" w:rsidR="004034F1" w:rsidRDefault="004034F1" w:rsidP="004034F1">
      <w:pPr>
        <w:pStyle w:val="textoparrafo"/>
        <w:rPr>
          <w:rFonts w:eastAsiaTheme="minorEastAsia"/>
        </w:rPr>
      </w:pPr>
      <w:r>
        <w:t xml:space="preserve">Ahora bien, si consideramos que esta expresión parece aun compleja de resolver y además observamos que la función </w:t>
      </w:r>
      <m:oMath>
        <m:r>
          <w:rPr>
            <w:rFonts w:ascii="Cambria Math" w:hAnsi="Cambria Math"/>
          </w:rPr>
          <m:t xml:space="preserve">f(t,x) </m:t>
        </m:r>
      </m:oMath>
      <w:r>
        <w:rPr>
          <w:rFonts w:eastAsiaTheme="minorEastAsia"/>
        </w:rPr>
        <w:t xml:space="preserve">solo depende de x, entonces para una función </w:t>
      </w:r>
      <m:oMath>
        <m:r>
          <w:rPr>
            <w:rFonts w:ascii="Cambria Math" w:eastAsiaTheme="minorEastAsia" w:hAnsi="Cambria Math"/>
          </w:rPr>
          <m:t xml:space="preserve">f(x) 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, podemos aplicar </w:t>
      </w:r>
      <w:r w:rsidRPr="000F3C6B">
        <w:rPr>
          <w:rFonts w:eastAsiaTheme="minorEastAsia"/>
          <w:b/>
          <w:bCs/>
        </w:rPr>
        <w:t>el lema 3 de Itô</w:t>
      </w:r>
      <w:r>
        <w:rPr>
          <w:rFonts w:eastAsiaTheme="minorEastAsia"/>
        </w:rPr>
        <w:t xml:space="preserve"> que establece:</w:t>
      </w:r>
    </w:p>
    <w:p w14:paraId="3BA8338C" w14:textId="573F1197" w:rsidR="004034F1" w:rsidRPr="000F3C6B" w:rsidRDefault="004034F1" w:rsidP="004034F1">
      <w:pPr>
        <w:pStyle w:val="textoparrafo"/>
        <w:rPr>
          <w:rFonts w:eastAsiaTheme="minorEastAsia"/>
          <w:iCs/>
          <w:sz w:val="22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f(</m:t>
          </m:r>
          <m:r>
            <m:rPr>
              <m:sty m:val="p"/>
            </m:rP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(τ)) - f(</m:t>
          </m:r>
          <m:r>
            <m:rPr>
              <m:sty m:val="p"/>
            </m:rP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 xml:space="preserve">(0)) = </m:t>
          </m:r>
          <m:nary>
            <m:naryPr>
              <m:limLoc m:val="subSup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(W(x))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W(x)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Cs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(W(x))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dx</m:t>
                  </m:r>
                </m:e>
              </m:nary>
            </m:e>
          </m:nary>
        </m:oMath>
      </m:oMathPara>
    </w:p>
    <w:p w14:paraId="4E0D5131" w14:textId="60C8D76F" w:rsidR="000F3C6B" w:rsidRDefault="000F3C6B" w:rsidP="000F3C6B">
      <w:pPr>
        <w:pStyle w:val="textoparrafo"/>
      </w:pPr>
      <w:r>
        <w:t>Sustituyendo tenemos:</w:t>
      </w:r>
    </w:p>
    <w:p w14:paraId="772C62D1" w14:textId="498376EB" w:rsidR="000F3C6B" w:rsidRPr="000F3C6B" w:rsidRDefault="000F3C6B" w:rsidP="000F3C6B">
      <w:pPr>
        <w:pStyle w:val="textoparrafo"/>
        <w:rPr>
          <w:rFonts w:eastAsiaTheme="minorEastAsia"/>
          <w:iCs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W(τ)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</w:rPr>
            <m:t xml:space="preserve">- </m:t>
          </m:r>
          <m:sSup>
            <m:sSupPr>
              <m:ctrlPr>
                <w:rPr>
                  <w:rFonts w:ascii="Cambria Math" w:hAnsi="Cambria Math"/>
                  <w:iCs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w(0)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</w:rPr>
            <m:t xml:space="preserve"> = </m:t>
          </m:r>
          <m:nary>
            <m:naryPr>
              <m:limLoc m:val="subSup"/>
              <m:ctrlPr>
                <w:rPr>
                  <w:rFonts w:ascii="Cambria Math" w:hAnsi="Cambria Math"/>
                  <w:iCs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τ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Cs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W(x)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 xml:space="preserve">dW(x) + </m:t>
              </m:r>
              <m:f>
                <m:fPr>
                  <m:ctrlPr>
                    <w:rPr>
                      <w:rFonts w:ascii="Cambria Math" w:hAnsi="Cambria Math"/>
                      <w:iCs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2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Cs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τ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W(x)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dx</m:t>
                  </m:r>
                </m:e>
              </m:nary>
            </m:e>
          </m:nary>
        </m:oMath>
      </m:oMathPara>
    </w:p>
    <w:p w14:paraId="4118CE5E" w14:textId="68D5522D" w:rsidR="000F3C6B" w:rsidRDefault="000F3C6B" w:rsidP="000F3C6B">
      <w:pPr>
        <w:pStyle w:val="textoparrafo"/>
        <w:rPr>
          <w:rFonts w:eastAsiaTheme="minorEastAsia"/>
          <w:iCs/>
          <w:szCs w:val="24"/>
        </w:rPr>
      </w:pPr>
      <w:r>
        <w:rPr>
          <w:rFonts w:eastAsiaTheme="minorEastAsia"/>
          <w:iCs/>
          <w:szCs w:val="24"/>
        </w:rPr>
        <w:t xml:space="preserve">O lo que es lo mismo: </w:t>
      </w:r>
    </w:p>
    <w:p w14:paraId="5702C380" w14:textId="0D0A60C1" w:rsidR="000F3C6B" w:rsidRPr="000F3C6B" w:rsidRDefault="000F3C6B" w:rsidP="000F3C6B">
      <w:pPr>
        <w:pStyle w:val="textoparrafo"/>
        <w:rPr>
          <w:rFonts w:eastAsiaTheme="minorEastAsia"/>
          <w:iCs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W(τ)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</w:rPr>
            <m:t xml:space="preserve">- </m:t>
          </m:r>
          <m:sSup>
            <m:sSupPr>
              <m:ctrlPr>
                <w:rPr>
                  <w:rFonts w:ascii="Cambria Math" w:hAnsi="Cambria Math"/>
                  <w:iCs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w(0)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/>
                  <w:iCs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Cs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τ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Cs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W(x)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szCs w:val="24"/>
            </w:rPr>
            <m:t xml:space="preserve"> +</m:t>
          </m:r>
          <m:nary>
            <m:naryPr>
              <m:limLoc m:val="subSup"/>
              <m:ctrlPr>
                <w:rPr>
                  <w:rFonts w:ascii="Cambria Math" w:hAnsi="Cambria Math"/>
                  <w:iCs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τ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Cs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W(x)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 xml:space="preserve">dW(x) </m:t>
              </m:r>
            </m:e>
          </m:nary>
        </m:oMath>
      </m:oMathPara>
    </w:p>
    <w:p w14:paraId="075FC119" w14:textId="024CCC24" w:rsidR="000F3C6B" w:rsidRDefault="000F3C6B" w:rsidP="000F3C6B">
      <w:pPr>
        <w:pStyle w:val="textoparrafo"/>
      </w:pPr>
      <w:r>
        <w:t xml:space="preserve">Podemos observar un paralelismo entre </w:t>
      </w:r>
      <w:r w:rsidR="00A905A5">
        <w:t xml:space="preserve">la </w:t>
      </w:r>
      <w:r>
        <w:t>expresión</w:t>
      </w:r>
      <w:r w:rsidR="00A905A5">
        <w:t xml:space="preserve"> anterior</w:t>
      </w:r>
      <w:r>
        <w:t xml:space="preserve"> y esta otra:</w:t>
      </w:r>
    </w:p>
    <w:p w14:paraId="22773D05" w14:textId="536CB159" w:rsidR="000F3C6B" w:rsidRPr="000F3C6B" w:rsidRDefault="000F3C6B" w:rsidP="000F3C6B">
      <w:pPr>
        <w:pStyle w:val="textoparrafo"/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- X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nary>
            <m:naryPr>
              <m:limLoc m:val="subSup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dτ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dW(τ)</m:t>
              </m:r>
            </m:e>
          </m:nary>
        </m:oMath>
      </m:oMathPara>
    </w:p>
    <w:p w14:paraId="0EFE72C8" w14:textId="34BD360B" w:rsidR="000F3C6B" w:rsidRDefault="00A905A5" w:rsidP="000F3C6B">
      <w:pPr>
        <w:pStyle w:val="textoparrafo"/>
      </w:pPr>
      <w:r>
        <w:t>Con lo cual</w:t>
      </w:r>
      <w:r w:rsidR="000F3C6B">
        <w:t xml:space="preserve"> la </w:t>
      </w:r>
      <w:r w:rsidR="000F3C6B" w:rsidRPr="00A905A5">
        <w:rPr>
          <w:b/>
          <w:bCs/>
        </w:rPr>
        <w:t xml:space="preserve">solución </w:t>
      </w:r>
      <w:r w:rsidRPr="00A905A5">
        <w:rPr>
          <w:b/>
          <w:bCs/>
        </w:rPr>
        <w:t xml:space="preserve">del </w:t>
      </w:r>
      <w:r w:rsidR="000F3C6B" w:rsidRPr="00A905A5">
        <w:rPr>
          <w:b/>
          <w:bCs/>
        </w:rPr>
        <w:t>PE dado es</w:t>
      </w:r>
      <w:r w:rsidR="000F3C6B">
        <w:t>:</w:t>
      </w:r>
    </w:p>
    <w:p w14:paraId="7B716666" w14:textId="640A6FA6" w:rsidR="000F3C6B" w:rsidRPr="00A905A5" w:rsidRDefault="00A905A5" w:rsidP="000F3C6B">
      <w:pPr>
        <w:pStyle w:val="textoparrafo"/>
        <w:rPr>
          <w:rFonts w:eastAsiaTheme="minorEastAsia"/>
          <w:b/>
          <w:bCs/>
          <w:i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X(t) =</m:t>
          </m:r>
          <m:sSup>
            <m:sSupPr>
              <m:ctrlPr>
                <w:rPr>
                  <w:rFonts w:ascii="Cambria Math" w:hAnsi="Cambria Math"/>
                  <w:b/>
                  <w:bCs/>
                  <w:iCs/>
                  <w:szCs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Cs w:val="24"/>
                </w:rPr>
                <m:t>e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  <w:szCs w:val="24"/>
                </w:rPr>
                <m:t>W(t)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 xml:space="preserve"> </m:t>
          </m:r>
        </m:oMath>
      </m:oMathPara>
    </w:p>
    <w:p w14:paraId="5A0E398C" w14:textId="76C7CADB" w:rsidR="000F3C6B" w:rsidRDefault="000F3C6B" w:rsidP="000F3C6B">
      <w:pPr>
        <w:pStyle w:val="textoparrafo"/>
        <w:rPr>
          <w:rFonts w:eastAsiaTheme="minorEastAsia"/>
          <w:iCs/>
        </w:rPr>
      </w:pPr>
      <w:r>
        <w:rPr>
          <w:rFonts w:eastAsiaTheme="minorEastAsia"/>
        </w:rPr>
        <w:t xml:space="preserve">Es fácil comprobar este paralelismo si consideramos la condición inicial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 xml:space="preserve"> = 1</m:t>
        </m:r>
      </m:oMath>
      <w:r>
        <w:rPr>
          <w:rFonts w:eastAsiaTheme="minorEastAsia"/>
        </w:rPr>
        <w:t>y</w:t>
      </w:r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W(0) = 0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  <w:iCs/>
        </w:rPr>
        <w:t>entonces:</w:t>
      </w:r>
    </w:p>
    <w:p w14:paraId="3E36CFCB" w14:textId="26FE471E" w:rsidR="000F3C6B" w:rsidRPr="00A905A5" w:rsidRDefault="000F3C6B" w:rsidP="000F3C6B">
      <w:pPr>
        <w:pStyle w:val="textoparrafo"/>
        <w:rPr>
          <w:rFonts w:eastAsiaTheme="minorEastAsia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w(0)</m:t>
              </m:r>
            </m:sup>
          </m:sSup>
          <m:r>
            <w:rPr>
              <w:rFonts w:ascii="Cambria Math" w:hAnsi="Cambria Math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/>
                  <w:iCs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0</m:t>
              </m:r>
            </m:sup>
          </m:sSup>
          <m:r>
            <w:rPr>
              <w:rFonts w:ascii="Cambria Math" w:hAnsi="Cambria Math"/>
              <w:szCs w:val="24"/>
            </w:rPr>
            <m:t xml:space="preserve"> = 1</m:t>
          </m:r>
        </m:oMath>
      </m:oMathPara>
    </w:p>
    <w:p w14:paraId="7254C1A8" w14:textId="51CACBAD" w:rsidR="000F3C6B" w:rsidRDefault="00A905A5" w:rsidP="00A905A5">
      <w:pPr>
        <w:pStyle w:val="Ttulo2"/>
        <w:numPr>
          <w:ilvl w:val="0"/>
          <w:numId w:val="2"/>
        </w:numPr>
      </w:pPr>
      <w:r>
        <w:t>Problema 2</w:t>
      </w:r>
    </w:p>
    <w:p w14:paraId="0905B1C0" w14:textId="0DE0864A" w:rsidR="00A905A5" w:rsidRDefault="00A905A5" w:rsidP="00A905A5">
      <w:pPr>
        <w:pStyle w:val="textoparrafo"/>
      </w:pPr>
      <w:r>
        <w:t xml:space="preserve">Para este problema hemos de considerar que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, t≥0</m:t>
            </m:r>
          </m:e>
        </m:d>
        <m:r>
          <w:rPr>
            <w:rFonts w:ascii="Cambria Math" w:hAnsi="Cambria Math"/>
          </w:rPr>
          <m:t xml:space="preserve"> </m:t>
        </m:r>
      </m:oMath>
      <w:r>
        <w:t>es un proceso de Wiener con W(0)=0 y que el proceso estocástico , con X(0)=</w:t>
      </w:r>
      <w:r>
        <w:t xml:space="preserve"> </w:t>
      </w:r>
      <w:r>
        <w:t>a</w:t>
      </w:r>
      <w:r>
        <w:t xml:space="preserve"> </w:t>
      </w:r>
      <w:r>
        <w:t>&gt;</w:t>
      </w:r>
      <w:r>
        <w:t xml:space="preserve"> </w:t>
      </w:r>
      <w:r>
        <w:t>0 satisface la siguiente ecuación diferencial estocástica</w:t>
      </w:r>
      <w:r>
        <w:t>:</w:t>
      </w:r>
    </w:p>
    <w:p w14:paraId="1B5A0576" w14:textId="0CB81F6A" w:rsidR="00A905A5" w:rsidRDefault="00A905A5" w:rsidP="00A905A5">
      <w:pPr>
        <w:pStyle w:val="textoparrafo"/>
      </w:pPr>
      <m:oMathPara>
        <m:oMath>
          <m:r>
            <w:rPr>
              <w:rFonts w:ascii="Cambria Math" w:hAnsi="Cambria Math"/>
            </w:rPr>
            <m:t>dX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X(t)</m:t>
              </m:r>
            </m:den>
          </m:f>
          <m:r>
            <w:rPr>
              <w:rFonts w:ascii="Cambria Math" w:hAnsi="Cambria Math"/>
            </w:rPr>
            <m:t>dt+ X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dW(t)</m:t>
          </m:r>
        </m:oMath>
      </m:oMathPara>
    </w:p>
    <w:p w14:paraId="59D55CB3" w14:textId="4E9EB057" w:rsidR="000F3C6B" w:rsidRDefault="00A905A5" w:rsidP="000F3C6B">
      <w:pPr>
        <w:pStyle w:val="textoparrafo"/>
      </w:pPr>
      <w:r>
        <w:t>Para:</w:t>
      </w:r>
    </w:p>
    <w:p w14:paraId="004930DD" w14:textId="4E60FC87" w:rsidR="00A905A5" w:rsidRDefault="00A905A5" w:rsidP="000F3C6B">
      <w:pPr>
        <w:pStyle w:val="textoparrafo"/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t,x</m:t>
                  </m:r>
                </m:e>
              </m:d>
              <m:r>
                <w:rPr>
                  <w:rFonts w:ascii="Cambria Math" w:hAnsi="Cambria Math"/>
                </w:rPr>
                <m:t>= 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2AD1640" w14:textId="242C05FC" w:rsidR="00A905A5" w:rsidRDefault="00A905A5" w:rsidP="00A905A5">
      <w:pPr>
        <w:pStyle w:val="textoparrafo"/>
        <w:rPr>
          <w:bCs/>
        </w:rPr>
      </w:pPr>
      <w:r w:rsidRPr="00A905A5">
        <w:lastRenderedPageBreak/>
        <w:t xml:space="preserve">Se pide determinar </w:t>
      </w:r>
      <w:r>
        <w:t xml:space="preserve">la solución PE en su forma diferencial, es decir: </w:t>
      </w:r>
      <w:r w:rsidRPr="004D095C">
        <w:rPr>
          <w:rFonts w:ascii="Cambria Math" w:hAnsi="Cambria Math"/>
          <w:i/>
        </w:rPr>
        <w:t>df(t,X(t))</w:t>
      </w:r>
      <w:r w:rsidRPr="00A85525">
        <w:rPr>
          <w:bCs/>
        </w:rPr>
        <w:t>.</w:t>
      </w:r>
    </w:p>
    <w:p w14:paraId="1E778CE9" w14:textId="0A070779" w:rsidR="00A905A5" w:rsidRPr="00A905A5" w:rsidRDefault="00A905A5" w:rsidP="00A905A5">
      <w:pPr>
        <w:pStyle w:val="textoparrafo"/>
        <w:rPr>
          <w:b/>
        </w:rPr>
      </w:pPr>
      <w:r w:rsidRPr="00A905A5">
        <w:rPr>
          <w:b/>
        </w:rPr>
        <w:t>Solución:</w:t>
      </w:r>
    </w:p>
    <w:p w14:paraId="0F8D976F" w14:textId="7828E4B0" w:rsidR="000F3C6B" w:rsidRDefault="00A905A5" w:rsidP="000F3C6B">
      <w:pPr>
        <w:pStyle w:val="textoparrafo"/>
        <w:rPr>
          <w:lang w:val="es-ES"/>
        </w:rPr>
      </w:pPr>
      <w:r>
        <w:rPr>
          <w:lang w:val="es-ES"/>
        </w:rPr>
        <w:t>La forma diferencial del lema de Itô es:</w:t>
      </w:r>
    </w:p>
    <w:p w14:paraId="7304094A" w14:textId="5BC1A0FB" w:rsidR="00A905A5" w:rsidRPr="007F02F4" w:rsidRDefault="007F02F4" w:rsidP="000F3C6B">
      <w:pPr>
        <w:pStyle w:val="textoparrafo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df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τ,X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τ</m:t>
                  </m:r>
                </m:e>
              </m:d>
            </m:e>
          </m:d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  <w:lang w:val="es-ES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s-ES"/>
            </w:rPr>
            <m:t>dτ+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dW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τ</m:t>
              </m:r>
            </m:e>
          </m:d>
        </m:oMath>
      </m:oMathPara>
    </w:p>
    <w:p w14:paraId="457D89E7" w14:textId="295A99B5" w:rsidR="007F02F4" w:rsidRDefault="007F02F4" w:rsidP="000F3C6B">
      <w:pPr>
        <w:pStyle w:val="textoparrafo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Procedemos a determinar las derivadas de la función f(t,x)</w:t>
      </w:r>
    </w:p>
    <w:p w14:paraId="63F9653B" w14:textId="7117BD76" w:rsidR="007F02F4" w:rsidRPr="0001653D" w:rsidRDefault="007F02F4" w:rsidP="007F02F4">
      <w:pPr>
        <w:pStyle w:val="textoparraf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2t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AD626B" w14:textId="7BA48800" w:rsidR="007F02F4" w:rsidRPr="0001653D" w:rsidRDefault="007F02F4" w:rsidP="007F02F4">
      <w:pPr>
        <w:pStyle w:val="textoparraf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2x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3A5A8D8" w14:textId="2EA82D70" w:rsidR="007F02F4" w:rsidRPr="007F02F4" w:rsidRDefault="007F02F4" w:rsidP="007F02F4">
      <w:pPr>
        <w:pStyle w:val="textoparraf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475526C" w14:textId="6FA508FA" w:rsidR="007F02F4" w:rsidRPr="007F02F4" w:rsidRDefault="007F02F4" w:rsidP="007F02F4">
      <w:pPr>
        <w:pStyle w:val="textoparrafo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X(</m:t>
              </m:r>
              <m: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1B6B5BDB" w14:textId="652084DC" w:rsidR="007F02F4" w:rsidRPr="007F02F4" w:rsidRDefault="007F02F4" w:rsidP="007F02F4">
      <w:pPr>
        <w:pStyle w:val="textoparraf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=</m:t>
          </m:r>
          <m:r>
            <w:rPr>
              <w:rFonts w:ascii="Cambria Math" w:hAnsi="Cambria Math"/>
            </w:rPr>
            <m:t>X(τ)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0A4A3E7" w14:textId="2DF02EFE" w:rsidR="007F02F4" w:rsidRDefault="007F02F4" w:rsidP="007F02F4">
      <w:pPr>
        <w:pStyle w:val="textoparrafo"/>
        <w:rPr>
          <w:rFonts w:eastAsiaTheme="minorEastAsia"/>
        </w:rPr>
      </w:pPr>
      <w:r>
        <w:rPr>
          <w:rFonts w:eastAsiaTheme="minorEastAsia"/>
        </w:rPr>
        <w:t>Aplicamos entonces el lema de Itô en su versión diferencial:</w:t>
      </w:r>
    </w:p>
    <w:p w14:paraId="72B8E853" w14:textId="2795E096" w:rsidR="007F02F4" w:rsidRPr="007F02F4" w:rsidRDefault="007F02F4" w:rsidP="007F02F4">
      <w:pPr>
        <w:pStyle w:val="textoparrafo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df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τ,X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τ</m:t>
                  </m:r>
                </m:e>
              </m:d>
            </m:e>
          </m:d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X(τ)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X(τ)</m:t>
                  </m:r>
                </m:den>
              </m:f>
              <m:r>
                <w:rPr>
                  <w:rFonts w:ascii="Cambria Math" w:hAnsi="Cambria Math"/>
                  <w:lang w:val="es-ES"/>
                </w:rPr>
                <m:t xml:space="preserve"> 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τ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(X(τ))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X(τ)</m:t>
                  </m:r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dτ+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X(τ)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X(τ)</m:t>
          </m:r>
          <m:r>
            <w:rPr>
              <w:rFonts w:ascii="Cambria Math" w:eastAsiaTheme="minorEastAsia" w:hAnsi="Cambria Math"/>
              <w:lang w:val="es-ES"/>
            </w:rPr>
            <m:t>dW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τ</m:t>
              </m:r>
            </m:e>
          </m:d>
        </m:oMath>
      </m:oMathPara>
    </w:p>
    <w:p w14:paraId="7290DC5B" w14:textId="436C8383" w:rsidR="007F02F4" w:rsidRDefault="007F02F4" w:rsidP="007F02F4">
      <w:pPr>
        <w:pStyle w:val="textoparrafo"/>
        <w:rPr>
          <w:rFonts w:eastAsiaTheme="minorEastAsia"/>
        </w:rPr>
      </w:pPr>
      <w:r>
        <w:rPr>
          <w:rFonts w:eastAsiaTheme="minorEastAsia"/>
        </w:rPr>
        <w:t>Simplificando se tiene:</w:t>
      </w:r>
    </w:p>
    <w:p w14:paraId="0FA333D4" w14:textId="74F637C4" w:rsidR="007F02F4" w:rsidRPr="007F02F4" w:rsidRDefault="007F02F4" w:rsidP="007F02F4">
      <w:pPr>
        <w:pStyle w:val="textoparrafo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s-ES"/>
            </w:rPr>
            <m:t>df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τ,X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τ</m:t>
                  </m:r>
                </m:e>
              </m:d>
            </m:e>
          </m:d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τ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(X(τ))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 xml:space="preserve"> +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X(τ)</m:t>
                  </m:r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dτ+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(X(τ))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dW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τ</m:t>
              </m:r>
            </m:e>
          </m:d>
        </m:oMath>
      </m:oMathPara>
    </w:p>
    <w:p w14:paraId="6ED90667" w14:textId="2DCA914F" w:rsidR="000F3C6B" w:rsidRDefault="00906331" w:rsidP="000F3C6B">
      <w:pPr>
        <w:pStyle w:val="textoparrafo"/>
        <w:rPr>
          <w:lang w:val="es-ES"/>
        </w:rPr>
      </w:pPr>
      <w:r>
        <w:rPr>
          <w:lang w:val="es-ES"/>
        </w:rPr>
        <w:t xml:space="preserve">Finalmente, </w:t>
      </w:r>
      <w:r w:rsidRPr="00906331">
        <w:rPr>
          <w:b/>
          <w:bCs/>
          <w:lang w:val="es-ES"/>
        </w:rPr>
        <w:t>la solución al PE</w:t>
      </w:r>
      <w:r>
        <w:rPr>
          <w:lang w:val="es-ES"/>
        </w:rPr>
        <w:t xml:space="preserve"> dado es:</w:t>
      </w:r>
    </w:p>
    <w:p w14:paraId="7C4236B0" w14:textId="2C42C0F3" w:rsidR="00906331" w:rsidRPr="00906331" w:rsidRDefault="00906331" w:rsidP="000F3C6B">
      <w:pPr>
        <w:pStyle w:val="textoparrafo"/>
        <w:rPr>
          <w:i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df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t,X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</m:t>
              </m:r>
              <m:r>
                <w:rPr>
                  <w:rFonts w:ascii="Cambria Math" w:hAnsi="Cambria Math"/>
                </w:rPr>
                <m:t>2t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(X(t))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 xml:space="preserve"> +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X(t)</m:t>
                  </m:r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dt+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(X(t))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dW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</m:oMath>
      </m:oMathPara>
    </w:p>
    <w:p w14:paraId="1294089F" w14:textId="459257A8" w:rsidR="0001653D" w:rsidRPr="00A905A5" w:rsidRDefault="0001653D" w:rsidP="007F02F4">
      <w:pPr>
        <w:pStyle w:val="Ttulo1"/>
        <w:rPr>
          <w:rFonts w:asciiTheme="minorHAnsi" w:eastAsiaTheme="minorHAnsi" w:hAnsiTheme="minorHAnsi" w:cstheme="minorBidi"/>
          <w:b w:val="0"/>
          <w:smallCaps/>
          <w:color w:val="5A5A5A" w:themeColor="text1" w:themeTint="A5"/>
          <w:sz w:val="24"/>
          <w:szCs w:val="22"/>
          <w:lang w:val="es-ES"/>
        </w:rPr>
        <w:sectPr w:rsidR="0001653D" w:rsidRPr="00A905A5" w:rsidSect="00906331">
          <w:footnotePr>
            <w:numFmt w:val="chicago"/>
          </w:footnotePr>
          <w:type w:val="continuous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bookmarkEnd w:id="0"/>
    <w:p w14:paraId="58873FD9" w14:textId="0175C76D" w:rsidR="00334A30" w:rsidRPr="00C0331E" w:rsidRDefault="00334A30" w:rsidP="00C0331E">
      <w:pPr>
        <w:rPr>
          <w:rFonts w:ascii="Bahnschrift" w:eastAsiaTheme="majorEastAsia" w:hAnsi="Bahnschrift" w:cstheme="majorBidi"/>
          <w:b/>
          <w:color w:val="595959" w:themeColor="text1" w:themeTint="A6"/>
          <w:sz w:val="32"/>
          <w:szCs w:val="32"/>
        </w:rPr>
      </w:pPr>
    </w:p>
    <w:sectPr w:rsidR="00334A30" w:rsidRPr="00C0331E" w:rsidSect="00657412">
      <w:footnotePr>
        <w:numFmt w:val="chicago"/>
      </w:footnotePr>
      <w:type w:val="continuous"/>
      <w:pgSz w:w="11906" w:h="16838"/>
      <w:pgMar w:top="720" w:right="720" w:bottom="720" w:left="720" w:header="708" w:footer="708" w:gutter="0"/>
      <w:cols w:space="56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195828" w14:textId="77777777" w:rsidR="002762B0" w:rsidRDefault="002762B0" w:rsidP="001F5DFF">
      <w:pPr>
        <w:spacing w:after="0" w:line="240" w:lineRule="auto"/>
      </w:pPr>
      <w:r>
        <w:separator/>
      </w:r>
    </w:p>
  </w:endnote>
  <w:endnote w:type="continuationSeparator" w:id="0">
    <w:p w14:paraId="36C1FF9B" w14:textId="77777777" w:rsidR="002762B0" w:rsidRDefault="002762B0" w:rsidP="001F5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62441457"/>
      <w:docPartObj>
        <w:docPartGallery w:val="Page Numbers (Bottom of Page)"/>
        <w:docPartUnique/>
      </w:docPartObj>
    </w:sdtPr>
    <w:sdtContent>
      <w:p w14:paraId="4FA04DA4" w14:textId="67E91E10" w:rsidR="001F5DFF" w:rsidRDefault="001F5DFF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890C839" wp14:editId="54DE2A5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26110" cy="238760"/>
                  <wp:effectExtent l="19050" t="19050" r="19685" b="18415"/>
                  <wp:wrapNone/>
                  <wp:docPr id="1170948828" name="Double Bracket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110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3C6977D" w14:textId="77777777" w:rsidR="001F5DFF" w:rsidRDefault="001F5DFF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890C839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3" o:spid="_x0000_s1026" type="#_x0000_t185" style="position:absolute;margin-left:0;margin-top:0;width:49.3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" filled="t" strokecolor="gray" strokeweight="2.25pt">
                  <v:textbox inset=",0,,0">
                    <w:txbxContent>
                      <w:p w14:paraId="33C6977D" w14:textId="77777777" w:rsidR="001F5DFF" w:rsidRDefault="001F5DFF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55E0A85" wp14:editId="574603A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465431904" name="Straight Arrow Connecto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6CA1C4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6BF4FC" w14:textId="77777777" w:rsidR="002762B0" w:rsidRDefault="002762B0" w:rsidP="001F5DFF">
      <w:pPr>
        <w:spacing w:after="0" w:line="240" w:lineRule="auto"/>
      </w:pPr>
      <w:r>
        <w:separator/>
      </w:r>
    </w:p>
  </w:footnote>
  <w:footnote w:type="continuationSeparator" w:id="0">
    <w:p w14:paraId="433A078A" w14:textId="77777777" w:rsidR="002762B0" w:rsidRDefault="002762B0" w:rsidP="001F5DFF">
      <w:pPr>
        <w:spacing w:after="0" w:line="240" w:lineRule="auto"/>
      </w:pPr>
      <w:r>
        <w:continuationSeparator/>
      </w:r>
    </w:p>
  </w:footnote>
  <w:footnote w:id="1">
    <w:p w14:paraId="12D0C676" w14:textId="71900853" w:rsidR="00A267A6" w:rsidRPr="00A267A6" w:rsidRDefault="00A267A6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Para mantener una coherencia en la notación, utilizaremos la letra TAU para referirnos al tiempo t cuando apliquemos el lema de Itô.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0895E9" w14:textId="44C0A58D" w:rsidR="00D038AA" w:rsidRDefault="00D038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C36DE"/>
    <w:multiLevelType w:val="hybridMultilevel"/>
    <w:tmpl w:val="9CBEA0D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67741"/>
    <w:multiLevelType w:val="hybridMultilevel"/>
    <w:tmpl w:val="0D82AF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6746A"/>
    <w:multiLevelType w:val="hybridMultilevel"/>
    <w:tmpl w:val="B2A2863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93DBC"/>
    <w:multiLevelType w:val="hybridMultilevel"/>
    <w:tmpl w:val="0A5EF4C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6346F"/>
    <w:multiLevelType w:val="hybridMultilevel"/>
    <w:tmpl w:val="5B4628F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372C73"/>
    <w:multiLevelType w:val="hybridMultilevel"/>
    <w:tmpl w:val="CA3CE816"/>
    <w:lvl w:ilvl="0" w:tplc="0C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833CDB"/>
    <w:multiLevelType w:val="hybridMultilevel"/>
    <w:tmpl w:val="D8EA48E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4F7EBD"/>
    <w:multiLevelType w:val="multilevel"/>
    <w:tmpl w:val="149E6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color w:val="595959" w:themeColor="text1" w:themeTint="A6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FB35B3F"/>
    <w:multiLevelType w:val="hybridMultilevel"/>
    <w:tmpl w:val="538EC970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245826"/>
    <w:multiLevelType w:val="hybridMultilevel"/>
    <w:tmpl w:val="F3CA174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3554D"/>
    <w:multiLevelType w:val="hybridMultilevel"/>
    <w:tmpl w:val="5D6C71E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A93164"/>
    <w:multiLevelType w:val="hybridMultilevel"/>
    <w:tmpl w:val="0D12CECC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330FF9"/>
    <w:multiLevelType w:val="hybridMultilevel"/>
    <w:tmpl w:val="EE6AFBE4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570787">
    <w:abstractNumId w:val="2"/>
  </w:num>
  <w:num w:numId="2" w16cid:durableId="173886665">
    <w:abstractNumId w:val="7"/>
  </w:num>
  <w:num w:numId="3" w16cid:durableId="1009481681">
    <w:abstractNumId w:val="10"/>
  </w:num>
  <w:num w:numId="4" w16cid:durableId="1844969556">
    <w:abstractNumId w:val="4"/>
  </w:num>
  <w:num w:numId="5" w16cid:durableId="1830487415">
    <w:abstractNumId w:val="8"/>
  </w:num>
  <w:num w:numId="6" w16cid:durableId="1307398992">
    <w:abstractNumId w:val="11"/>
  </w:num>
  <w:num w:numId="7" w16cid:durableId="1278216522">
    <w:abstractNumId w:val="12"/>
  </w:num>
  <w:num w:numId="8" w16cid:durableId="2073652880">
    <w:abstractNumId w:val="12"/>
  </w:num>
  <w:num w:numId="9" w16cid:durableId="524252859">
    <w:abstractNumId w:val="5"/>
  </w:num>
  <w:num w:numId="10" w16cid:durableId="199126595">
    <w:abstractNumId w:val="6"/>
  </w:num>
  <w:num w:numId="11" w16cid:durableId="1178429546">
    <w:abstractNumId w:val="0"/>
  </w:num>
  <w:num w:numId="12" w16cid:durableId="1022391721">
    <w:abstractNumId w:val="3"/>
  </w:num>
  <w:num w:numId="13" w16cid:durableId="441729043">
    <w:abstractNumId w:val="9"/>
  </w:num>
  <w:num w:numId="14" w16cid:durableId="1543713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BB"/>
    <w:rsid w:val="000032CF"/>
    <w:rsid w:val="0000479F"/>
    <w:rsid w:val="000051C7"/>
    <w:rsid w:val="000106A7"/>
    <w:rsid w:val="0001653D"/>
    <w:rsid w:val="00025B61"/>
    <w:rsid w:val="000465FE"/>
    <w:rsid w:val="00054605"/>
    <w:rsid w:val="00055159"/>
    <w:rsid w:val="00056CCB"/>
    <w:rsid w:val="00057182"/>
    <w:rsid w:val="0006599C"/>
    <w:rsid w:val="0006705D"/>
    <w:rsid w:val="000678A2"/>
    <w:rsid w:val="000769C6"/>
    <w:rsid w:val="000816FC"/>
    <w:rsid w:val="000A251F"/>
    <w:rsid w:val="000A434A"/>
    <w:rsid w:val="000A5CF1"/>
    <w:rsid w:val="000A5E09"/>
    <w:rsid w:val="000A5F61"/>
    <w:rsid w:val="000B003D"/>
    <w:rsid w:val="000B0A2A"/>
    <w:rsid w:val="000B0CCE"/>
    <w:rsid w:val="000C0AEC"/>
    <w:rsid w:val="000D07FE"/>
    <w:rsid w:val="000F3C6B"/>
    <w:rsid w:val="000F4F1B"/>
    <w:rsid w:val="00110222"/>
    <w:rsid w:val="00115B67"/>
    <w:rsid w:val="0013014A"/>
    <w:rsid w:val="0013092D"/>
    <w:rsid w:val="00143567"/>
    <w:rsid w:val="00152430"/>
    <w:rsid w:val="00170233"/>
    <w:rsid w:val="001713A1"/>
    <w:rsid w:val="00183C61"/>
    <w:rsid w:val="00185094"/>
    <w:rsid w:val="001A55FE"/>
    <w:rsid w:val="001A7977"/>
    <w:rsid w:val="001C3D53"/>
    <w:rsid w:val="001D18EB"/>
    <w:rsid w:val="001D6F54"/>
    <w:rsid w:val="001E486C"/>
    <w:rsid w:val="001F1C46"/>
    <w:rsid w:val="001F5DFF"/>
    <w:rsid w:val="002046E8"/>
    <w:rsid w:val="00221B03"/>
    <w:rsid w:val="002338E8"/>
    <w:rsid w:val="002445CB"/>
    <w:rsid w:val="0024716E"/>
    <w:rsid w:val="00260D38"/>
    <w:rsid w:val="00262C55"/>
    <w:rsid w:val="00273360"/>
    <w:rsid w:val="002762B0"/>
    <w:rsid w:val="002764BD"/>
    <w:rsid w:val="002800AC"/>
    <w:rsid w:val="00280CE1"/>
    <w:rsid w:val="0028115F"/>
    <w:rsid w:val="00293A41"/>
    <w:rsid w:val="002B1E5C"/>
    <w:rsid w:val="002B23F5"/>
    <w:rsid w:val="002B7AF9"/>
    <w:rsid w:val="002F0694"/>
    <w:rsid w:val="002F178A"/>
    <w:rsid w:val="002F42C5"/>
    <w:rsid w:val="00301A3C"/>
    <w:rsid w:val="003236B1"/>
    <w:rsid w:val="003349E2"/>
    <w:rsid w:val="00334A30"/>
    <w:rsid w:val="003434C4"/>
    <w:rsid w:val="00344552"/>
    <w:rsid w:val="003507A6"/>
    <w:rsid w:val="003510BC"/>
    <w:rsid w:val="00354C6B"/>
    <w:rsid w:val="003740EC"/>
    <w:rsid w:val="003829BA"/>
    <w:rsid w:val="00384DB2"/>
    <w:rsid w:val="003B564C"/>
    <w:rsid w:val="003B6C3A"/>
    <w:rsid w:val="003C0792"/>
    <w:rsid w:val="003C2FC5"/>
    <w:rsid w:val="003C4313"/>
    <w:rsid w:val="003D3A47"/>
    <w:rsid w:val="003E2BEB"/>
    <w:rsid w:val="003E4F63"/>
    <w:rsid w:val="003F1B3C"/>
    <w:rsid w:val="003F69C2"/>
    <w:rsid w:val="003F7624"/>
    <w:rsid w:val="004034F1"/>
    <w:rsid w:val="004177BA"/>
    <w:rsid w:val="0042797C"/>
    <w:rsid w:val="00436069"/>
    <w:rsid w:val="0044314F"/>
    <w:rsid w:val="00460B77"/>
    <w:rsid w:val="00466DB9"/>
    <w:rsid w:val="00476249"/>
    <w:rsid w:val="004A63EA"/>
    <w:rsid w:val="004A7429"/>
    <w:rsid w:val="004B43CA"/>
    <w:rsid w:val="004C3E2D"/>
    <w:rsid w:val="004C5305"/>
    <w:rsid w:val="004C5E50"/>
    <w:rsid w:val="004D1CC9"/>
    <w:rsid w:val="004E7F2C"/>
    <w:rsid w:val="00500578"/>
    <w:rsid w:val="00505A83"/>
    <w:rsid w:val="00512B8A"/>
    <w:rsid w:val="00513B67"/>
    <w:rsid w:val="0053366C"/>
    <w:rsid w:val="00541C71"/>
    <w:rsid w:val="00545FC8"/>
    <w:rsid w:val="00570261"/>
    <w:rsid w:val="005736EF"/>
    <w:rsid w:val="00596D27"/>
    <w:rsid w:val="005A27FB"/>
    <w:rsid w:val="005A7C94"/>
    <w:rsid w:val="005B1D38"/>
    <w:rsid w:val="005B1D9C"/>
    <w:rsid w:val="005C207B"/>
    <w:rsid w:val="005C2C5C"/>
    <w:rsid w:val="005C4452"/>
    <w:rsid w:val="005D14EF"/>
    <w:rsid w:val="005E336E"/>
    <w:rsid w:val="005F3E82"/>
    <w:rsid w:val="00604548"/>
    <w:rsid w:val="00606800"/>
    <w:rsid w:val="00611D67"/>
    <w:rsid w:val="00617CB6"/>
    <w:rsid w:val="00624970"/>
    <w:rsid w:val="00627856"/>
    <w:rsid w:val="00634F7B"/>
    <w:rsid w:val="00640FBB"/>
    <w:rsid w:val="0064366C"/>
    <w:rsid w:val="00644C03"/>
    <w:rsid w:val="006533EB"/>
    <w:rsid w:val="00657412"/>
    <w:rsid w:val="00660FB1"/>
    <w:rsid w:val="0066462A"/>
    <w:rsid w:val="00672BAA"/>
    <w:rsid w:val="0069075F"/>
    <w:rsid w:val="006943F5"/>
    <w:rsid w:val="006A1E67"/>
    <w:rsid w:val="006C39D8"/>
    <w:rsid w:val="006C3CA1"/>
    <w:rsid w:val="006C5995"/>
    <w:rsid w:val="006D5F28"/>
    <w:rsid w:val="006E60BD"/>
    <w:rsid w:val="0070007F"/>
    <w:rsid w:val="00707BED"/>
    <w:rsid w:val="007243D5"/>
    <w:rsid w:val="00724F97"/>
    <w:rsid w:val="0074157F"/>
    <w:rsid w:val="007423CB"/>
    <w:rsid w:val="00745691"/>
    <w:rsid w:val="00747CA9"/>
    <w:rsid w:val="00756FAE"/>
    <w:rsid w:val="00760CB4"/>
    <w:rsid w:val="0076391C"/>
    <w:rsid w:val="00772771"/>
    <w:rsid w:val="00787153"/>
    <w:rsid w:val="00795C22"/>
    <w:rsid w:val="007C1FDA"/>
    <w:rsid w:val="007D7C18"/>
    <w:rsid w:val="007F02F4"/>
    <w:rsid w:val="007F28C0"/>
    <w:rsid w:val="007F602C"/>
    <w:rsid w:val="00800470"/>
    <w:rsid w:val="00801EEC"/>
    <w:rsid w:val="0080290E"/>
    <w:rsid w:val="008113F6"/>
    <w:rsid w:val="008156DA"/>
    <w:rsid w:val="00817913"/>
    <w:rsid w:val="00817984"/>
    <w:rsid w:val="00833B86"/>
    <w:rsid w:val="00837585"/>
    <w:rsid w:val="008433B8"/>
    <w:rsid w:val="008550FD"/>
    <w:rsid w:val="00857E57"/>
    <w:rsid w:val="00864500"/>
    <w:rsid w:val="0087097F"/>
    <w:rsid w:val="00873CB0"/>
    <w:rsid w:val="008827F4"/>
    <w:rsid w:val="008849C3"/>
    <w:rsid w:val="00893E45"/>
    <w:rsid w:val="008B148B"/>
    <w:rsid w:val="008C433B"/>
    <w:rsid w:val="008C4CCF"/>
    <w:rsid w:val="008C7418"/>
    <w:rsid w:val="008C7DA0"/>
    <w:rsid w:val="008D07B9"/>
    <w:rsid w:val="008D4688"/>
    <w:rsid w:val="008E181F"/>
    <w:rsid w:val="008E2838"/>
    <w:rsid w:val="008F7AD8"/>
    <w:rsid w:val="00906331"/>
    <w:rsid w:val="0090785A"/>
    <w:rsid w:val="009109F3"/>
    <w:rsid w:val="00943120"/>
    <w:rsid w:val="00946608"/>
    <w:rsid w:val="0095101E"/>
    <w:rsid w:val="009510AE"/>
    <w:rsid w:val="0095561E"/>
    <w:rsid w:val="009571D0"/>
    <w:rsid w:val="009579BF"/>
    <w:rsid w:val="00961385"/>
    <w:rsid w:val="0096371D"/>
    <w:rsid w:val="009744C6"/>
    <w:rsid w:val="00975671"/>
    <w:rsid w:val="00977126"/>
    <w:rsid w:val="00982538"/>
    <w:rsid w:val="00994E7F"/>
    <w:rsid w:val="00996BD2"/>
    <w:rsid w:val="009C0233"/>
    <w:rsid w:val="009C4647"/>
    <w:rsid w:val="009E33EC"/>
    <w:rsid w:val="009F431F"/>
    <w:rsid w:val="009F6F6C"/>
    <w:rsid w:val="009F6FA2"/>
    <w:rsid w:val="00A01BF0"/>
    <w:rsid w:val="00A02418"/>
    <w:rsid w:val="00A267A6"/>
    <w:rsid w:val="00A30289"/>
    <w:rsid w:val="00A47112"/>
    <w:rsid w:val="00A624D8"/>
    <w:rsid w:val="00A65C9D"/>
    <w:rsid w:val="00A7449E"/>
    <w:rsid w:val="00A836DB"/>
    <w:rsid w:val="00A87698"/>
    <w:rsid w:val="00A905A5"/>
    <w:rsid w:val="00AA588A"/>
    <w:rsid w:val="00AA619F"/>
    <w:rsid w:val="00AB1743"/>
    <w:rsid w:val="00AC09B3"/>
    <w:rsid w:val="00AC5FDE"/>
    <w:rsid w:val="00AE205F"/>
    <w:rsid w:val="00AE61C8"/>
    <w:rsid w:val="00AF21EF"/>
    <w:rsid w:val="00AF7B06"/>
    <w:rsid w:val="00B079A8"/>
    <w:rsid w:val="00B16015"/>
    <w:rsid w:val="00B222DE"/>
    <w:rsid w:val="00B33E07"/>
    <w:rsid w:val="00B34322"/>
    <w:rsid w:val="00B34DD6"/>
    <w:rsid w:val="00B428B7"/>
    <w:rsid w:val="00B44C07"/>
    <w:rsid w:val="00B50CAB"/>
    <w:rsid w:val="00B54CD1"/>
    <w:rsid w:val="00B54EA8"/>
    <w:rsid w:val="00B55B06"/>
    <w:rsid w:val="00B56E0A"/>
    <w:rsid w:val="00B60DFA"/>
    <w:rsid w:val="00B63412"/>
    <w:rsid w:val="00B66C2E"/>
    <w:rsid w:val="00B67843"/>
    <w:rsid w:val="00B73A9A"/>
    <w:rsid w:val="00B84236"/>
    <w:rsid w:val="00B87E40"/>
    <w:rsid w:val="00B926AC"/>
    <w:rsid w:val="00BA0405"/>
    <w:rsid w:val="00BC066C"/>
    <w:rsid w:val="00BC205D"/>
    <w:rsid w:val="00BD1990"/>
    <w:rsid w:val="00BE1040"/>
    <w:rsid w:val="00BE1B8C"/>
    <w:rsid w:val="00BE21A1"/>
    <w:rsid w:val="00BE39BA"/>
    <w:rsid w:val="00C0331E"/>
    <w:rsid w:val="00C05ADB"/>
    <w:rsid w:val="00C064C4"/>
    <w:rsid w:val="00C12074"/>
    <w:rsid w:val="00C260AC"/>
    <w:rsid w:val="00C36935"/>
    <w:rsid w:val="00C70CB9"/>
    <w:rsid w:val="00C75B4F"/>
    <w:rsid w:val="00C82C73"/>
    <w:rsid w:val="00C83240"/>
    <w:rsid w:val="00C9344C"/>
    <w:rsid w:val="00C967F8"/>
    <w:rsid w:val="00CA12B7"/>
    <w:rsid w:val="00CA32ED"/>
    <w:rsid w:val="00CD3E3C"/>
    <w:rsid w:val="00CD61A2"/>
    <w:rsid w:val="00CF5D2A"/>
    <w:rsid w:val="00D038AA"/>
    <w:rsid w:val="00D15B47"/>
    <w:rsid w:val="00D27CBC"/>
    <w:rsid w:val="00D36452"/>
    <w:rsid w:val="00D44C23"/>
    <w:rsid w:val="00D65CC7"/>
    <w:rsid w:val="00D94532"/>
    <w:rsid w:val="00D95BF0"/>
    <w:rsid w:val="00DB2220"/>
    <w:rsid w:val="00DB3450"/>
    <w:rsid w:val="00DB3F8A"/>
    <w:rsid w:val="00DE346C"/>
    <w:rsid w:val="00DF4468"/>
    <w:rsid w:val="00E008B3"/>
    <w:rsid w:val="00E0215F"/>
    <w:rsid w:val="00E311BC"/>
    <w:rsid w:val="00E34B08"/>
    <w:rsid w:val="00E37F22"/>
    <w:rsid w:val="00E46138"/>
    <w:rsid w:val="00E63F44"/>
    <w:rsid w:val="00E64B99"/>
    <w:rsid w:val="00E6579E"/>
    <w:rsid w:val="00E779C5"/>
    <w:rsid w:val="00E96FC0"/>
    <w:rsid w:val="00EA55B2"/>
    <w:rsid w:val="00EB2749"/>
    <w:rsid w:val="00EB4FD3"/>
    <w:rsid w:val="00EC11DA"/>
    <w:rsid w:val="00ED21D9"/>
    <w:rsid w:val="00ED2D93"/>
    <w:rsid w:val="00ED4C68"/>
    <w:rsid w:val="00ED644E"/>
    <w:rsid w:val="00ED6835"/>
    <w:rsid w:val="00ED79D0"/>
    <w:rsid w:val="00EE1A60"/>
    <w:rsid w:val="00EE5048"/>
    <w:rsid w:val="00EE60BC"/>
    <w:rsid w:val="00EF1FB7"/>
    <w:rsid w:val="00EF2431"/>
    <w:rsid w:val="00EF3A50"/>
    <w:rsid w:val="00F03311"/>
    <w:rsid w:val="00F03D2D"/>
    <w:rsid w:val="00F0556B"/>
    <w:rsid w:val="00F1134F"/>
    <w:rsid w:val="00F1773B"/>
    <w:rsid w:val="00F202F5"/>
    <w:rsid w:val="00F52863"/>
    <w:rsid w:val="00F531C0"/>
    <w:rsid w:val="00F56E4C"/>
    <w:rsid w:val="00FB1E09"/>
    <w:rsid w:val="00FB7AEB"/>
    <w:rsid w:val="00FC16ED"/>
    <w:rsid w:val="00FD0916"/>
    <w:rsid w:val="00FF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7CB94B"/>
  <w15:chartTrackingRefBased/>
  <w15:docId w15:val="{E1A9DE20-01DC-4DC2-8DF9-718E85AC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82C73"/>
    <w:pPr>
      <w:keepNext/>
      <w:keepLines/>
      <w:spacing w:before="240" w:after="0"/>
      <w:outlineLvl w:val="0"/>
    </w:pPr>
    <w:rPr>
      <w:rFonts w:ascii="Bahnschrift" w:eastAsiaTheme="majorEastAsia" w:hAnsi="Bahnschrift" w:cstheme="majorBidi"/>
      <w:b/>
      <w:color w:val="595959" w:themeColor="text1" w:themeTint="A6"/>
      <w:sz w:val="32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E779C5"/>
    <w:pPr>
      <w:outlineLvl w:val="1"/>
    </w:pPr>
    <w:rPr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4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21A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40FBB"/>
    <w:pPr>
      <w:spacing w:after="0" w:line="360" w:lineRule="auto"/>
      <w:contextualSpacing/>
      <w:jc w:val="center"/>
    </w:pPr>
    <w:rPr>
      <w:rFonts w:ascii="Abadi" w:eastAsiaTheme="majorEastAsia" w:hAnsi="Abadi" w:cstheme="majorBidi"/>
      <w:b/>
      <w:color w:val="8E000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FBB"/>
    <w:rPr>
      <w:rFonts w:ascii="Abadi" w:eastAsiaTheme="majorEastAsia" w:hAnsi="Abadi" w:cstheme="majorBidi"/>
      <w:b/>
      <w:color w:val="8E0000"/>
      <w:spacing w:val="-10"/>
      <w:kern w:val="28"/>
      <w:sz w:val="56"/>
      <w:szCs w:val="56"/>
    </w:rPr>
  </w:style>
  <w:style w:type="character" w:styleId="Ttulodellibro">
    <w:name w:val="Book Title"/>
    <w:basedOn w:val="Fuentedeprrafopredeter"/>
    <w:uiPriority w:val="33"/>
    <w:qFormat/>
    <w:rsid w:val="0066462A"/>
    <w:rPr>
      <w:b/>
      <w:bCs/>
      <w:i/>
      <w:iCs/>
      <w:spacing w:val="5"/>
      <w:sz w:val="28"/>
    </w:rPr>
  </w:style>
  <w:style w:type="character" w:styleId="Referenciasutil">
    <w:name w:val="Subtle Reference"/>
    <w:basedOn w:val="Fuentedeprrafopredeter"/>
    <w:uiPriority w:val="31"/>
    <w:qFormat/>
    <w:rsid w:val="00640FBB"/>
    <w:rPr>
      <w:b/>
      <w:smallCaps/>
      <w:color w:val="5A5A5A" w:themeColor="text1" w:themeTint="A5"/>
      <w:sz w:val="24"/>
    </w:rPr>
  </w:style>
  <w:style w:type="paragraph" w:customStyle="1" w:styleId="textoparrafo">
    <w:name w:val="texto_parrafo"/>
    <w:basedOn w:val="Normal"/>
    <w:link w:val="textoparrafoChar"/>
    <w:qFormat/>
    <w:rsid w:val="006C5995"/>
    <w:pPr>
      <w:spacing w:before="120" w:after="120" w:line="360" w:lineRule="auto"/>
      <w:jc w:val="both"/>
    </w:pPr>
    <w:rPr>
      <w:sz w:val="24"/>
    </w:rPr>
  </w:style>
  <w:style w:type="character" w:customStyle="1" w:styleId="textoparrafoChar">
    <w:name w:val="texto_parrafo Char"/>
    <w:basedOn w:val="Fuentedeprrafopredeter"/>
    <w:link w:val="textoparrafo"/>
    <w:rsid w:val="006C5995"/>
    <w:rPr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C82C73"/>
    <w:rPr>
      <w:rFonts w:ascii="Bahnschrift" w:eastAsiaTheme="majorEastAsia" w:hAnsi="Bahnschrift" w:cstheme="majorBidi"/>
      <w:b/>
      <w:color w:val="595959" w:themeColor="text1" w:themeTint="A6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DE346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346C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657412"/>
    <w:pPr>
      <w:spacing w:after="200" w:line="240" w:lineRule="auto"/>
      <w:jc w:val="center"/>
    </w:pPr>
    <w:rPr>
      <w:b/>
      <w:iCs/>
      <w:color w:val="44546A" w:themeColor="text2"/>
      <w:sz w:val="20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E779C5"/>
    <w:rPr>
      <w:rFonts w:ascii="Bahnschrift" w:eastAsiaTheme="majorEastAsia" w:hAnsi="Bahnschrift" w:cstheme="majorBidi"/>
      <w:b/>
      <w:color w:val="595959" w:themeColor="text1" w:themeTint="A6"/>
      <w:sz w:val="28"/>
      <w:szCs w:val="32"/>
      <w:lang w:val="es-ES_tradnl"/>
    </w:rPr>
  </w:style>
  <w:style w:type="character" w:styleId="Textodelmarcadordeposicin">
    <w:name w:val="Placeholder Text"/>
    <w:basedOn w:val="Fuentedeprrafopredeter"/>
    <w:uiPriority w:val="99"/>
    <w:semiHidden/>
    <w:rsid w:val="0070007F"/>
    <w:rPr>
      <w:color w:val="666666"/>
    </w:rPr>
  </w:style>
  <w:style w:type="paragraph" w:styleId="Prrafodelista">
    <w:name w:val="List Paragraph"/>
    <w:basedOn w:val="Normal"/>
    <w:uiPriority w:val="34"/>
    <w:qFormat/>
    <w:rsid w:val="006E60BD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4CD1"/>
    <w:pPr>
      <w:pBdr>
        <w:top w:val="single" w:sz="4" w:space="10" w:color="00B0F0"/>
        <w:bottom w:val="single" w:sz="4" w:space="10" w:color="00B0F0"/>
      </w:pBdr>
      <w:spacing w:before="360" w:after="360"/>
      <w:ind w:left="864" w:right="864"/>
      <w:jc w:val="center"/>
    </w:pPr>
    <w:rPr>
      <w:b/>
      <w:i/>
      <w:iCs/>
      <w:color w:val="00B0F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4CD1"/>
    <w:rPr>
      <w:b/>
      <w:i/>
      <w:iCs/>
      <w:color w:val="00B0F0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1F5D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DFF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1F5D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DFF"/>
    <w:rPr>
      <w:lang w:val="es-ES_tradnl"/>
    </w:rPr>
  </w:style>
  <w:style w:type="table" w:styleId="Tablaconcuadrcula">
    <w:name w:val="Table Grid"/>
    <w:basedOn w:val="Tablanormal"/>
    <w:uiPriority w:val="39"/>
    <w:rsid w:val="00C36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2">
    <w:name w:val="List Table 3 Accent 2"/>
    <w:basedOn w:val="Tablanormal"/>
    <w:uiPriority w:val="48"/>
    <w:rsid w:val="0013014A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Bibliografa">
    <w:name w:val="Bibliography"/>
    <w:basedOn w:val="Normal"/>
    <w:next w:val="Normal"/>
    <w:uiPriority w:val="37"/>
    <w:unhideWhenUsed/>
    <w:rsid w:val="00BD1990"/>
  </w:style>
  <w:style w:type="table" w:styleId="Tablaconcuadrcula1clara">
    <w:name w:val="Grid Table 1 Light"/>
    <w:basedOn w:val="Tablanormal"/>
    <w:uiPriority w:val="46"/>
    <w:rsid w:val="008D468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D468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2">
    <w:name w:val="Plain Table 2"/>
    <w:basedOn w:val="Tablanormal"/>
    <w:uiPriority w:val="42"/>
    <w:rsid w:val="008D468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8D46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5E336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E336E"/>
    <w:rPr>
      <w:sz w:val="20"/>
      <w:szCs w:val="20"/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5E336E"/>
    <w:rPr>
      <w:vertAlign w:val="superscrip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21A1"/>
    <w:rPr>
      <w:rFonts w:asciiTheme="majorHAnsi" w:eastAsiaTheme="majorEastAsia" w:hAnsiTheme="majorHAnsi" w:cstheme="majorBidi"/>
      <w:color w:val="2F5496" w:themeColor="accent1" w:themeShade="BF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7243D5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3D5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3D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3D5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3D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3D5"/>
    <w:rPr>
      <w:rFonts w:eastAsiaTheme="majorEastAsia" w:cstheme="majorBidi"/>
      <w:color w:val="272727" w:themeColor="text1" w:themeTint="D8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7243D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7243D5"/>
    <w:pPr>
      <w:spacing w:before="160"/>
      <w:jc w:val="center"/>
    </w:pPr>
    <w:rPr>
      <w:i/>
      <w:iCs/>
      <w:color w:val="404040" w:themeColor="text1" w:themeTint="BF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7243D5"/>
    <w:rPr>
      <w:i/>
      <w:iCs/>
      <w:color w:val="404040" w:themeColor="text1" w:themeTint="BF"/>
      <w:lang w:val="es-ES"/>
    </w:rPr>
  </w:style>
  <w:style w:type="character" w:styleId="nfasisintenso">
    <w:name w:val="Intense Emphasis"/>
    <w:basedOn w:val="Fuentedeprrafopredeter"/>
    <w:uiPriority w:val="21"/>
    <w:qFormat/>
    <w:rsid w:val="007243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3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2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24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Lam92</b:Tag>
    <b:SourceType>JournalArticle</b:SourceType>
    <b:Guid>{44B1A028-6F0B-4238-8E1C-60806FF50DBE}</b:Guid>
    <b:Author>
      <b:Author>
        <b:NameList xmlns:msxsl="urn:schemas-microsoft-com:xslt" xmlns:b="http://schemas.openxmlformats.org/officeDocument/2006/bibliography">
          <b:Person>
            <b:Last>Lam</b:Last>
            <b:First>C.</b:First>
            <b:Middle>Y.</b:Middle>
          </b:Person>
        </b:NameList>
      </b:Author>
    </b:Author>
    <b:Title>Spreadsheet approach to partial differential equations part 2: parabolic and hyperbolic equations</b:Title>
    <b:JournalName>International Journal of Engineering Education</b:JournalName>
    <b:City/>
    <b:Year>1992</b:Year>
    <b:Month/>
    <b:Day/>
    <b:Pages>371-383</b:Pages>
    <b:Publisher/>
    <b:Volume>8</b:Volume>
    <b:Issue>5</b:Issue>
    <b:ShortTitle/>
    <b:StandardNumber/>
    <b:Comments/>
    <b:Medium/>
    <b:YearAccessed>2024</b:YearAccessed>
    <b:MonthAccessed>6</b:MonthAccessed>
    <b:DayAccessed>16</b:DayAccessed>
    <b:URL>https://dialnet.unirioja.es/servlet/articulo?codigo=6542953</b:URL>
    <b:DOI/>
    <b:RefOrder>1</b:RefOrder>
  </b:Source>
  <b:Source>
    <b:Tag>Pol02</b:Tag>
    <b:SourceType>Book</b:SourceType>
    <b:Guid>{35E31E73-C804-4CD0-AD9D-D0CA1B6894A6}</b:Guid>
    <b:Author>
      <b:Author>
        <b:NameList xmlns:msxsl="urn:schemas-microsoft-com:xslt" xmlns:b="http://schemas.openxmlformats.org/officeDocument/2006/bibliography">
          <b:Person>
            <b:Last>Polyanin</b:Last>
            <b:First>Andrei</b:First>
            <b:Middle>Dmitrievich</b:Middle>
          </b:Person>
        </b:NameList>
      </b:Author>
    </b:Author>
    <b:Title>Handbook of linear partial differential equations for engineers and scientists</b:Title>
    <b:Year>2002</b:Year>
    <b:City/>
    <b:StateProvince/>
    <b:CountryRegion/>
    <b:Publisher>CRC Press</b:Publisher>
    <b:Volume/>
    <b:NumberVolumes/>
    <b:ShortTitle/>
    <b:StandardNumber/>
    <b:Pages/>
    <b:Edition/>
    <b:Comments/>
    <b:Medium/>
    <b:YearAccessed>2024</b:YearAccessed>
    <b:MonthAccessed>6</b:MonthAccessed>
    <b:DayAccessed>16</b:DayAccessed>
    <b:URL>https://books.google.com/books?id=NLnwhsevQGEC&amp;pg=PA476#v=onepage&amp;q&amp;f=false</b:URL>
    <b:DOI/>
    <b:RefOrder>2</b:RefOrder>
  </b:Source>
  <b:Source>
    <b:Tag>Rub05</b:Tag>
    <b:SourceType>InternetSite</b:SourceType>
    <b:Guid>{3EC68863-F079-4EE1-9D96-929947CBA63E}</b:Guid>
    <b:Author>
      <b:Author>
        <b:NameList xmlns:msxsl="urn:schemas-microsoft-com:xslt" xmlns:b="http://schemas.openxmlformats.org/officeDocument/2006/bibliography">
          <b:Person>
            <b:Last>Rubio</b:Last>
            <b:First>Rafael</b:First>
            <b:Middle>Godoy</b:Middle>
          </b:Person>
        </b:NameList>
      </b:Author>
    </b:Author>
    <b:Title>Métodos de diferencias finitas incodicionalmente estables para la resolución de las ecuaciones de maxwell en el dominio del tiempo</b:Title>
    <b:InternetSiteTitle/>
    <b:ProductionCompany/>
    <b:Year>2005</b:Year>
    <b:Month/>
    <b:Day/>
    <b:YearAccessed>2024</b:YearAccessed>
    <b:MonthAccessed>6</b:MonthAccessed>
    <b:DayAccessed>16</b:DayAccessed>
    <b:URL>https://dialnet.unirioja.es/servlet/tesis?codigo=108732</b:URL>
    <b:Version/>
    <b:ShortTitle/>
    <b:StandardNumber/>
    <b:Comments/>
    <b:Medium/>
    <b:DOI/>
    <b:RefOrder>4</b:RefOrder>
  </b:Source>
  <b:Source>
    <b:Tag>Gar07</b:Tag>
    <b:SourceType>InternetSite</b:SourceType>
    <b:Guid>{3F015D0D-29A5-4EEE-B1EF-53F95DAE9AAF}</b:Guid>
    <b:Author>
      <b:Author>
        <b:NameList>
          <b:Person>
            <b:Last>García</b:Last>
            <b:First>Díaz</b:First>
          </b:Person>
          <b:Person>
            <b:Last>Armando</b:Last>
            <b:First>A</b:First>
          </b:Person>
        </b:NameList>
      </b:Author>
    </b:Author>
    <b:Title>Esquema de discretización de Crank-Nicholson aplicado a balances de calor en un volumen de control (parte ii)</b:Title>
    <b:Year>2007</b:Year>
    <b:YearAccessed>2024</b:YearAccessed>
    <b:MonthAccessed>6</b:MonthAccessed>
    <b:DayAccessed>16</b:DayAccessed>
    <b:URL>http://redalyc.org/pdf/4455/445543754004.pdf</b:URL>
    <b:RefOrder>3</b:RefOrder>
  </b:Source>
</b:Sources>
</file>

<file path=customXml/itemProps1.xml><?xml version="1.0" encoding="utf-8"?>
<ds:datastoreItem xmlns:ds="http://schemas.openxmlformats.org/officeDocument/2006/customXml" ds:itemID="{E8FB8DBA-2116-4213-AC23-CC18DE2F32CE}">
  <ds:schemaRefs>
    <ds:schemaRef ds:uri="http://schemas.openxmlformats.org/officeDocument/2006/bibliography"/>
    <ds:schemaRef ds:uri="urn:schemas-microsoft-com:xsl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5</Pages>
  <Words>637</Words>
  <Characters>3508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Blanco Alvarez, J.</dc:creator>
  <cp:keywords/>
  <dc:description/>
  <cp:lastModifiedBy>iv521</cp:lastModifiedBy>
  <cp:revision>293</cp:revision>
  <cp:lastPrinted>2024-06-22T20:48:00Z</cp:lastPrinted>
  <dcterms:created xsi:type="dcterms:W3CDTF">2024-04-15T14:40:00Z</dcterms:created>
  <dcterms:modified xsi:type="dcterms:W3CDTF">2024-06-22T20:48:00Z</dcterms:modified>
</cp:coreProperties>
</file>