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54" w:lineRule="auto"/>
      </w:pPr>
      <w:r>
        <w:rPr>
          <w:rFonts w:ascii="Calibri" w:hAnsi="Calibri"/>
          <w:b/>
          <w:i w:val="0"/>
          <w:color w:val="1F3864"/>
          <w:spacing w:val="16"/>
          <w:sz w:val="40"/>
        </w:rPr>
        <w:t>JUAN BENÍTEZ LÓPEZ</w:t>
      </w:r>
    </w:p>
    <w:p>
      <w:pPr>
        <w:widowControl/>
        <w:spacing w:before="0" w:after="60" w:line="254" w:lineRule="auto"/>
      </w:pPr>
      <w:r>
        <w:rPr>
          <w:rFonts w:ascii="Calibri" w:hAnsi="Calibri"/>
          <w:b w:val="0"/>
          <w:i w:val="0"/>
          <w:color w:val="444444"/>
          <w:sz w:val="21"/>
        </w:rPr>
        <w:t>Desarrollo de Negocio Internacional  ·  Expansión de mercados  ·  Europa y EMEA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 w:val="0"/>
          <w:color w:val="444444"/>
          <w:sz w:val="18"/>
        </w:rPr>
        <w:t>Madrid, España  ·  disponible desde enero 2027  ·  +34 610 269 867  ·  +39 388 245 3480</w:t>
      </w:r>
    </w:p>
    <w:p>
      <w:pPr>
        <w:widowControl/>
        <w:spacing w:before="0" w:after="160" w:line="254" w:lineRule="auto"/>
        <w:pBdr>
          <w:bottom w:val="single" w:sz="6" w:space="2" w:color="C6CEDF"/>
        </w:pBdr>
      </w:pPr>
      <w:r>
        <w:rPr>
          <w:rFonts w:ascii="Calibri" w:hAnsi="Calibri"/>
          <w:b w:val="0"/>
          <w:i w:val="0"/>
          <w:color w:val="444444"/>
          <w:sz w:val="18"/>
        </w:rPr>
        <w:t>benitezlopezjuancontact@gmail.com  ·  linkedin.com/in/juanbenitez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Perfil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Economista con experiencia en desarrollo de negocio internacional desde tres ángulos que rara vez se combinan: la red exterior del Estado (Oficina Económica y Comercial de España en Milán), una multinacional industrial de defensa y aeroespacio (Airbus Helicopters) y una Big Four (KPMG). Detecto oportunidades de mercado, construyo el business case y lo sostengo con datos hasta la decisión. Trilingüe español–inglés–italiano, con red propia de contactos institucionales y empresariales en Italia.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Logros destacados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Programa H135 de Airbus Helicopters: </w:t>
      </w:r>
      <w:r>
        <w:rPr>
          <w:rFonts w:ascii="Calibri" w:hAnsi="Calibri"/>
          <w:b w:val="0"/>
          <w:i w:val="0"/>
          <w:color w:val="1A1A1A"/>
          <w:sz w:val="19"/>
        </w:rPr>
        <w:t>el más rentable de la compañía en 2024, con negociación directa con proveedores internacionales.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+1.000 proyectos analizados en KPMG </w:t>
      </w:r>
      <w:r>
        <w:rPr>
          <w:rFonts w:ascii="Calibri" w:hAnsi="Calibri"/>
          <w:b w:val="0"/>
          <w:i w:val="0"/>
          <w:color w:val="1A1A1A"/>
          <w:sz w:val="19"/>
        </w:rPr>
        <w:t>y +30 % de mejora en la eficiencia de reporting, con interlocución directa con el CFO.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Coordinación de la presencia española en Milano Design Week 2026: </w:t>
      </w:r>
      <w:r>
        <w:rPr>
          <w:rFonts w:ascii="Calibri" w:hAnsi="Calibri"/>
          <w:b w:val="0"/>
          <w:i w:val="0"/>
          <w:color w:val="1A1A1A"/>
          <w:sz w:val="19"/>
        </w:rPr>
        <w:t>4 instalaciones, 15+ empresas y visita institucional de la CEO de ICEX.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Lanzamiento en solitario </w:t>
      </w:r>
      <w:r>
        <w:rPr>
          <w:rFonts w:ascii="Calibri" w:hAnsi="Calibri"/>
          <w:b w:val="0"/>
          <w:i w:val="0"/>
          <w:color w:val="1A1A1A"/>
          <w:sz w:val="19"/>
        </w:rPr>
        <w:t>de un producto digital propio a +180.000 usuarios en dos semanas con presupuesto de marketing cero.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Experiencia profesional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Técnico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Ene. 2026 – Actualidad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Oficina Económica y Comercial de España en Milán (ICEX)  ·  Milán, Italia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Identificación y cualificación de oportunidades de mercado para empresas españolas en Italia: análisis de demanda, mapeo competitivo, evaluación de canales de entrada y selección de partners locales (distribuidores, agentes, importadores).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Inteligencia regulatoria y de licitaciones sobre los grandes marcos de inversión italianos: PNRR (125.000 M€), Transizione 5.0 e infraestructuras ligadas a Milano-Cortina 2026.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Estudios sectoriales y business intelligence con verificación cruzada de fuentes oficiales (Eurostat, ISTAT, INE, TARIC) e informes ejecutivos para comités de decisión de empresas en proceso de expansión.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Gestión de stakeholders a alto nivel: asociaciones sectoriales españolas (ASCER, ANIEME), patronales italianas, embajada, cámaras bilaterales y filiales españolas en Italia.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Coordinación transversal de la presencia institucional española en Milano Design Week 2026: 4 instalaciones, más de 15 empresas y acompañamiento a la visita de la CEO de ICEX.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Cobertura de ferias internacionales (Cosmoprof Bologna, Salone del Mobile, Pitti Uomo): +24 stands trabajados, levantamiento de información de mercado y fichas comerciales de seguimiento.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Financial &amp; Business Controller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Jul. 2025 – Oct.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KPMG  ·  Madrid,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Análisis de rentabilidad y márgenes de más de 1.000 proyectos de la firma, con identificación de palancas de mejora y reporting estratégico directo al CFO.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Rediseño del proceso y la interfaz de carga de datos en CRM para gerentes de proyecto: +30 % de eficiencia en el ciclo de reporting.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Controller de Programas Comerciales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Mar. 2024 – Abr.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Airbus Helicopters España  ·  Albacete,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Programa H135, el más rentable de la compañía en 2024: gestión transversal de KPIs, plazos de entrega a cliente y aseguramiento de calidad en un entorno aeroespacial regulado.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Negociación con proveedores internacionales en contratos de navalización: mejora de márgenes vía renegociación de condiciones comerciales y pliegos técnicos.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Business case del programa: cierres mensuales, forecasts, seguimiento de riesgos y oportunidades y reporting financiero al CFO.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Prácticas en Gerencia de Urbanismo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2023 – 2024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Ayuntamiento de Móstoles  ·  Móstoles,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Apoyo a auditorías públicas, gestión de facturación y mejora de procesos administrativos a partir de análisis de datos.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Proyecto propio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Hazte con Todos — producto digital lanzado en solitario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2026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Proyecto personal  ·  Cloudflare Pages + D1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Simulador web de carrera profesional construido de extremo a extremo (producto, datos, desarrollo e infraestructura) y lanzado sin presupuesto de marketing.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+180.000 visitas en dos semanas, ~15.000 partidas completadas al día y ~151.000 partidas registradas en base de datos.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Crecimiento 100 % orgánico mediante una mecánica de compartición viral diseñada a propósito: una tarjeta de resultado que el propio usuario distribuye.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Construido con uso avanzado de IA (Claude Code): validación de una idea a escala real en semanas y con coste operativo marginal.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Formación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V Programa de Técnicos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Sept. 2025 – Dic. 2026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Cámara de Comercio de Madrid · Comunidad de Madrid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Programa selectivo: 20 plazas en la Red ICEX a nivel nacional. 300 h en medios de pago, Incoterms 2020, fiscalidad internacional, negociación intercultural y marketing internacional.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Doble Grado en Economía y Ciencia Política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2019 – 2024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Rey Juan Carlos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Máster en Metodologías Ágiles y Transformación Digital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2024 –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Camilo José Cela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Curso de Política Exterior y Cooperación para el Desarrollo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Junio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Escuela Diplomática de España (MAEC)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Formación complementaria: Certificado en Internacionalización Empresarial (ICEX) · Construcción de redes para una Comunidad Euroasiática · IT, AI and Capital Flows (Asian Development Bank Institute).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Competencias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Desarrollo de negocio: </w:t>
      </w:r>
      <w:r>
        <w:rPr>
          <w:rFonts w:ascii="Calibri" w:hAnsi="Calibri"/>
          <w:b w:val="0"/>
          <w:i w:val="0"/>
          <w:color w:val="1A1A1A"/>
          <w:sz w:val="19"/>
        </w:rPr>
        <w:t>identificación y cualificación de oportunidades, business cases, market entry, mapeo de competidores y partners, negociación internacional.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Inteligencia de mercado: </w:t>
      </w:r>
      <w:r>
        <w:rPr>
          <w:rFonts w:ascii="Calibri" w:hAnsi="Calibri"/>
          <w:b w:val="0"/>
          <w:i w:val="0"/>
          <w:color w:val="1A1A1A"/>
          <w:sz w:val="19"/>
        </w:rPr>
        <w:t>metodología ICEX, fuentes oficiales (Eurostat, ISTAT, INE, TARIC, OCDE), seguimiento regulatorio y de licitaciones (PNRR, fondos UE).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Análisis financiero: </w:t>
      </w:r>
      <w:r>
        <w:rPr>
          <w:rFonts w:ascii="Calibri" w:hAnsi="Calibri"/>
          <w:b w:val="0"/>
          <w:i w:val="0"/>
          <w:color w:val="1A1A1A"/>
          <w:sz w:val="19"/>
        </w:rPr>
        <w:t>Excel avanzado, KPIs, rentabilidad, forecasting y reporting a alta dirección como soporte a la decisión estratégica.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Sectores: </w:t>
      </w:r>
      <w:r>
        <w:rPr>
          <w:rFonts w:ascii="Calibri" w:hAnsi="Calibri"/>
          <w:b w:val="0"/>
          <w:i w:val="0"/>
          <w:color w:val="1A1A1A"/>
          <w:sz w:val="19"/>
        </w:rPr>
        <w:t>aeroespacial y defensa, industria y bienes de equipo, energía, bienes de consumo (hábitat, cerámica, moda, cosmética), servicios profesionales.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Herramientas: </w:t>
      </w:r>
      <w:r>
        <w:rPr>
          <w:rFonts w:ascii="Calibri" w:hAnsi="Calibri"/>
          <w:b w:val="0"/>
          <w:i w:val="0"/>
          <w:color w:val="1A1A1A"/>
          <w:sz w:val="19"/>
        </w:rPr>
        <w:t>Excel avanzado, Power BI, Power Automate, SAP, CRM, SQL básico; uso avanzado de IA aplicada (Claude, ChatGPT) a análisis y automatización.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Idiomas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Español nativo  ·  Inglés C1  ·  Italiano C1 (vida y trabajo en Italia desde 2026)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