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="254" w:lineRule="auto"/>
      </w:pPr>
      <w:r>
        <w:rPr>
          <w:rFonts w:ascii="Calibri" w:hAnsi="Calibri"/>
          <w:b/>
          <w:i w:val="0"/>
          <w:color w:val="1F3864"/>
          <w:spacing w:val="16"/>
          <w:sz w:val="40"/>
        </w:rPr>
        <w:t>JUAN BENÍTEZ LÓPEZ</w:t>
      </w:r>
    </w:p>
    <w:p>
      <w:pPr>
        <w:widowControl/>
        <w:spacing w:before="0" w:after="60" w:line="254" w:lineRule="auto"/>
      </w:pPr>
      <w:r>
        <w:rPr>
          <w:rFonts w:ascii="Calibri" w:hAnsi="Calibri"/>
          <w:b w:val="0"/>
          <w:i w:val="0"/>
          <w:color w:val="444444"/>
          <w:sz w:val="21"/>
        </w:rPr>
        <w:t>Defensa y Aeroespacial  ·  Gestión de Programas  ·  Desarrollo de Negocio Internacional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 w:val="0"/>
          <w:color w:val="444444"/>
          <w:sz w:val="18"/>
        </w:rPr>
        <w:t>Madrid, España  ·  disponible desde enero 2027  ·  +34 610 269 867  ·  +39 388 245 3480</w:t>
      </w:r>
    </w:p>
    <w:p>
      <w:pPr>
        <w:widowControl/>
        <w:spacing w:before="0" w:after="160" w:line="254" w:lineRule="auto"/>
        <w:pBdr>
          <w:bottom w:val="single" w:sz="6" w:space="2" w:color="C6CEDF"/>
        </w:pBdr>
      </w:pPr>
      <w:r>
        <w:rPr>
          <w:rFonts w:ascii="Calibri" w:hAnsi="Calibri"/>
          <w:b w:val="0"/>
          <w:i w:val="0"/>
          <w:color w:val="444444"/>
          <w:sz w:val="18"/>
        </w:rPr>
        <w:t>benitezlopezjuancontact@gmail.com  ·  linkedin.com/in/juanbenitez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Perfil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Economista con experiencia en gestión y control de programas aeroespaciales en Airbus Helicopters —incluido el H135, el programa más rentable de la compañía en 2024— y en promoción exterior desde la red económica y comercial del Estado español en Milán. Combino el conocimiento del interior de un programa industrial regulado (KPIs, hitos, proveedores, calidad, márgenes) con la capacidad de abrir mercado fuera: inteligencia regulatoria, licitaciones públicas y relación institucional. Trilingüe español–inglés–italiano.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Logros destacados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Programa H135, el más rentable de Airbus Helicopters España en 2024: </w:t>
      </w:r>
      <w:r>
        <w:rPr>
          <w:rFonts w:ascii="Calibri" w:hAnsi="Calibri"/>
          <w:b w:val="0"/>
          <w:i w:val="0"/>
          <w:color w:val="1A1A1A"/>
          <w:sz w:val="19"/>
        </w:rPr>
        <w:t>gestión de KPIs, plazos y calidad en entorno aeroespacial regulado.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Negociación con proveedores internacionales </w:t>
      </w:r>
      <w:r>
        <w:rPr>
          <w:rFonts w:ascii="Calibri" w:hAnsi="Calibri"/>
          <w:b w:val="0"/>
          <w:i w:val="0"/>
          <w:color w:val="1A1A1A"/>
          <w:sz w:val="19"/>
        </w:rPr>
        <w:t>en contratos de navalización, con mejora de márgenes vía renegociación de condiciones y pliegos técnicos.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Inteligencia de licitaciones y política industrial </w:t>
      </w:r>
      <w:r>
        <w:rPr>
          <w:rFonts w:ascii="Calibri" w:hAnsi="Calibri"/>
          <w:b w:val="0"/>
          <w:i w:val="0"/>
          <w:color w:val="1A1A1A"/>
          <w:sz w:val="19"/>
        </w:rPr>
        <w:t>sobre PNRR italiano (125.000 M€), Transizione 5.0 e infraestructuras Milano-Cortina 2026.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Interlocución financiera con dirección: </w:t>
      </w:r>
      <w:r>
        <w:rPr>
          <w:rFonts w:ascii="Calibri" w:hAnsi="Calibri"/>
          <w:b w:val="0"/>
          <w:i w:val="0"/>
          <w:color w:val="1A1A1A"/>
          <w:sz w:val="19"/>
        </w:rPr>
        <w:t>reporting estratégico al CFO en Airbus y en KPMG (+1.000 proyectos analizados).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Experiencia profesional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Técnico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Ene. 2026 – Actualidad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Oficina Económica y Comercial de España en Milán (ICEX)  ·  Milán, Italia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Inteligencia regulatoria y de licitaciones sobre los marcos de inversión pública italianos relevantes para la industria española: PNRR, Transizione 5.0, política industrial y energética de la UE y programas de infraestructura ligados a Milano-Cortina 2026.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Identificación de oportunidades y partners industriales en Italia: mapeo de competidores, canales de entrada y evaluación de distribuidores y socios locales.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Interlocución institucional con asociaciones sectoriales, patronales italianas, embajada y cámaras bilaterales; apoyo directo al Consejero Económico y Comercial Jefe.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Estudios de mercado conforme a metodología oficial ICEX con verificación cruzada de fuentes (Eurostat, ISTAT, INE, TARIC) e informes ejecutivos para empresas exportadoras.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Coordinación de la presencia institucional española en ferias y eventos internacionales, incluida Milano Design Week 2026 (4 instalaciones, 15+ empresas).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Controller de Programas Comerciales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Mar. 2024 – Abr.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Airbus Helicopters España  ·  Albacete,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Programa H135 —el más rentable de la compañía en 2024—: gestión transversal de KPIs estratégicos, control de plazos de entrega a cliente y aseguramiento de calidad bajo estándares aeroespaciales.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Negociación con proveedores internacionales en contratos de navalización: análisis de pliegos técnicos, renegociación de condiciones comerciales y mejora del margen del programa.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Business case y control del programa: cierres mensuales, forecasts, seguimiento estructurado de riesgos y oportunidades y reporting financiero directo al CFO.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Coordinación entre ingeniería, compras, calidad y finanzas en un entorno multinacional y multi-planta.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Financial &amp; Business Controller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Jul. 2025 – Oct.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KPMG  ·  Madrid,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Análisis de rentabilidad, márgenes y desviaciones de más de 1.000 proyectos, con reporting estratégico al CFO.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Rediseño del proceso de carga de datos en CRM: +30 % de eficiencia en el ciclo de reporting.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Prácticas en Gerencia de Urbanismo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2023 – 2024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Ayuntamiento de Móstoles  ·  Móstoles,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Apoyo a auditorías públicas, contratación y mejora de procesos administrativos mediante análisis de datos.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Proyecto propio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Hazte con Todos — producto digital lanzado en solitario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2026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Proyecto personal  ·  Cloudflare Pages + D1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Producto web construido de extremo a extremo (diseño, desarrollo, base de datos e infraestructura) con +180.000 visitas en dos semanas y ~151.000 partidas registradas, sin presupuesto de marketing.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Ejecución autónoma de un proyecto técnico completo con uso avanzado de IA aplicada (Claude Code) y despliegue en infraestructura cloud (Cloudflare).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Formación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V Programa de Técnicos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Sept. 2025 – Dic. 2026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Cámara de Comercio de Madrid · Comunidad de Madrid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Programa selectivo: 20 plazas en la Red ICEX a nivel nacional. 300 h en medios de pago, Incoterms 2020, fiscalidad internacional, negociación intercultural y marketing internacional.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Doble Grado en Economía y Ciencia Política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2019 – 2024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Rey Juan Carlos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Máster en Metodologías Ágiles y Transformación Digital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2024 – 2025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Camilo José Cela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Curso de Política Exterior y Cooperación para el Desarrollo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Junio 2025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Escuela Diplomática de España (MAEC)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Formación complementaria: Certificado en Internacionalización Empresarial (ICEX) · Construcción de redes para una Comunidad Euroasiática · IT, AI and Capital Flows (Asian Development Bank Institute).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Competencias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Gestión de programas: </w:t>
      </w:r>
      <w:r>
        <w:rPr>
          <w:rFonts w:ascii="Calibri" w:hAnsi="Calibri"/>
          <w:b w:val="0"/>
          <w:i w:val="0"/>
          <w:color w:val="1A1A1A"/>
          <w:sz w:val="19"/>
        </w:rPr>
        <w:t>KPIs, hitos y plazos de entrega, control de calidad, gestión de riesgos y oportunidades, metodologías ágiles.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Compras y negociación: </w:t>
      </w:r>
      <w:r>
        <w:rPr>
          <w:rFonts w:ascii="Calibri" w:hAnsi="Calibri"/>
          <w:b w:val="0"/>
          <w:i w:val="0"/>
          <w:color w:val="1A1A1A"/>
          <w:sz w:val="19"/>
        </w:rPr>
        <w:t>proveedores internacionales, pliegos técnicos, condiciones comerciales, mejora de márgenes.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Negocio internacional y licitaciones: </w:t>
      </w:r>
      <w:r>
        <w:rPr>
          <w:rFonts w:ascii="Calibri" w:hAnsi="Calibri"/>
          <w:b w:val="0"/>
          <w:i w:val="0"/>
          <w:color w:val="1A1A1A"/>
          <w:sz w:val="19"/>
        </w:rPr>
        <w:t>inteligencia regulatoria, fondos y programas públicos (PNRR, fondos UE), promoción exterior, ferias del sector.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Control de gestión: </w:t>
      </w:r>
      <w:r>
        <w:rPr>
          <w:rFonts w:ascii="Calibri" w:hAnsi="Calibri"/>
          <w:b w:val="0"/>
          <w:i w:val="0"/>
          <w:color w:val="1A1A1A"/>
          <w:sz w:val="19"/>
        </w:rPr>
        <w:t>cierres mensuales, forecasting, análisis de rentabilidad, reporting a CFO y comité de dirección.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Herramientas: </w:t>
      </w:r>
      <w:r>
        <w:rPr>
          <w:rFonts w:ascii="Calibri" w:hAnsi="Calibri"/>
          <w:b w:val="0"/>
          <w:i w:val="0"/>
          <w:color w:val="1A1A1A"/>
          <w:sz w:val="19"/>
        </w:rPr>
        <w:t>SAP, Excel avanzado, Power BI, Power Automate, CRM; IA aplicada (Claude, ChatGPT) a análisis y automatización.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Idiomas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Español nativo  ·  Inglés C1  ·  Italiano C1 (vida y trabajo en Italia desde 2026)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