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Northstar pilot decision</w:t>
      </w:r>
    </w:p>
    <w:p>
      <w:pPr>
        <w:spacing w:after="280"/>
      </w:pPr>
      <w:r>
        <w:t xml:space="preserve">Fictional company and synthetic data</w:t>
      </w:r>
    </w:p>
    <w:p>
      <w:pPr>
        <w:pStyle w:val="Heading1"/>
      </w:pPr>
      <w:r>
        <w:t xml:space="preserve">Recommendation</w:t>
      </w:r>
    </w:p>
    <w:p>
      <w:r>
        <w:t xml:space="preserve">Run a five-site pilot before committing to 20 sites. The full-scale base case produces $120,000 in monthly operating surplus. An increase in direct costs from 62% to 70% of revenue reduces operating surplus to $40,000, with volume and price held constant.</w:t>
      </w:r>
    </w:p>
    <w:p>
      <w:pPr>
        <w:pStyle w:val="Heading1"/>
      </w:pPr>
      <w:r>
        <w:t xml:space="preserve">Decision basis</w:t>
      </w:r>
    </w:p>
    <w:p>
      <w:r>
        <w:t xml:space="preserve">The model assumes 20 sites, 100 monthly visits per site and $500 revenue per visit. Monthly revenue is $1,000,000. Fixed monthly cost is $260,000. The model calculates direct costs, operating surplus and the $80,000 downside exposure.</w:t>
      </w:r>
    </w:p>
    <w:p>
      <w:pPr>
        <w:pStyle w:val="Heading1"/>
      </w:pPr>
      <w:r>
        <w:t xml:space="preserve">What the pilot must resolve</w:t>
      </w:r>
    </w:p>
    <w:p>
      <w:r>
        <w:t xml:space="preserve">Validate travel time and labor cost using actual field records. Confirm repeat demand before expanding capacity. Leadership retains the investment decision.</w:t>
      </w:r>
    </w:p>
    <w:p>
      <w:pPr>
        <w:pStyle w:val="Heading1"/>
      </w:pPr>
      <w:r>
        <w:t xml:space="preserve">Review finding</w:t>
      </w:r>
    </w:p>
    <w:p>
      <w:r>
        <w:t xml:space="preserve">The downside changes direct costs only. It does not establish what happens if demand also falls. A claim that the proposal remains profitable in every downside would exceed the model evidence.</w:t>
      </w:r>
    </w:p>
    <w:p>
      <w:pPr>
        <w:pStyle w:val="Heading1"/>
      </w:pPr>
      <w:r>
        <w:t xml:space="preserve">Evidence boundary</w:t>
      </w:r>
    </w:p>
    <w:p>
      <w:r>
        <w:t xml:space="preserve">This is a constructed portfolio example. It shows a decision brief and a transparent calculation, not a real engagement, market forecast or business impact. The deck and workbook share these same assumptions.</w:t>
      </w:r>
    </w:p>
    <w:sectPr>
      <w:pgSz w:w="11906" w:h="16838" w:orient="portrait"/>
      <w:pgMar w:top="95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3D39"/>
        <w:sz w:val="22"/>
        <w:szCs w:val="22"/>
      </w:rPr>
    </w:rPrDefault>
    <w:pPrDefault>
      <w:pPr>
        <w:spacing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pilot decision</dc:title>
  <dc:creator>Nexus public demonstration</dc:creator>
  <cp:lastModifiedBy>Un-named</cp:lastModifiedBy>
  <cp:revision>1</cp:revision>
  <dcterms:created xsi:type="dcterms:W3CDTF">2026-10-01T20:33:07.084Z</dcterms:created>
  <dcterms:modified xsi:type="dcterms:W3CDTF">2026-10-01T20:33:07.087Z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