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440" w:lineRule="auto"/>
        <w:jc w:val="center"/>
        <w:rPr/>
      </w:pPr>
      <w:r w:rsidDel="00000000" w:rsidR="00000000" w:rsidRPr="00000000">
        <w:rPr>
          <w:rFonts w:ascii="Georgia" w:cs="Georgia" w:eastAsia="Georgia" w:hAnsi="Georgia"/>
          <w:b w:val="1"/>
          <w:bCs w:val="1"/>
          <w:color w:val="0b2545"/>
          <w:sz w:val="80"/>
          <w:szCs w:val="80"/>
          <w:rtl w:val="0"/>
        </w:rPr>
        <w:t xml:space="preserve">CareAgent</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Georgia" w:cs="Georgia" w:eastAsia="Georgia" w:hAnsi="Georgia"/>
          <w:color w:val="3d9970"/>
          <w:sz w:val="32"/>
          <w:szCs w:val="32"/>
          <w:rtl w:val="0"/>
        </w:rPr>
        <w:t xml:space="preserve">Intelligent Agent-Based Healthcare Decision Support System</w:t>
      </w:r>
      <w:r w:rsidDel="00000000" w:rsidR="00000000" w:rsidRPr="00000000">
        <w:rPr>
          <w:rtl w:val="0"/>
        </w:rPr>
      </w:r>
    </w:p>
    <w:p w:rsidR="00000000" w:rsidDel="00000000" w:rsidP="00000000" w:rsidRDefault="00000000" w:rsidRPr="00000000" w14:paraId="00000003">
      <w:pPr>
        <w:spacing w:after="0" w:before="0" w:lineRule="auto"/>
        <w:jc w:val="center"/>
        <w:rPr/>
      </w:pPr>
      <w:r w:rsidDel="00000000" w:rsidR="00000000" w:rsidRPr="00000000">
        <w:rPr>
          <w:rFonts w:ascii="Calibri" w:cs="Calibri" w:eastAsia="Calibri" w:hAnsi="Calibri"/>
          <w:color w:val="555555"/>
          <w:sz w:val="24"/>
          <w:szCs w:val="24"/>
          <w:rtl w:val="0"/>
        </w:rPr>
        <w:t xml:space="preserve">Designing and Developing AI Agents that Automate Complex Clinical Tasks,</w:t>
      </w:r>
      <w:r w:rsidDel="00000000" w:rsidR="00000000" w:rsidRPr="00000000">
        <w:rPr>
          <w:rtl w:val="0"/>
        </w:rPr>
      </w:r>
    </w:p>
    <w:p w:rsidR="00000000" w:rsidDel="00000000" w:rsidP="00000000" w:rsidRDefault="00000000" w:rsidRPr="00000000" w14:paraId="00000004">
      <w:pPr>
        <w:spacing w:after="600" w:before="0" w:lineRule="auto"/>
        <w:jc w:val="center"/>
        <w:rPr/>
      </w:pPr>
      <w:r w:rsidDel="00000000" w:rsidR="00000000" w:rsidRPr="00000000">
        <w:rPr>
          <w:rFonts w:ascii="Calibri" w:cs="Calibri" w:eastAsia="Calibri" w:hAnsi="Calibri"/>
          <w:color w:val="555555"/>
          <w:sz w:val="24"/>
          <w:szCs w:val="24"/>
          <w:rtl w:val="0"/>
        </w:rPr>
        <w:t xml:space="preserve">Solve Real-World Healthcare Problems, and Enhance Clinician Decision-Making</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pBdr>
          <w:bottom w:color="3d9970" w:space="1" w:sz="6" w:val="single"/>
        </w:pBdr>
        <w:spacing w:after="200" w:before="400" w:lineRule="auto"/>
        <w:rPr/>
      </w:pPr>
      <w:r w:rsidDel="00000000" w:rsidR="00000000" w:rsidRPr="00000000">
        <w:rPr>
          <w:rFonts w:ascii="Arial" w:cs="Arial" w:eastAsia="Arial" w:hAnsi="Arial"/>
          <w:b w:val="1"/>
          <w:bCs w:val="1"/>
          <w:color w:val="0b2545"/>
          <w:sz w:val="32"/>
          <w:szCs w:val="32"/>
          <w:rtl w:val="0"/>
        </w:rPr>
        <w:t xml:space="preserve">1. Executive Summary</w:t>
      </w:r>
      <w:r w:rsidDel="00000000" w:rsidR="00000000" w:rsidRPr="00000000">
        <w:rPr>
          <w:rtl w:val="0"/>
        </w:rPr>
      </w:r>
    </w:p>
    <w:p w:rsidR="00000000" w:rsidDel="00000000" w:rsidP="00000000" w:rsidRDefault="00000000" w:rsidRPr="00000000" w14:paraId="00000007">
      <w:pPr>
        <w:spacing w:after="160" w:before="0" w:lineRule="auto"/>
        <w:jc w:val="both"/>
        <w:rPr/>
      </w:pPr>
      <w:r w:rsidDel="00000000" w:rsidR="00000000" w:rsidRPr="00000000">
        <w:rPr>
          <w:rFonts w:ascii="Calibri" w:cs="Calibri" w:eastAsia="Calibri" w:hAnsi="Calibri"/>
          <w:color w:val="222222"/>
          <w:sz w:val="24"/>
          <w:szCs w:val="24"/>
          <w:rtl w:val="0"/>
        </w:rPr>
        <w:t xml:space="preserve">CareAgent is a novel multi-agent AI system designed to address three interconnected challenges in modern clinical practice: the unacceptably high rate of diagnostic errors (estimated at 795,000 per year in the USA alone; Singh et al., 2023), pervasive clinician decision fatigue, and the significant time burden of manual patient data synthesis. While artificial intelligence has made important inroads into medical imaging and risk stratification, existing solutions are narrowly scoped, lack coordination capabilities, and critically fail to provide clinicians with the transparent, explainable rationale required for trust and adoption.</w:t>
      </w:r>
      <w:r w:rsidDel="00000000" w:rsidR="00000000" w:rsidRPr="00000000">
        <w:rPr>
          <w:rtl w:val="0"/>
        </w:rPr>
      </w:r>
    </w:p>
    <w:p w:rsidR="00000000" w:rsidDel="00000000" w:rsidP="00000000" w:rsidRDefault="00000000" w:rsidRPr="00000000" w14:paraId="00000008">
      <w:pPr>
        <w:spacing w:after="160" w:before="0" w:lineRule="auto"/>
        <w:jc w:val="both"/>
        <w:rPr/>
      </w:pPr>
      <w:r w:rsidDel="00000000" w:rsidR="00000000" w:rsidRPr="00000000">
        <w:rPr>
          <w:rFonts w:ascii="Calibri" w:cs="Calibri" w:eastAsia="Calibri" w:hAnsi="Calibri"/>
          <w:color w:val="222222"/>
          <w:sz w:val="24"/>
          <w:szCs w:val="24"/>
          <w:rtl w:val="0"/>
        </w:rPr>
        <w:t xml:space="preserve">CareAgent resolves these gaps through a four-agent architecture — Patient Intake Agent, Diagnostic Reasoning Agent, Treatment Planner Agent, and Clinician Liaison Agent — orchestrated by a central coordinator. These agents collaborate to automatically ingest and synthesise patient data, generate evidence-grounded differential diagnoses, match findings to NICE and WHO clinical guidelines, and deliver every recommendation with SHAP-powered explanations in plain clinical language. The result is an end-to-end, explainable decision support pipeline that augments clinician judgment without supplanting it.</w:t>
      </w:r>
      <w:r w:rsidDel="00000000" w:rsidR="00000000" w:rsidRPr="00000000">
        <w:rPr>
          <w:rtl w:val="0"/>
        </w:rPr>
      </w:r>
    </w:p>
    <w:p w:rsidR="00000000" w:rsidDel="00000000" w:rsidP="00000000" w:rsidRDefault="00000000" w:rsidRPr="00000000" w14:paraId="00000009">
      <w:pPr>
        <w:spacing w:after="160" w:before="0" w:lineRule="auto"/>
        <w:jc w:val="both"/>
        <w:rPr/>
      </w:pPr>
      <w:r w:rsidDel="00000000" w:rsidR="00000000" w:rsidRPr="00000000">
        <w:rPr>
          <w:rFonts w:ascii="Calibri" w:cs="Calibri" w:eastAsia="Calibri" w:hAnsi="Calibri"/>
          <w:color w:val="222222"/>
          <w:sz w:val="24"/>
          <w:szCs w:val="24"/>
          <w:rtl w:val="0"/>
        </w:rPr>
        <w:t xml:space="preserve">The prototype is grounded in the MIMIC-III critical care dataset (46,520 ICU patient records), powered by a large language model for reasoning and communication, and designed in full compliance with the EU AI Act (High-Risk classification) and UK GDPR. This report details the problem context, related literature, system architecture, evaluation strategy, ethical governance framework, and future development roadmap.</w:t>
      </w:r>
      <w:r w:rsidDel="00000000" w:rsidR="00000000" w:rsidRPr="00000000">
        <w:rPr>
          <w:rtl w:val="0"/>
        </w:rPr>
      </w:r>
    </w:p>
    <w:p w:rsidR="00000000" w:rsidDel="00000000" w:rsidP="00000000" w:rsidRDefault="00000000" w:rsidRPr="00000000" w14:paraId="0000000A">
      <w:pPr>
        <w:spacing w:after="80" w:before="0" w:lineRule="auto"/>
        <w:rPr/>
      </w:pP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pBdr>
          <w:bottom w:color="3d9970" w:space="1" w:sz="6" w:val="single"/>
        </w:pBdr>
        <w:spacing w:after="200" w:before="400" w:lineRule="auto"/>
        <w:rPr/>
      </w:pPr>
      <w:r w:rsidDel="00000000" w:rsidR="00000000" w:rsidRPr="00000000">
        <w:rPr>
          <w:rFonts w:ascii="Arial" w:cs="Arial" w:eastAsia="Arial" w:hAnsi="Arial"/>
          <w:b w:val="1"/>
          <w:bCs w:val="1"/>
          <w:color w:val="0b2545"/>
          <w:sz w:val="32"/>
          <w:szCs w:val="32"/>
          <w:rtl w:val="0"/>
        </w:rPr>
        <w:t xml:space="preserve">2. Introduction</w:t>
      </w:r>
      <w:r w:rsidDel="00000000" w:rsidR="00000000" w:rsidRPr="00000000">
        <w:rPr>
          <w:rtl w:val="0"/>
        </w:rPr>
      </w:r>
    </w:p>
    <w:p w:rsidR="00000000" w:rsidDel="00000000" w:rsidP="00000000" w:rsidRDefault="00000000" w:rsidRPr="00000000" w14:paraId="0000000D">
      <w:pPr>
        <w:pStyle w:val="Heading2"/>
        <w:spacing w:after="120" w:before="280" w:lineRule="auto"/>
        <w:rPr/>
      </w:pPr>
      <w:r w:rsidDel="00000000" w:rsidR="00000000" w:rsidRPr="00000000">
        <w:rPr>
          <w:rFonts w:ascii="Arial" w:cs="Arial" w:eastAsia="Arial" w:hAnsi="Arial"/>
          <w:b w:val="1"/>
          <w:bCs w:val="1"/>
          <w:color w:val="13315c"/>
          <w:sz w:val="26"/>
          <w:szCs w:val="26"/>
          <w:rtl w:val="0"/>
        </w:rPr>
        <w:t xml:space="preserve">2.1 Background and Motivation</w:t>
      </w:r>
      <w:r w:rsidDel="00000000" w:rsidR="00000000" w:rsidRPr="00000000">
        <w:rPr>
          <w:rtl w:val="0"/>
        </w:rPr>
      </w:r>
    </w:p>
    <w:p w:rsidR="00000000" w:rsidDel="00000000" w:rsidP="00000000" w:rsidRDefault="00000000" w:rsidRPr="00000000" w14:paraId="0000000E">
      <w:pPr>
        <w:spacing w:after="160" w:before="0" w:lineRule="auto"/>
        <w:jc w:val="both"/>
        <w:rPr/>
      </w:pPr>
      <w:r w:rsidDel="00000000" w:rsidR="00000000" w:rsidRPr="00000000">
        <w:rPr>
          <w:rFonts w:ascii="Calibri" w:cs="Calibri" w:eastAsia="Calibri" w:hAnsi="Calibri"/>
          <w:color w:val="222222"/>
          <w:sz w:val="24"/>
          <w:szCs w:val="24"/>
          <w:rtl w:val="0"/>
        </w:rPr>
        <w:t xml:space="preserve">Healthcare systems worldwide face a paradox: despite unprecedented investment in medical technology, clinical decision-making remains error-prone, slow, and cognitively demanding. The landmark study by Singh et al. (2023) estimated that diagnostic errors affect nearly 12 million Americans annually, with approximately 795,000 resulting in serious harm or death. In the UK, the NHS Patient Safety Strategy (NHS England, 2022) identifies diagnostic error as one of the most significant preventable sources of patient harm.</w:t>
      </w:r>
      <w:r w:rsidDel="00000000" w:rsidR="00000000" w:rsidRPr="00000000">
        <w:rPr>
          <w:rtl w:val="0"/>
        </w:rPr>
      </w:r>
    </w:p>
    <w:p w:rsidR="00000000" w:rsidDel="00000000" w:rsidP="00000000" w:rsidRDefault="00000000" w:rsidRPr="00000000" w14:paraId="0000000F">
      <w:pPr>
        <w:spacing w:after="160" w:before="0" w:lineRule="auto"/>
        <w:jc w:val="both"/>
        <w:rPr/>
      </w:pPr>
      <w:r w:rsidDel="00000000" w:rsidR="00000000" w:rsidRPr="00000000">
        <w:rPr>
          <w:rFonts w:ascii="Calibri" w:cs="Calibri" w:eastAsia="Calibri" w:hAnsi="Calibri"/>
          <w:color w:val="222222"/>
          <w:sz w:val="24"/>
          <w:szCs w:val="24"/>
          <w:rtl w:val="0"/>
        </w:rPr>
        <w:t xml:space="preserve">The volume and complexity of clinical data available to modern clinicians has grown dramatically. A single acute care patient may generate hundreds of data points — laboratory results, imaging studies, medication records, nursing observations, and specialist consultations — across a single admission. The cognitive demand of synthesising these data while managing time pressure, emotional burden, and interruptions leads to what the BMJ (2022) characterises as decision fatigue, affecting an estimated 55% of clinicians surveyed. NHS Digital (2023) further found that clinicians spend an average of 2.4 hours per shift on manual data review tasks that add no direct patient care value.</w:t>
      </w:r>
      <w:r w:rsidDel="00000000" w:rsidR="00000000" w:rsidRPr="00000000">
        <w:rPr>
          <w:rtl w:val="0"/>
        </w:rPr>
      </w:r>
    </w:p>
    <w:p w:rsidR="00000000" w:rsidDel="00000000" w:rsidP="00000000" w:rsidRDefault="00000000" w:rsidRPr="00000000" w14:paraId="00000010">
      <w:pPr>
        <w:spacing w:after="160" w:before="0" w:lineRule="auto"/>
        <w:jc w:val="both"/>
        <w:rPr/>
      </w:pPr>
      <w:r w:rsidDel="00000000" w:rsidR="00000000" w:rsidRPr="00000000">
        <w:rPr>
          <w:rFonts w:ascii="Calibri" w:cs="Calibri" w:eastAsia="Calibri" w:hAnsi="Calibri"/>
          <w:color w:val="222222"/>
          <w:sz w:val="24"/>
          <w:szCs w:val="24"/>
          <w:rtl w:val="0"/>
        </w:rPr>
        <w:t xml:space="preserve">Artificial intelligence offers a compelling pathway to address these challenges. Multi-agent AI systems, in which autonomous software agents collaborate to decompose and solve complex multi-step tasks, have demonstrated strong performance in structured reasoning domains (Wooldridge, 2009; Wu et al., 2023). Applied to healthcare, such systems could automate the data synthesis burden, generate explainable clinical hypotheses, and support — rather than replace — clinician judgment. CareAgent is designed to realise this opportunity.</w:t>
      </w:r>
      <w:r w:rsidDel="00000000" w:rsidR="00000000" w:rsidRPr="00000000">
        <w:rPr>
          <w:rtl w:val="0"/>
        </w:rPr>
      </w:r>
    </w:p>
    <w:p w:rsidR="00000000" w:rsidDel="00000000" w:rsidP="00000000" w:rsidRDefault="00000000" w:rsidRPr="00000000" w14:paraId="00000011">
      <w:pPr>
        <w:pStyle w:val="Heading2"/>
        <w:spacing w:after="120" w:before="280" w:lineRule="auto"/>
        <w:rPr/>
      </w:pPr>
      <w:r w:rsidDel="00000000" w:rsidR="00000000" w:rsidRPr="00000000">
        <w:rPr>
          <w:rFonts w:ascii="Arial" w:cs="Arial" w:eastAsia="Arial" w:hAnsi="Arial"/>
          <w:b w:val="1"/>
          <w:bCs w:val="1"/>
          <w:color w:val="13315c"/>
          <w:sz w:val="26"/>
          <w:szCs w:val="26"/>
          <w:rtl w:val="0"/>
        </w:rPr>
        <w:t xml:space="preserve">2.2 Research Problem</w:t>
      </w:r>
      <w:r w:rsidDel="00000000" w:rsidR="00000000" w:rsidRPr="00000000">
        <w:rPr>
          <w:rtl w:val="0"/>
        </w:rPr>
      </w:r>
    </w:p>
    <w:p w:rsidR="00000000" w:rsidDel="00000000" w:rsidP="00000000" w:rsidRDefault="00000000" w:rsidRPr="00000000" w14:paraId="00000012">
      <w:pPr>
        <w:spacing w:after="160" w:before="0" w:lineRule="auto"/>
        <w:jc w:val="both"/>
        <w:rPr/>
      </w:pPr>
      <w:r w:rsidDel="00000000" w:rsidR="00000000" w:rsidRPr="00000000">
        <w:rPr>
          <w:rFonts w:ascii="Calibri" w:cs="Calibri" w:eastAsia="Calibri" w:hAnsi="Calibri"/>
          <w:color w:val="222222"/>
          <w:sz w:val="24"/>
          <w:szCs w:val="24"/>
          <w:rtl w:val="0"/>
        </w:rPr>
        <w:t xml:space="preserve">The core challenge this project addresses is: how can a multi-agent AI system autonomously synthesise heterogeneous clinical data, reason across medical knowledge bases, and deliver transparent, guideline-aligned decision support to clinicians in a way that improves diagnostic accuracy, reduces cognitive load, and preserves human accountability?</w:t>
      </w:r>
      <w:r w:rsidDel="00000000" w:rsidR="00000000" w:rsidRPr="00000000">
        <w:rPr>
          <w:rtl w:val="0"/>
        </w:rPr>
      </w:r>
    </w:p>
    <w:p w:rsidR="00000000" w:rsidDel="00000000" w:rsidP="00000000" w:rsidRDefault="00000000" w:rsidRPr="00000000" w14:paraId="00000013">
      <w:pPr>
        <w:pStyle w:val="Heading2"/>
        <w:spacing w:after="120" w:before="280" w:lineRule="auto"/>
        <w:rPr/>
      </w:pPr>
      <w:r w:rsidDel="00000000" w:rsidR="00000000" w:rsidRPr="00000000">
        <w:rPr>
          <w:rFonts w:ascii="Arial" w:cs="Arial" w:eastAsia="Arial" w:hAnsi="Arial"/>
          <w:b w:val="1"/>
          <w:bCs w:val="1"/>
          <w:color w:val="13315c"/>
          <w:sz w:val="26"/>
          <w:szCs w:val="26"/>
          <w:rtl w:val="0"/>
        </w:rPr>
        <w:t xml:space="preserve">2.3 Project Objectives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and implement a four-agent collaborative architecture for end-to-end clinical decision support.</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Integrate MIMIC-III patient data as a realistic clinical training and evaluation corpus.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Embed SHAP and counterfactual XAI techniques to ensure every recommendation is fully explainable.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Develop a Trust Calibration Engine that adapts confidence thresholds to individual clinician expertise.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Evaluate system performance against quantitative accuracy metrics and qualitative usability criteria.</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Demonstrate compliance with the EU AI Act, NHS AI Ethics Framework, and UK GDPR.</w:t>
      </w:r>
    </w:p>
    <w:p w:rsidR="00000000" w:rsidDel="00000000" w:rsidP="00000000" w:rsidRDefault="00000000" w:rsidRPr="00000000" w14:paraId="0000001A">
      <w:pPr>
        <w:spacing w:after="80" w:before="0" w:lineRule="auto"/>
        <w:rPr/>
      </w:pP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pBdr>
          <w:bottom w:color="3d9970" w:space="1" w:sz="6" w:val="single"/>
        </w:pBdr>
        <w:spacing w:after="200" w:before="400" w:lineRule="auto"/>
        <w:rPr/>
      </w:pPr>
      <w:r w:rsidDel="00000000" w:rsidR="00000000" w:rsidRPr="00000000">
        <w:rPr>
          <w:rFonts w:ascii="Arial" w:cs="Arial" w:eastAsia="Arial" w:hAnsi="Arial"/>
          <w:b w:val="1"/>
          <w:bCs w:val="1"/>
          <w:color w:val="0b2545"/>
          <w:sz w:val="32"/>
          <w:szCs w:val="32"/>
          <w:rtl w:val="0"/>
        </w:rPr>
        <w:t xml:space="preserve">3. Related Work</w:t>
      </w:r>
      <w:r w:rsidDel="00000000" w:rsidR="00000000" w:rsidRPr="00000000">
        <w:rPr>
          <w:rtl w:val="0"/>
        </w:rPr>
      </w:r>
    </w:p>
    <w:p w:rsidR="00000000" w:rsidDel="00000000" w:rsidP="00000000" w:rsidRDefault="00000000" w:rsidRPr="00000000" w14:paraId="0000001D">
      <w:pPr>
        <w:pStyle w:val="Heading2"/>
        <w:spacing w:after="120" w:before="280" w:lineRule="auto"/>
        <w:rPr/>
      </w:pPr>
      <w:r w:rsidDel="00000000" w:rsidR="00000000" w:rsidRPr="00000000">
        <w:rPr>
          <w:rFonts w:ascii="Arial" w:cs="Arial" w:eastAsia="Arial" w:hAnsi="Arial"/>
          <w:b w:val="1"/>
          <w:bCs w:val="1"/>
          <w:color w:val="13315c"/>
          <w:sz w:val="26"/>
          <w:szCs w:val="26"/>
          <w:rtl w:val="0"/>
        </w:rPr>
        <w:t xml:space="preserve">3.1 Clinical Decision Support Systems (CDSS)</w:t>
      </w:r>
      <w:r w:rsidDel="00000000" w:rsidR="00000000" w:rsidRPr="00000000">
        <w:rPr>
          <w:rtl w:val="0"/>
        </w:rPr>
      </w:r>
    </w:p>
    <w:p w:rsidR="00000000" w:rsidDel="00000000" w:rsidP="00000000" w:rsidRDefault="00000000" w:rsidRPr="00000000" w14:paraId="0000001E">
      <w:pPr>
        <w:spacing w:after="160" w:before="0" w:lineRule="auto"/>
        <w:jc w:val="both"/>
        <w:rPr/>
      </w:pPr>
      <w:r w:rsidDel="00000000" w:rsidR="00000000" w:rsidRPr="00000000">
        <w:rPr>
          <w:rFonts w:ascii="Calibri" w:cs="Calibri" w:eastAsia="Calibri" w:hAnsi="Calibri"/>
          <w:color w:val="222222"/>
          <w:sz w:val="24"/>
          <w:szCs w:val="24"/>
          <w:rtl w:val="0"/>
        </w:rPr>
        <w:t xml:space="preserve">Clinical Decision Support Systems have a long history in healthcare informatics, evolving from rule-based expert systems in the 1970s to machine learning-powered platforms today. Contemporary CDSS platforms such as Epic's CDS Hooks, Isabel DDx, and IBM Watson for Oncology represent significant technical achievements but share a common limitation: they function as isolated decision engines rather than coordinated multi-step reasoning pipelines. Berner (2009) identified this 'silo problem' — CDSS tools that excel in one domain frequently fail to integrate insights across diagnostic, therapeutic, and communication sub-tasks. CareAgent is specifically designed to overcome this through its orchestrated multi-agent architecture.</w:t>
      </w:r>
      <w:r w:rsidDel="00000000" w:rsidR="00000000" w:rsidRPr="00000000">
        <w:rPr>
          <w:rtl w:val="0"/>
        </w:rPr>
      </w:r>
    </w:p>
    <w:p w:rsidR="00000000" w:rsidDel="00000000" w:rsidP="00000000" w:rsidRDefault="00000000" w:rsidRPr="00000000" w14:paraId="0000001F">
      <w:pPr>
        <w:spacing w:after="160" w:before="0" w:lineRule="auto"/>
        <w:jc w:val="both"/>
        <w:rPr/>
      </w:pPr>
      <w:r w:rsidDel="00000000" w:rsidR="00000000" w:rsidRPr="00000000">
        <w:rPr>
          <w:rFonts w:ascii="Calibri" w:cs="Calibri" w:eastAsia="Calibri" w:hAnsi="Calibri"/>
          <w:color w:val="222222"/>
          <w:sz w:val="24"/>
          <w:szCs w:val="24"/>
          <w:rtl w:val="0"/>
        </w:rPr>
        <w:t xml:space="preserve">The landmark NEJM Catalyst study by Obermeyer et al. (2019) demonstrated that commercial clinical AI algorithms embedded unintentional racial bias, producing systematically worse recommendations for Black patients. This finding has made bias auditing and fairness evaluation a mandatory component of responsible CDSS design — a requirement that CareAgent addresses through regular demographic sub-group performance monitoring against the MIMIC-III cohort.</w:t>
      </w:r>
      <w:r w:rsidDel="00000000" w:rsidR="00000000" w:rsidRPr="00000000">
        <w:rPr>
          <w:rtl w:val="0"/>
        </w:rPr>
      </w:r>
    </w:p>
    <w:p w:rsidR="00000000" w:rsidDel="00000000" w:rsidP="00000000" w:rsidRDefault="00000000" w:rsidRPr="00000000" w14:paraId="00000020">
      <w:pPr>
        <w:pStyle w:val="Heading2"/>
        <w:spacing w:after="120" w:before="280" w:lineRule="auto"/>
        <w:rPr/>
      </w:pPr>
      <w:r w:rsidDel="00000000" w:rsidR="00000000" w:rsidRPr="00000000">
        <w:rPr>
          <w:rFonts w:ascii="Arial" w:cs="Arial" w:eastAsia="Arial" w:hAnsi="Arial"/>
          <w:b w:val="1"/>
          <w:bCs w:val="1"/>
          <w:color w:val="13315c"/>
          <w:sz w:val="26"/>
          <w:szCs w:val="26"/>
          <w:rtl w:val="0"/>
        </w:rPr>
        <w:t xml:space="preserve">3.2 Multi-Agent AI Systems in Healthcare</w:t>
      </w:r>
      <w:r w:rsidDel="00000000" w:rsidR="00000000" w:rsidRPr="00000000">
        <w:rPr>
          <w:rtl w:val="0"/>
        </w:rPr>
      </w:r>
    </w:p>
    <w:p w:rsidR="00000000" w:rsidDel="00000000" w:rsidP="00000000" w:rsidRDefault="00000000" w:rsidRPr="00000000" w14:paraId="00000021">
      <w:pPr>
        <w:spacing w:after="160" w:before="0" w:lineRule="auto"/>
        <w:jc w:val="both"/>
        <w:rPr/>
      </w:pPr>
      <w:r w:rsidDel="00000000" w:rsidR="00000000" w:rsidRPr="00000000">
        <w:rPr>
          <w:rFonts w:ascii="Calibri" w:cs="Calibri" w:eastAsia="Calibri" w:hAnsi="Calibri"/>
          <w:color w:val="222222"/>
          <w:sz w:val="24"/>
          <w:szCs w:val="24"/>
          <w:rtl w:val="0"/>
        </w:rPr>
        <w:t xml:space="preserve">The application of multi-agent systems (MAS) to healthcare is an active research frontier. Raza and Ruvinova (2023) demonstrated a MAS approach for hospital resource allocation in which agents representing different clinical departments negotiated bed assignments and staffing priorities, achieving a 23% reduction in patient waiting times in simulation. Liang et al. (2023) applied LLM-based agents to clinical note summarisation, showing that chain-of-thought reasoning significantly improved summarisation accuracy over single-model baselines. CareAgent builds directly on these foundations, extending the agent paradigm to cover the full clinical decision pathway from data ingestion to explanation delivery.</w:t>
      </w:r>
      <w:r w:rsidDel="00000000" w:rsidR="00000000" w:rsidRPr="00000000">
        <w:rPr>
          <w:rtl w:val="0"/>
        </w:rPr>
      </w:r>
    </w:p>
    <w:p w:rsidR="00000000" w:rsidDel="00000000" w:rsidP="00000000" w:rsidRDefault="00000000" w:rsidRPr="00000000" w14:paraId="00000022">
      <w:pPr>
        <w:spacing w:after="160" w:before="0" w:lineRule="auto"/>
        <w:jc w:val="both"/>
        <w:rPr/>
      </w:pPr>
      <w:r w:rsidDel="00000000" w:rsidR="00000000" w:rsidRPr="00000000">
        <w:rPr>
          <w:rFonts w:ascii="Calibri" w:cs="Calibri" w:eastAsia="Calibri" w:hAnsi="Calibri"/>
          <w:color w:val="222222"/>
          <w:sz w:val="24"/>
          <w:szCs w:val="24"/>
          <w:rtl w:val="0"/>
        </w:rPr>
        <w:t xml:space="preserve">The rapid emergence of large language model (LLM) agent frameworks — notably LangChain (Chase, 2022), AutoGen (Wu et al., 2023), and CrewAI (Moura, 2024) — has substantially lowered the technical barrier to deploying capable multi-agent systems. These frameworks provide memory management, tool routing, and inter-agent communication primitives that CareAgent leverages for its orchestration layer.</w:t>
      </w:r>
      <w:r w:rsidDel="00000000" w:rsidR="00000000" w:rsidRPr="00000000">
        <w:rPr>
          <w:rtl w:val="0"/>
        </w:rPr>
      </w:r>
    </w:p>
    <w:p w:rsidR="00000000" w:rsidDel="00000000" w:rsidP="00000000" w:rsidRDefault="00000000" w:rsidRPr="00000000" w14:paraId="00000023">
      <w:pPr>
        <w:pStyle w:val="Heading2"/>
        <w:spacing w:after="120" w:before="280" w:lineRule="auto"/>
        <w:rPr/>
      </w:pPr>
      <w:r w:rsidDel="00000000" w:rsidR="00000000" w:rsidRPr="00000000">
        <w:rPr>
          <w:rFonts w:ascii="Arial" w:cs="Arial" w:eastAsia="Arial" w:hAnsi="Arial"/>
          <w:b w:val="1"/>
          <w:bCs w:val="1"/>
          <w:color w:val="13315c"/>
          <w:sz w:val="26"/>
          <w:szCs w:val="26"/>
          <w:rtl w:val="0"/>
        </w:rPr>
        <w:t xml:space="preserve">3.3 Explainability in Clinical AI</w:t>
      </w:r>
      <w:r w:rsidDel="00000000" w:rsidR="00000000" w:rsidRPr="00000000">
        <w:rPr>
          <w:rtl w:val="0"/>
        </w:rPr>
      </w:r>
    </w:p>
    <w:p w:rsidR="00000000" w:rsidDel="00000000" w:rsidP="00000000" w:rsidRDefault="00000000" w:rsidRPr="00000000" w14:paraId="00000024">
      <w:pPr>
        <w:spacing w:after="160" w:before="0" w:lineRule="auto"/>
        <w:jc w:val="both"/>
        <w:rPr/>
      </w:pPr>
      <w:r w:rsidDel="00000000" w:rsidR="00000000" w:rsidRPr="00000000">
        <w:rPr>
          <w:rFonts w:ascii="Calibri" w:cs="Calibri" w:eastAsia="Calibri" w:hAnsi="Calibri"/>
          <w:color w:val="222222"/>
          <w:sz w:val="24"/>
          <w:szCs w:val="24"/>
          <w:rtl w:val="0"/>
        </w:rPr>
        <w:t xml:space="preserve">The imperative for explainable AI in clinical settings is well-established. Sendak et al. (2020) found that clinicians were significantly more likely to act on AI recommendations when accompanied by interpretable rationale, even when accuracy was equivalent to unexplained recommendations. Kelly et al. (2019) argue that the clinical utility of AI is fundamentally determined not by raw performance metrics but by whether clinicians can appropriately calibrate their trust — an outcome that depends directly on the quality of explanations provided.</w:t>
      </w:r>
      <w:r w:rsidDel="00000000" w:rsidR="00000000" w:rsidRPr="00000000">
        <w:rPr>
          <w:rtl w:val="0"/>
        </w:rPr>
      </w:r>
    </w:p>
    <w:p w:rsidR="00000000" w:rsidDel="00000000" w:rsidP="00000000" w:rsidRDefault="00000000" w:rsidRPr="00000000" w14:paraId="00000025">
      <w:pPr>
        <w:spacing w:after="160" w:before="0" w:lineRule="auto"/>
        <w:jc w:val="both"/>
        <w:rPr/>
      </w:pPr>
      <w:r w:rsidDel="00000000" w:rsidR="00000000" w:rsidRPr="00000000">
        <w:rPr>
          <w:rFonts w:ascii="Calibri" w:cs="Calibri" w:eastAsia="Calibri" w:hAnsi="Calibri"/>
          <w:color w:val="222222"/>
          <w:sz w:val="24"/>
          <w:szCs w:val="24"/>
          <w:rtl w:val="0"/>
        </w:rPr>
        <w:t xml:space="preserve">SHAP (SHapley Additive exPlanations; Lundberg and Lee, 2017) has emerged as the de facto standard for feature attribution in clinical AI, owing to its theoretical grounding in cooperative game theory and its ability to produce both local (per-prediction) and global (model-wide) explanations. CareAgent embeds SHAP into its Clinician Liaison Agent, enabling it to present statements of the form 'Elevated troponin (weight: 0.42) is the primary driver of this recommendation, followed by ST-elevation on ECG (weight: 0.31).' This approach directly addresses the trust calibration objective identified by Kelly et al. (2019) and Rajpurkar et al. (2022).</w:t>
      </w:r>
      <w:r w:rsidDel="00000000" w:rsidR="00000000" w:rsidRPr="00000000">
        <w:rPr>
          <w:rtl w:val="0"/>
        </w:rPr>
      </w:r>
    </w:p>
    <w:p w:rsidR="00000000" w:rsidDel="00000000" w:rsidP="00000000" w:rsidRDefault="00000000" w:rsidRPr="00000000" w14:paraId="00000026">
      <w:pPr>
        <w:spacing w:after="80" w:before="0" w:lineRule="auto"/>
        <w:rPr/>
      </w:pP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pBdr>
          <w:bottom w:color="3d9970" w:space="1" w:sz="6" w:val="single"/>
        </w:pBdr>
        <w:spacing w:after="200" w:before="400" w:lineRule="auto"/>
        <w:rPr/>
      </w:pPr>
      <w:r w:rsidDel="00000000" w:rsidR="00000000" w:rsidRPr="00000000">
        <w:rPr>
          <w:rFonts w:ascii="Arial" w:cs="Arial" w:eastAsia="Arial" w:hAnsi="Arial"/>
          <w:b w:val="1"/>
          <w:bCs w:val="1"/>
          <w:color w:val="0b2545"/>
          <w:sz w:val="32"/>
          <w:szCs w:val="32"/>
          <w:rtl w:val="0"/>
        </w:rPr>
        <w:t xml:space="preserve">4. System Design &amp; Architecture</w:t>
      </w:r>
      <w:r w:rsidDel="00000000" w:rsidR="00000000" w:rsidRPr="00000000">
        <w:rPr>
          <w:rtl w:val="0"/>
        </w:rPr>
      </w:r>
    </w:p>
    <w:p w:rsidR="00000000" w:rsidDel="00000000" w:rsidP="00000000" w:rsidRDefault="00000000" w:rsidRPr="00000000" w14:paraId="00000029">
      <w:pPr>
        <w:pStyle w:val="Heading2"/>
        <w:spacing w:after="120" w:before="280" w:lineRule="auto"/>
        <w:rPr/>
      </w:pPr>
      <w:r w:rsidDel="00000000" w:rsidR="00000000" w:rsidRPr="00000000">
        <w:rPr>
          <w:rFonts w:ascii="Arial" w:cs="Arial" w:eastAsia="Arial" w:hAnsi="Arial"/>
          <w:b w:val="1"/>
          <w:bCs w:val="1"/>
          <w:color w:val="13315c"/>
          <w:sz w:val="26"/>
          <w:szCs w:val="26"/>
          <w:rtl w:val="0"/>
        </w:rPr>
        <w:t xml:space="preserve">4.1 Design Philosophy</w:t>
      </w:r>
      <w:r w:rsidDel="00000000" w:rsidR="00000000" w:rsidRPr="00000000">
        <w:rPr>
          <w:rtl w:val="0"/>
        </w:rPr>
      </w:r>
    </w:p>
    <w:p w:rsidR="00000000" w:rsidDel="00000000" w:rsidP="00000000" w:rsidRDefault="00000000" w:rsidRPr="00000000" w14:paraId="0000002A">
      <w:pPr>
        <w:spacing w:after="160" w:before="0" w:lineRule="auto"/>
        <w:jc w:val="both"/>
        <w:rPr/>
      </w:pPr>
      <w:r w:rsidDel="00000000" w:rsidR="00000000" w:rsidRPr="00000000">
        <w:rPr>
          <w:rFonts w:ascii="Calibri" w:cs="Calibri" w:eastAsia="Calibri" w:hAnsi="Calibri"/>
          <w:color w:val="222222"/>
          <w:sz w:val="24"/>
          <w:szCs w:val="24"/>
          <w:rtl w:val="0"/>
        </w:rPr>
        <w:t xml:space="preserve">CareAgent is designed according to three overarching principles. First, explainability-first: every agent output includes a structured justification that can be traced to specific input features, clinical guidelines, or reasoning steps. Second, human-in-the-loop by design: no clinical recommendation is acted upon without explicit clinician approval, and the system's role is strictly advisory. Third, adaptive trust: the system monitors clinician interactions over time and adjusts its confidence signalling to match individual expertise levels, preventing both over-reliance and under-utilisation.</w:t>
      </w:r>
      <w:r w:rsidDel="00000000" w:rsidR="00000000" w:rsidRPr="00000000">
        <w:rPr>
          <w:rtl w:val="0"/>
        </w:rPr>
      </w:r>
    </w:p>
    <w:p w:rsidR="00000000" w:rsidDel="00000000" w:rsidP="00000000" w:rsidRDefault="00000000" w:rsidRPr="00000000" w14:paraId="0000002B">
      <w:pPr>
        <w:spacing w:after="160" w:before="0" w:lineRule="auto"/>
        <w:jc w:val="both"/>
        <w:rPr/>
      </w:pPr>
      <w:r w:rsidDel="00000000" w:rsidR="00000000" w:rsidRPr="00000000">
        <w:rPr>
          <w:rFonts w:ascii="Calibri" w:cs="Calibri" w:eastAsia="Calibri" w:hAnsi="Calibri"/>
          <w:color w:val="222222"/>
          <w:sz w:val="24"/>
          <w:szCs w:val="24"/>
          <w:rtl w:val="0"/>
        </w:rPr>
        <w:t xml:space="preserve">The architecture is grounded in Hevner et al.'s (2004) Design Science Research (DSR) framework, which requires that designed artefacts be evaluated against both utility (does it solve the problem?) and rigour (is it theoretically grounded?). CareAgent satisfies both criteria: utility through its MIMIC-III evaluation, and rigour through its embedding of Dual-Process Theory (Croskerry, 2002), which distinguishes between fast, heuristic clinical thinking (System 1) and slow, analytical reasoning (System 2). The agents are designed to support both modes.</w:t>
      </w:r>
      <w:r w:rsidDel="00000000" w:rsidR="00000000" w:rsidRPr="00000000">
        <w:rPr>
          <w:rtl w:val="0"/>
        </w:rPr>
      </w:r>
    </w:p>
    <w:p w:rsidR="00000000" w:rsidDel="00000000" w:rsidP="00000000" w:rsidRDefault="00000000" w:rsidRPr="00000000" w14:paraId="0000002C">
      <w:pPr>
        <w:pStyle w:val="Heading2"/>
        <w:spacing w:after="120" w:before="280" w:lineRule="auto"/>
        <w:rPr/>
      </w:pPr>
      <w:r w:rsidDel="00000000" w:rsidR="00000000" w:rsidRPr="00000000">
        <w:rPr>
          <w:rFonts w:ascii="Arial" w:cs="Arial" w:eastAsia="Arial" w:hAnsi="Arial"/>
          <w:b w:val="1"/>
          <w:bCs w:val="1"/>
          <w:color w:val="13315c"/>
          <w:sz w:val="26"/>
          <w:szCs w:val="26"/>
          <w:rtl w:val="0"/>
        </w:rPr>
        <w:t xml:space="preserve">4.2 Agent Specifications</w:t>
      </w:r>
      <w:r w:rsidDel="00000000" w:rsidR="00000000" w:rsidRPr="00000000">
        <w:rPr>
          <w:rtl w:val="0"/>
        </w:rPr>
      </w:r>
    </w:p>
    <w:p w:rsidR="00000000" w:rsidDel="00000000" w:rsidP="00000000" w:rsidRDefault="00000000" w:rsidRPr="00000000" w14:paraId="0000002D">
      <w:pPr>
        <w:spacing w:after="80" w:before="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900"/>
        <w:gridCol w:w="2400"/>
        <w:gridCol w:w="2526"/>
        <w:tblGridChange w:id="0">
          <w:tblGrid>
            <w:gridCol w:w="2200"/>
            <w:gridCol w:w="1900"/>
            <w:gridCol w:w="2400"/>
            <w:gridCol w:w="25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80.0" w:type="dxa"/>
              <w:left w:w="120.0" w:type="dxa"/>
              <w:bottom w:w="80.0" w:type="dxa"/>
              <w:right w:w="120.0" w:type="dxa"/>
            </w:tcMar>
            <w:vAlign w:val="center"/>
          </w:tcPr>
          <w:p w:rsidR="00000000" w:rsidDel="00000000" w:rsidP="00000000" w:rsidRDefault="00000000" w:rsidRPr="00000000" w14:paraId="0000002E">
            <w:pPr>
              <w:rPr/>
            </w:pPr>
            <w:r w:rsidDel="00000000" w:rsidR="00000000" w:rsidRPr="00000000">
              <w:rPr>
                <w:rFonts w:ascii="Arial" w:cs="Arial" w:eastAsia="Arial" w:hAnsi="Arial"/>
                <w:b w:val="1"/>
                <w:bCs w:val="1"/>
                <w:color w:val="ffffff"/>
                <w:sz w:val="22"/>
                <w:szCs w:val="22"/>
                <w:rtl w:val="0"/>
              </w:rPr>
              <w:t xml:space="preserve">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80.0" w:type="dxa"/>
              <w:left w:w="120.0" w:type="dxa"/>
              <w:bottom w:w="80.0" w:type="dxa"/>
              <w:right w:w="120.0" w:type="dxa"/>
            </w:tcMar>
            <w:vAlign w:val="center"/>
          </w:tcPr>
          <w:p w:rsidR="00000000" w:rsidDel="00000000" w:rsidP="00000000" w:rsidRDefault="00000000" w:rsidRPr="00000000" w14:paraId="0000002F">
            <w:pPr>
              <w:rPr/>
            </w:pPr>
            <w:r w:rsidDel="00000000" w:rsidR="00000000" w:rsidRPr="00000000">
              <w:rPr>
                <w:rFonts w:ascii="Arial" w:cs="Arial" w:eastAsia="Arial" w:hAnsi="Arial"/>
                <w:b w:val="1"/>
                <w:bCs w:val="1"/>
                <w:color w:val="ffffff"/>
                <w:sz w:val="22"/>
                <w:szCs w:val="22"/>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80.0" w:type="dxa"/>
              <w:left w:w="120.0" w:type="dxa"/>
              <w:bottom w:w="80.0" w:type="dxa"/>
              <w:right w:w="120.0" w:type="dxa"/>
            </w:tcMar>
            <w:vAlign w:val="center"/>
          </w:tcPr>
          <w:p w:rsidR="00000000" w:rsidDel="00000000" w:rsidP="00000000" w:rsidRDefault="00000000" w:rsidRPr="00000000" w14:paraId="00000030">
            <w:pPr>
              <w:rPr/>
            </w:pPr>
            <w:r w:rsidDel="00000000" w:rsidR="00000000" w:rsidRPr="00000000">
              <w:rPr>
                <w:rFonts w:ascii="Arial" w:cs="Arial" w:eastAsia="Arial" w:hAnsi="Arial"/>
                <w:b w:val="1"/>
                <w:bCs w:val="1"/>
                <w:color w:val="ffffff"/>
                <w:sz w:val="22"/>
                <w:szCs w:val="22"/>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80.0" w:type="dxa"/>
              <w:left w:w="120.0" w:type="dxa"/>
              <w:bottom w:w="80.0" w:type="dxa"/>
              <w:right w:w="120.0" w:type="dxa"/>
            </w:tcMar>
            <w:vAlign w:val="center"/>
          </w:tcPr>
          <w:p w:rsidR="00000000" w:rsidDel="00000000" w:rsidP="00000000" w:rsidRDefault="00000000" w:rsidRPr="00000000" w14:paraId="00000031">
            <w:pPr>
              <w:rPr/>
            </w:pPr>
            <w:r w:rsidDel="00000000" w:rsidR="00000000" w:rsidRPr="00000000">
              <w:rPr>
                <w:rFonts w:ascii="Arial" w:cs="Arial" w:eastAsia="Arial" w:hAnsi="Arial"/>
                <w:b w:val="1"/>
                <w:bCs w:val="1"/>
                <w:color w:val="ffffff"/>
                <w:sz w:val="22"/>
                <w:szCs w:val="22"/>
                <w:rtl w:val="0"/>
              </w:rPr>
              <w:t xml:space="preserve">Technology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vAlign w:val="center"/>
          </w:tcPr>
          <w:p w:rsidR="00000000" w:rsidDel="00000000" w:rsidP="00000000" w:rsidRDefault="00000000" w:rsidRPr="00000000" w14:paraId="00000032">
            <w:pPr>
              <w:rPr/>
            </w:pPr>
            <w:r w:rsidDel="00000000" w:rsidR="00000000" w:rsidRPr="00000000">
              <w:rPr>
                <w:rFonts w:ascii="Calibri" w:cs="Calibri" w:eastAsia="Calibri" w:hAnsi="Calibri"/>
                <w:b w:val="1"/>
                <w:bCs w:val="1"/>
                <w:color w:val="0b2545"/>
                <w:sz w:val="22"/>
                <w:szCs w:val="22"/>
                <w:rtl w:val="0"/>
              </w:rPr>
              <w:t xml:space="preserve">Orchestrator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3">
            <w:pPr>
              <w:rPr/>
            </w:pPr>
            <w:r w:rsidDel="00000000" w:rsidR="00000000" w:rsidRPr="00000000">
              <w:rPr>
                <w:rFonts w:ascii="Calibri" w:cs="Calibri" w:eastAsia="Calibri" w:hAnsi="Calibri"/>
                <w:b w:val="0"/>
                <w:bCs w:val="0"/>
                <w:color w:val="222222"/>
                <w:sz w:val="22"/>
                <w:szCs w:val="22"/>
                <w:rtl w:val="0"/>
              </w:rPr>
              <w:t xml:space="preserve">User query, task queue, agent outputs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4">
            <w:pPr>
              <w:rPr/>
            </w:pPr>
            <w:r w:rsidDel="00000000" w:rsidR="00000000" w:rsidRPr="00000000">
              <w:rPr>
                <w:rFonts w:ascii="Calibri" w:cs="Calibri" w:eastAsia="Calibri" w:hAnsi="Calibri"/>
                <w:b w:val="0"/>
                <w:bCs w:val="0"/>
                <w:color w:val="222222"/>
                <w:sz w:val="22"/>
                <w:szCs w:val="22"/>
                <w:rtl w:val="0"/>
              </w:rPr>
              <w:t xml:space="preserve">Coordinated workflow, error handling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5">
            <w:pPr>
              <w:rPr/>
            </w:pPr>
            <w:r w:rsidDel="00000000" w:rsidR="00000000" w:rsidRPr="00000000">
              <w:rPr>
                <w:rFonts w:ascii="Calibri" w:cs="Calibri" w:eastAsia="Calibri" w:hAnsi="Calibri"/>
                <w:b w:val="0"/>
                <w:bCs w:val="0"/>
                <w:color w:val="222222"/>
                <w:sz w:val="22"/>
                <w:szCs w:val="22"/>
                <w:rtl w:val="0"/>
              </w:rPr>
              <w:t xml:space="preserve">LangChain + Python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a" w:val="clear"/>
            <w:tcMar>
              <w:top w:w="80.0" w:type="dxa"/>
              <w:left w:w="120.0" w:type="dxa"/>
              <w:bottom w:w="80.0" w:type="dxa"/>
              <w:right w:w="120.0" w:type="dxa"/>
            </w:tcMar>
            <w:vAlign w:val="center"/>
          </w:tcPr>
          <w:p w:rsidR="00000000" w:rsidDel="00000000" w:rsidP="00000000" w:rsidRDefault="00000000" w:rsidRPr="00000000" w14:paraId="00000036">
            <w:pPr>
              <w:rPr/>
            </w:pPr>
            <w:r w:rsidDel="00000000" w:rsidR="00000000" w:rsidRPr="00000000">
              <w:rPr>
                <w:rFonts w:ascii="Calibri" w:cs="Calibri" w:eastAsia="Calibri" w:hAnsi="Calibri"/>
                <w:b w:val="1"/>
                <w:bCs w:val="1"/>
                <w:color w:val="0b2545"/>
                <w:sz w:val="22"/>
                <w:szCs w:val="22"/>
                <w:rtl w:val="0"/>
              </w:rPr>
              <w:t xml:space="preserve">Patient Intake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a" w:val="clear"/>
            <w:tcMar>
              <w:top w:w="80.0" w:type="dxa"/>
              <w:left w:w="120.0" w:type="dxa"/>
              <w:bottom w:w="80.0" w:type="dxa"/>
              <w:right w:w="120.0" w:type="dxa"/>
            </w:tcMar>
            <w:vAlign w:val="center"/>
          </w:tcPr>
          <w:p w:rsidR="00000000" w:rsidDel="00000000" w:rsidP="00000000" w:rsidRDefault="00000000" w:rsidRPr="00000000" w14:paraId="00000037">
            <w:pPr>
              <w:rPr/>
            </w:pPr>
            <w:r w:rsidDel="00000000" w:rsidR="00000000" w:rsidRPr="00000000">
              <w:rPr>
                <w:rFonts w:ascii="Calibri" w:cs="Calibri" w:eastAsia="Calibri" w:hAnsi="Calibri"/>
                <w:b w:val="0"/>
                <w:bCs w:val="0"/>
                <w:color w:val="222222"/>
                <w:sz w:val="22"/>
                <w:szCs w:val="22"/>
                <w:rtl w:val="0"/>
              </w:rPr>
              <w:t xml:space="preserve">Patient ID, EHR record (FHIR 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a" w:val="clear"/>
            <w:tcMar>
              <w:top w:w="80.0" w:type="dxa"/>
              <w:left w:w="120.0" w:type="dxa"/>
              <w:bottom w:w="80.0" w:type="dxa"/>
              <w:right w:w="120.0" w:type="dxa"/>
            </w:tcMar>
            <w:vAlign w:val="center"/>
          </w:tcPr>
          <w:p w:rsidR="00000000" w:rsidDel="00000000" w:rsidP="00000000" w:rsidRDefault="00000000" w:rsidRPr="00000000" w14:paraId="00000038">
            <w:pPr>
              <w:rPr/>
            </w:pPr>
            <w:r w:rsidDel="00000000" w:rsidR="00000000" w:rsidRPr="00000000">
              <w:rPr>
                <w:rFonts w:ascii="Calibri" w:cs="Calibri" w:eastAsia="Calibri" w:hAnsi="Calibri"/>
                <w:b w:val="0"/>
                <w:bCs w:val="0"/>
                <w:color w:val="222222"/>
                <w:sz w:val="22"/>
                <w:szCs w:val="22"/>
                <w:rtl w:val="0"/>
              </w:rPr>
              <w:t xml:space="preserve">Structured patient summary, flag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a" w:val="clear"/>
            <w:tcMar>
              <w:top w:w="80.0" w:type="dxa"/>
              <w:left w:w="120.0" w:type="dxa"/>
              <w:bottom w:w="80.0" w:type="dxa"/>
              <w:right w:w="120.0" w:type="dxa"/>
            </w:tcMar>
            <w:vAlign w:val="center"/>
          </w:tcPr>
          <w:p w:rsidR="00000000" w:rsidDel="00000000" w:rsidP="00000000" w:rsidRDefault="00000000" w:rsidRPr="00000000" w14:paraId="00000039">
            <w:pPr>
              <w:rPr/>
            </w:pPr>
            <w:r w:rsidDel="00000000" w:rsidR="00000000" w:rsidRPr="00000000">
              <w:rPr>
                <w:rFonts w:ascii="Calibri" w:cs="Calibri" w:eastAsia="Calibri" w:hAnsi="Calibri"/>
                <w:b w:val="0"/>
                <w:bCs w:val="0"/>
                <w:color w:val="222222"/>
                <w:sz w:val="22"/>
                <w:szCs w:val="22"/>
                <w:rtl w:val="0"/>
              </w:rPr>
              <w:t xml:space="preserve">MIMIC-III API + NLP pipeline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vAlign w:val="center"/>
          </w:tcPr>
          <w:p w:rsidR="00000000" w:rsidDel="00000000" w:rsidP="00000000" w:rsidRDefault="00000000" w:rsidRPr="00000000" w14:paraId="0000003A">
            <w:pPr>
              <w:rPr/>
            </w:pPr>
            <w:r w:rsidDel="00000000" w:rsidR="00000000" w:rsidRPr="00000000">
              <w:rPr>
                <w:rFonts w:ascii="Calibri" w:cs="Calibri" w:eastAsia="Calibri" w:hAnsi="Calibri"/>
                <w:b w:val="1"/>
                <w:bCs w:val="1"/>
                <w:color w:val="0b2545"/>
                <w:sz w:val="22"/>
                <w:szCs w:val="22"/>
                <w:rtl w:val="0"/>
              </w:rPr>
              <w:t xml:space="preserve">Diagnostic Reasoning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B">
            <w:pPr>
              <w:rPr/>
            </w:pPr>
            <w:r w:rsidDel="00000000" w:rsidR="00000000" w:rsidRPr="00000000">
              <w:rPr>
                <w:rFonts w:ascii="Calibri" w:cs="Calibri" w:eastAsia="Calibri" w:hAnsi="Calibri"/>
                <w:b w:val="0"/>
                <w:bCs w:val="0"/>
                <w:color w:val="222222"/>
                <w:sz w:val="22"/>
                <w:szCs w:val="22"/>
                <w:rtl w:val="0"/>
              </w:rPr>
              <w:t xml:space="preserve">Patient summary, symptom flags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C">
            <w:pPr>
              <w:rPr/>
            </w:pPr>
            <w:r w:rsidDel="00000000" w:rsidR="00000000" w:rsidRPr="00000000">
              <w:rPr>
                <w:rFonts w:ascii="Calibri" w:cs="Calibri" w:eastAsia="Calibri" w:hAnsi="Calibri"/>
                <w:b w:val="0"/>
                <w:bCs w:val="0"/>
                <w:color w:val="222222"/>
                <w:sz w:val="22"/>
                <w:szCs w:val="22"/>
                <w:rtl w:val="0"/>
              </w:rPr>
              <w:t xml:space="preserve">Ranked differential diagnosis with SHAP scores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D">
            <w:pPr>
              <w:rPr/>
            </w:pPr>
            <w:r w:rsidDel="00000000" w:rsidR="00000000" w:rsidRPr="00000000">
              <w:rPr>
                <w:rFonts w:ascii="Calibri" w:cs="Calibri" w:eastAsia="Calibri" w:hAnsi="Calibri"/>
                <w:b w:val="0"/>
                <w:bCs w:val="0"/>
                <w:color w:val="222222"/>
                <w:sz w:val="22"/>
                <w:szCs w:val="22"/>
                <w:rtl w:val="0"/>
              </w:rPr>
              <w:t xml:space="preserve">Claude API + SHAP + LIME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afa" w:val="clear"/>
            <w:tcMar>
              <w:top w:w="80.0" w:type="dxa"/>
              <w:left w:w="120.0" w:type="dxa"/>
              <w:bottom w:w="80.0" w:type="dxa"/>
              <w:right w:w="120.0" w:type="dxa"/>
            </w:tcMar>
            <w:vAlign w:val="center"/>
          </w:tcPr>
          <w:p w:rsidR="00000000" w:rsidDel="00000000" w:rsidP="00000000" w:rsidRDefault="00000000" w:rsidRPr="00000000" w14:paraId="0000003E">
            <w:pPr>
              <w:rPr/>
            </w:pPr>
            <w:r w:rsidDel="00000000" w:rsidR="00000000" w:rsidRPr="00000000">
              <w:rPr>
                <w:rFonts w:ascii="Calibri" w:cs="Calibri" w:eastAsia="Calibri" w:hAnsi="Calibri"/>
                <w:b w:val="1"/>
                <w:bCs w:val="1"/>
                <w:color w:val="0b2545"/>
                <w:sz w:val="22"/>
                <w:szCs w:val="22"/>
                <w:rtl w:val="0"/>
              </w:rPr>
              <w:t xml:space="preserve">Treatment Planner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a" w:val="clear"/>
            <w:tcMar>
              <w:top w:w="80.0" w:type="dxa"/>
              <w:left w:w="120.0" w:type="dxa"/>
              <w:bottom w:w="80.0" w:type="dxa"/>
              <w:right w:w="120.0" w:type="dxa"/>
            </w:tcMar>
            <w:vAlign w:val="center"/>
          </w:tcPr>
          <w:p w:rsidR="00000000" w:rsidDel="00000000" w:rsidP="00000000" w:rsidRDefault="00000000" w:rsidRPr="00000000" w14:paraId="0000003F">
            <w:pPr>
              <w:rPr/>
            </w:pPr>
            <w:r w:rsidDel="00000000" w:rsidR="00000000" w:rsidRPr="00000000">
              <w:rPr>
                <w:rFonts w:ascii="Calibri" w:cs="Calibri" w:eastAsia="Calibri" w:hAnsi="Calibri"/>
                <w:b w:val="0"/>
                <w:bCs w:val="0"/>
                <w:color w:val="222222"/>
                <w:sz w:val="22"/>
                <w:szCs w:val="22"/>
                <w:rtl w:val="0"/>
              </w:rPr>
              <w:t xml:space="preserve">Top differential diagnosis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a" w:val="clear"/>
            <w:tcMar>
              <w:top w:w="80.0" w:type="dxa"/>
              <w:left w:w="120.0" w:type="dxa"/>
              <w:bottom w:w="80.0" w:type="dxa"/>
              <w:right w:w="120.0" w:type="dxa"/>
            </w:tcMar>
            <w:vAlign w:val="center"/>
          </w:tcPr>
          <w:p w:rsidR="00000000" w:rsidDel="00000000" w:rsidP="00000000" w:rsidRDefault="00000000" w:rsidRPr="00000000" w14:paraId="00000040">
            <w:pPr>
              <w:rPr/>
            </w:pPr>
            <w:r w:rsidDel="00000000" w:rsidR="00000000" w:rsidRPr="00000000">
              <w:rPr>
                <w:rFonts w:ascii="Calibri" w:cs="Calibri" w:eastAsia="Calibri" w:hAnsi="Calibri"/>
                <w:b w:val="0"/>
                <w:bCs w:val="0"/>
                <w:color w:val="222222"/>
                <w:sz w:val="22"/>
                <w:szCs w:val="22"/>
                <w:rtl w:val="0"/>
              </w:rPr>
              <w:t xml:space="preserve">Personalised care pathway with guideline references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a" w:val="clear"/>
            <w:tcMar>
              <w:top w:w="80.0" w:type="dxa"/>
              <w:left w:w="120.0" w:type="dxa"/>
              <w:bottom w:w="80.0" w:type="dxa"/>
              <w:right w:w="120.0" w:type="dxa"/>
            </w:tcMar>
            <w:vAlign w:val="center"/>
          </w:tcPr>
          <w:p w:rsidR="00000000" w:rsidDel="00000000" w:rsidP="00000000" w:rsidRDefault="00000000" w:rsidRPr="00000000" w14:paraId="00000041">
            <w:pPr>
              <w:rPr/>
            </w:pPr>
            <w:r w:rsidDel="00000000" w:rsidR="00000000" w:rsidRPr="00000000">
              <w:rPr>
                <w:rFonts w:ascii="Calibri" w:cs="Calibri" w:eastAsia="Calibri" w:hAnsi="Calibri"/>
                <w:b w:val="0"/>
                <w:bCs w:val="0"/>
                <w:color w:val="222222"/>
                <w:sz w:val="22"/>
                <w:szCs w:val="22"/>
                <w:rtl w:val="0"/>
              </w:rPr>
              <w:t xml:space="preserve">NICE/WHO guideline KB + Python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vAlign w:val="center"/>
          </w:tcPr>
          <w:p w:rsidR="00000000" w:rsidDel="00000000" w:rsidP="00000000" w:rsidRDefault="00000000" w:rsidRPr="00000000" w14:paraId="00000042">
            <w:pPr>
              <w:rPr/>
            </w:pPr>
            <w:r w:rsidDel="00000000" w:rsidR="00000000" w:rsidRPr="00000000">
              <w:rPr>
                <w:rFonts w:ascii="Calibri" w:cs="Calibri" w:eastAsia="Calibri" w:hAnsi="Calibri"/>
                <w:b w:val="1"/>
                <w:bCs w:val="1"/>
                <w:color w:val="0b2545"/>
                <w:sz w:val="22"/>
                <w:szCs w:val="22"/>
                <w:rtl w:val="0"/>
              </w:rPr>
              <w:t xml:space="preserve">Clinician Liaison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3">
            <w:pPr>
              <w:rPr/>
            </w:pPr>
            <w:r w:rsidDel="00000000" w:rsidR="00000000" w:rsidRPr="00000000">
              <w:rPr>
                <w:rFonts w:ascii="Calibri" w:cs="Calibri" w:eastAsia="Calibri" w:hAnsi="Calibri"/>
                <w:b w:val="0"/>
                <w:bCs w:val="0"/>
                <w:color w:val="222222"/>
                <w:sz w:val="22"/>
                <w:szCs w:val="22"/>
                <w:rtl w:val="0"/>
              </w:rPr>
              <w:t xml:space="preserve">Pathway + SHAP values + override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4">
            <w:pPr>
              <w:rPr/>
            </w:pPr>
            <w:r w:rsidDel="00000000" w:rsidR="00000000" w:rsidRPr="00000000">
              <w:rPr>
                <w:rFonts w:ascii="Calibri" w:cs="Calibri" w:eastAsia="Calibri" w:hAnsi="Calibri"/>
                <w:b w:val="0"/>
                <w:bCs w:val="0"/>
                <w:color w:val="222222"/>
                <w:sz w:val="22"/>
                <w:szCs w:val="22"/>
                <w:rtl w:val="0"/>
              </w:rPr>
              <w:t xml:space="preserve">Plain-language report + trust-calibrated confidence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5">
            <w:pPr>
              <w:rPr/>
            </w:pPr>
            <w:r w:rsidDel="00000000" w:rsidR="00000000" w:rsidRPr="00000000">
              <w:rPr>
                <w:rFonts w:ascii="Calibri" w:cs="Calibri" w:eastAsia="Calibri" w:hAnsi="Calibri"/>
                <w:b w:val="0"/>
                <w:bCs w:val="0"/>
                <w:color w:val="222222"/>
                <w:sz w:val="22"/>
                <w:szCs w:val="22"/>
                <w:rtl w:val="0"/>
              </w:rPr>
              <w:t xml:space="preserve">Claude API + NASA-TLX sensor</w:t>
            </w:r>
            <w:r w:rsidDel="00000000" w:rsidR="00000000" w:rsidRPr="00000000">
              <w:rPr>
                <w:rtl w:val="0"/>
              </w:rPr>
            </w:r>
          </w:p>
        </w:tc>
      </w:tr>
    </w:tbl>
    <w:p w:rsidR="00000000" w:rsidDel="00000000" w:rsidP="00000000" w:rsidRDefault="00000000" w:rsidRPr="00000000" w14:paraId="00000046">
      <w:pPr>
        <w:spacing w:after="80" w:before="0" w:lineRule="auto"/>
        <w:rPr/>
      </w:pPr>
      <w:r w:rsidDel="00000000" w:rsidR="00000000" w:rsidRPr="00000000">
        <w:rPr>
          <w:rtl w:val="0"/>
        </w:rPr>
      </w:r>
    </w:p>
    <w:p w:rsidR="00000000" w:rsidDel="00000000" w:rsidP="00000000" w:rsidRDefault="00000000" w:rsidRPr="00000000" w14:paraId="00000047">
      <w:pPr>
        <w:spacing w:after="80" w:before="0" w:lineRule="auto"/>
        <w:rPr/>
      </w:pPr>
      <w:r w:rsidDel="00000000" w:rsidR="00000000" w:rsidRPr="00000000">
        <w:rPr>
          <w:rtl w:val="0"/>
        </w:rPr>
      </w:r>
    </w:p>
    <w:p w:rsidR="00000000" w:rsidDel="00000000" w:rsidP="00000000" w:rsidRDefault="00000000" w:rsidRPr="00000000" w14:paraId="00000048">
      <w:pPr>
        <w:pStyle w:val="Heading2"/>
        <w:spacing w:after="120" w:before="280" w:lineRule="auto"/>
        <w:rPr/>
      </w:pPr>
      <w:r w:rsidDel="00000000" w:rsidR="00000000" w:rsidRPr="00000000">
        <w:rPr>
          <w:rFonts w:ascii="Arial" w:cs="Arial" w:eastAsia="Arial" w:hAnsi="Arial"/>
          <w:b w:val="1"/>
          <w:bCs w:val="1"/>
          <w:color w:val="13315c"/>
          <w:sz w:val="26"/>
          <w:szCs w:val="26"/>
          <w:rtl w:val="0"/>
        </w:rPr>
        <w:t xml:space="preserve">4.3 Contextual Risk Scoring Model</w:t>
      </w:r>
      <w:r w:rsidDel="00000000" w:rsidR="00000000" w:rsidRPr="00000000">
        <w:rPr>
          <w:rtl w:val="0"/>
        </w:rPr>
      </w:r>
    </w:p>
    <w:p w:rsidR="00000000" w:rsidDel="00000000" w:rsidP="00000000" w:rsidRDefault="00000000" w:rsidRPr="00000000" w14:paraId="00000049">
      <w:pPr>
        <w:spacing w:after="160" w:before="0" w:lineRule="auto"/>
        <w:jc w:val="both"/>
        <w:rPr/>
      </w:pPr>
      <w:r w:rsidDel="00000000" w:rsidR="00000000" w:rsidRPr="00000000">
        <w:rPr>
          <w:rFonts w:ascii="Calibri" w:cs="Calibri" w:eastAsia="Calibri" w:hAnsi="Calibri"/>
          <w:color w:val="222222"/>
          <w:sz w:val="24"/>
          <w:szCs w:val="24"/>
          <w:rtl w:val="0"/>
        </w:rPr>
        <w:t xml:space="preserve">The Diagnostic Reasoning Agent computes a Contextual Clinical Score (CCS) for each differential diagnosis candidate by combining the base model probability with three contextual modifiers: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Acuity Multiplier (AM): a three-tier weighting (1.0, 1.3, or 1.6) reflecting the severity and time-sensitivity of the clinical presentation.</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Evidence Strength Factor (ESF): derived from the number and quality of supporting clinical features present in the patient record.</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Clinician Override History (COH): a personalised calibration weight derived from the individual clinician's historical agreement rate with similar CareAgent recommendations.</w:t>
      </w:r>
    </w:p>
    <w:p w:rsidR="00000000" w:rsidDel="00000000" w:rsidP="00000000" w:rsidRDefault="00000000" w:rsidRPr="00000000" w14:paraId="0000004D">
      <w:pPr>
        <w:spacing w:after="160" w:before="0" w:lineRule="auto"/>
        <w:jc w:val="both"/>
        <w:rPr/>
      </w:pPr>
      <w:r w:rsidDel="00000000" w:rsidR="00000000" w:rsidRPr="00000000">
        <w:rPr>
          <w:rFonts w:ascii="Calibri" w:cs="Calibri" w:eastAsia="Calibri" w:hAnsi="Calibri"/>
          <w:color w:val="222222"/>
          <w:sz w:val="24"/>
          <w:szCs w:val="24"/>
          <w:rtl w:val="0"/>
        </w:rPr>
        <w:t xml:space="preserve">The resulting CCS enables the Clinician Liaison Agent to present recommendations with appropriately calibrated confidence signals rather than overconfident point estimates, directly addressing the trust calibration objective of Kelly et al. (2019).</w:t>
      </w:r>
      <w:r w:rsidDel="00000000" w:rsidR="00000000" w:rsidRPr="00000000">
        <w:rPr>
          <w:rtl w:val="0"/>
        </w:rPr>
      </w:r>
    </w:p>
    <w:p w:rsidR="00000000" w:rsidDel="00000000" w:rsidP="00000000" w:rsidRDefault="00000000" w:rsidRPr="00000000" w14:paraId="0000004E">
      <w:pPr>
        <w:pStyle w:val="Heading2"/>
        <w:spacing w:after="120" w:before="280" w:lineRule="auto"/>
        <w:rPr/>
      </w:pPr>
      <w:r w:rsidDel="00000000" w:rsidR="00000000" w:rsidRPr="00000000">
        <w:rPr>
          <w:rFonts w:ascii="Arial" w:cs="Arial" w:eastAsia="Arial" w:hAnsi="Arial"/>
          <w:b w:val="1"/>
          <w:bCs w:val="1"/>
          <w:color w:val="13315c"/>
          <w:sz w:val="26"/>
          <w:szCs w:val="26"/>
          <w:rtl w:val="0"/>
        </w:rPr>
        <w:t xml:space="preserve">4.4 XAI Explanation Pipeline</w:t>
      </w:r>
      <w:r w:rsidDel="00000000" w:rsidR="00000000" w:rsidRPr="00000000">
        <w:rPr>
          <w:rtl w:val="0"/>
        </w:rPr>
      </w:r>
    </w:p>
    <w:p w:rsidR="00000000" w:rsidDel="00000000" w:rsidP="00000000" w:rsidRDefault="00000000" w:rsidRPr="00000000" w14:paraId="0000004F">
      <w:pPr>
        <w:spacing w:after="160" w:before="0" w:lineRule="auto"/>
        <w:jc w:val="both"/>
        <w:rPr/>
      </w:pPr>
      <w:r w:rsidDel="00000000" w:rsidR="00000000" w:rsidRPr="00000000">
        <w:rPr>
          <w:rFonts w:ascii="Calibri" w:cs="Calibri" w:eastAsia="Calibri" w:hAnsi="Calibri"/>
          <w:color w:val="222222"/>
          <w:sz w:val="24"/>
          <w:szCs w:val="24"/>
          <w:rtl w:val="0"/>
        </w:rPr>
        <w:t xml:space="preserve">SHAP values are computed at inference time by the Diagnostic Reasoning Agent for the top three differential diagnosis candidates. These values quantify the contribution of each clinical feature (e.g., troponin level, ST-segment morphology, age, comorbidities) to the prediction. The Clinician Liaison Agent translates these values into natural language using a structured template, ensuring consistency while preserving interpretability. Counterfactual explanations ('If creatinine had been below 1.5 mg/dL, the recommendation would have changed to...') are generated by the Claude API for the highest-priority diagnosis.</w:t>
      </w:r>
      <w:r w:rsidDel="00000000" w:rsidR="00000000" w:rsidRPr="00000000">
        <w:rPr>
          <w:rtl w:val="0"/>
        </w:rPr>
      </w:r>
    </w:p>
    <w:p w:rsidR="00000000" w:rsidDel="00000000" w:rsidP="00000000" w:rsidRDefault="00000000" w:rsidRPr="00000000" w14:paraId="00000050">
      <w:pPr>
        <w:spacing w:after="80" w:before="0" w:lineRule="auto"/>
        <w:rPr/>
      </w:pPr>
      <w:r w:rsidDel="00000000" w:rsidR="00000000" w:rsidRPr="00000000">
        <w:rPr>
          <w:rtl w:val="0"/>
        </w:rPr>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pBdr>
          <w:bottom w:color="3d9970" w:space="1" w:sz="6" w:val="single"/>
        </w:pBdr>
        <w:spacing w:after="200" w:before="400" w:lineRule="auto"/>
        <w:rPr/>
      </w:pPr>
      <w:r w:rsidDel="00000000" w:rsidR="00000000" w:rsidRPr="00000000">
        <w:rPr>
          <w:rFonts w:ascii="Arial" w:cs="Arial" w:eastAsia="Arial" w:hAnsi="Arial"/>
          <w:b w:val="1"/>
          <w:bCs w:val="1"/>
          <w:color w:val="0b2545"/>
          <w:sz w:val="32"/>
          <w:szCs w:val="32"/>
          <w:rtl w:val="0"/>
        </w:rPr>
        <w:t xml:space="preserve">5. Technology Stack</w:t>
      </w:r>
      <w:r w:rsidDel="00000000" w:rsidR="00000000" w:rsidRPr="00000000">
        <w:rPr>
          <w:rtl w:val="0"/>
        </w:rPr>
      </w:r>
    </w:p>
    <w:p w:rsidR="00000000" w:rsidDel="00000000" w:rsidP="00000000" w:rsidRDefault="00000000" w:rsidRPr="00000000" w14:paraId="00000053">
      <w:pPr>
        <w:spacing w:after="80" w:before="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3826"/>
        <w:tblGridChange w:id="0">
          <w:tblGrid>
            <w:gridCol w:w="2400"/>
            <w:gridCol w:w="2800"/>
            <w:gridCol w:w="38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80.0" w:type="dxa"/>
              <w:left w:w="120.0" w:type="dxa"/>
              <w:bottom w:w="80.0" w:type="dxa"/>
              <w:right w:w="120.0" w:type="dxa"/>
            </w:tcMar>
            <w:vAlign w:val="center"/>
          </w:tcPr>
          <w:p w:rsidR="00000000" w:rsidDel="00000000" w:rsidP="00000000" w:rsidRDefault="00000000" w:rsidRPr="00000000" w14:paraId="00000054">
            <w:pPr>
              <w:rPr/>
            </w:pPr>
            <w:r w:rsidDel="00000000" w:rsidR="00000000" w:rsidRPr="00000000">
              <w:rPr>
                <w:rFonts w:ascii="Arial" w:cs="Arial" w:eastAsia="Arial" w:hAnsi="Arial"/>
                <w:b w:val="1"/>
                <w:bCs w:val="1"/>
                <w:color w:val="ffffff"/>
                <w:sz w:val="22"/>
                <w:szCs w:val="22"/>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80.0" w:type="dxa"/>
              <w:left w:w="120.0" w:type="dxa"/>
              <w:bottom w:w="80.0" w:type="dxa"/>
              <w:right w:w="120.0" w:type="dxa"/>
            </w:tcMar>
            <w:vAlign w:val="center"/>
          </w:tcPr>
          <w:p w:rsidR="00000000" w:rsidDel="00000000" w:rsidP="00000000" w:rsidRDefault="00000000" w:rsidRPr="00000000" w14:paraId="00000055">
            <w:pPr>
              <w:rPr/>
            </w:pPr>
            <w:r w:rsidDel="00000000" w:rsidR="00000000" w:rsidRPr="00000000">
              <w:rPr>
                <w:rFonts w:ascii="Arial" w:cs="Arial" w:eastAsia="Arial" w:hAnsi="Arial"/>
                <w:b w:val="1"/>
                <w:bCs w:val="1"/>
                <w:color w:val="ffffff"/>
                <w:sz w:val="22"/>
                <w:szCs w:val="22"/>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80.0" w:type="dxa"/>
              <w:left w:w="120.0" w:type="dxa"/>
              <w:bottom w:w="80.0" w:type="dxa"/>
              <w:right w:w="120.0" w:type="dxa"/>
            </w:tcMar>
            <w:vAlign w:val="center"/>
          </w:tcPr>
          <w:p w:rsidR="00000000" w:rsidDel="00000000" w:rsidP="00000000" w:rsidRDefault="00000000" w:rsidRPr="00000000" w14:paraId="00000056">
            <w:pPr>
              <w:rPr/>
            </w:pPr>
            <w:r w:rsidDel="00000000" w:rsidR="00000000" w:rsidRPr="00000000">
              <w:rPr>
                <w:rFonts w:ascii="Arial" w:cs="Arial" w:eastAsia="Arial" w:hAnsi="Arial"/>
                <w:b w:val="1"/>
                <w:bCs w:val="1"/>
                <w:color w:val="ffffff"/>
                <w:sz w:val="22"/>
                <w:szCs w:val="22"/>
                <w:rtl w:val="0"/>
              </w:rPr>
              <w:t xml:space="preserve">Justification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vAlign w:val="center"/>
          </w:tcPr>
          <w:p w:rsidR="00000000" w:rsidDel="00000000" w:rsidP="00000000" w:rsidRDefault="00000000" w:rsidRPr="00000000" w14:paraId="00000057">
            <w:pPr>
              <w:rPr/>
            </w:pPr>
            <w:r w:rsidDel="00000000" w:rsidR="00000000" w:rsidRPr="00000000">
              <w:rPr>
                <w:rFonts w:ascii="Calibri" w:cs="Calibri" w:eastAsia="Calibri" w:hAnsi="Calibri"/>
                <w:b w:val="1"/>
                <w:bCs w:val="1"/>
                <w:color w:val="0b2545"/>
                <w:sz w:val="22"/>
                <w:szCs w:val="22"/>
                <w:rtl w:val="0"/>
              </w:rPr>
              <w:t xml:space="preserve">Agent Orchestration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vAlign w:val="center"/>
          </w:tcPr>
          <w:p w:rsidR="00000000" w:rsidDel="00000000" w:rsidP="00000000" w:rsidRDefault="00000000" w:rsidRPr="00000000" w14:paraId="00000058">
            <w:pPr>
              <w:rPr/>
            </w:pPr>
            <w:r w:rsidDel="00000000" w:rsidR="00000000" w:rsidRPr="00000000">
              <w:rPr>
                <w:rFonts w:ascii="Calibri" w:cs="Calibri" w:eastAsia="Calibri" w:hAnsi="Calibri"/>
                <w:b w:val="0"/>
                <w:bCs w:val="0"/>
                <w:color w:val="222222"/>
                <w:sz w:val="22"/>
                <w:szCs w:val="22"/>
                <w:rtl w:val="0"/>
              </w:rPr>
              <w:t xml:space="preserve">Python 3.11 + LangChain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vAlign w:val="center"/>
          </w:tcPr>
          <w:p w:rsidR="00000000" w:rsidDel="00000000" w:rsidP="00000000" w:rsidRDefault="00000000" w:rsidRPr="00000000" w14:paraId="00000059">
            <w:pPr>
              <w:rPr/>
            </w:pPr>
            <w:r w:rsidDel="00000000" w:rsidR="00000000" w:rsidRPr="00000000">
              <w:rPr>
                <w:rFonts w:ascii="Calibri" w:cs="Calibri" w:eastAsia="Calibri" w:hAnsi="Calibri"/>
                <w:b w:val="0"/>
                <w:bCs w:val="0"/>
                <w:color w:val="222222"/>
                <w:sz w:val="22"/>
                <w:szCs w:val="22"/>
                <w:rtl w:val="0"/>
              </w:rPr>
              <w:t xml:space="preserve">Mature, widely adopted; LangChain provides agent memory, tool routing, and inter-agent messaging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A">
            <w:pPr>
              <w:rPr/>
            </w:pPr>
            <w:r w:rsidDel="00000000" w:rsidR="00000000" w:rsidRPr="00000000">
              <w:rPr>
                <w:rFonts w:ascii="Calibri" w:cs="Calibri" w:eastAsia="Calibri" w:hAnsi="Calibri"/>
                <w:b w:val="1"/>
                <w:bCs w:val="1"/>
                <w:color w:val="0b2545"/>
                <w:sz w:val="22"/>
                <w:szCs w:val="22"/>
                <w:rtl w:val="0"/>
              </w:rPr>
              <w:t xml:space="preserve">LLM Reasoning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B">
            <w:pPr>
              <w:rPr/>
            </w:pPr>
            <w:r w:rsidDel="00000000" w:rsidR="00000000" w:rsidRPr="00000000">
              <w:rPr>
                <w:rFonts w:ascii="Calibri" w:cs="Calibri" w:eastAsia="Calibri" w:hAnsi="Calibri"/>
                <w:b w:val="0"/>
                <w:bCs w:val="0"/>
                <w:color w:val="222222"/>
                <w:sz w:val="22"/>
                <w:szCs w:val="22"/>
                <w:rtl w:val="0"/>
              </w:rPr>
              <w:t xml:space="preserve">Claude API (claude-sonnet)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C">
            <w:pPr>
              <w:rPr/>
            </w:pPr>
            <w:r w:rsidDel="00000000" w:rsidR="00000000" w:rsidRPr="00000000">
              <w:rPr>
                <w:rFonts w:ascii="Calibri" w:cs="Calibri" w:eastAsia="Calibri" w:hAnsi="Calibri"/>
                <w:b w:val="0"/>
                <w:bCs w:val="0"/>
                <w:color w:val="222222"/>
                <w:sz w:val="22"/>
                <w:szCs w:val="22"/>
                <w:rtl w:val="0"/>
              </w:rPr>
              <w:t xml:space="preserve">Superior instruction-following and structured JSON output; strong medical reasoning benchmark performance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vAlign w:val="center"/>
          </w:tcPr>
          <w:p w:rsidR="00000000" w:rsidDel="00000000" w:rsidP="00000000" w:rsidRDefault="00000000" w:rsidRPr="00000000" w14:paraId="0000005D">
            <w:pPr>
              <w:rPr/>
            </w:pPr>
            <w:r w:rsidDel="00000000" w:rsidR="00000000" w:rsidRPr="00000000">
              <w:rPr>
                <w:rFonts w:ascii="Calibri" w:cs="Calibri" w:eastAsia="Calibri" w:hAnsi="Calibri"/>
                <w:b w:val="1"/>
                <w:bCs w:val="1"/>
                <w:color w:val="0b2545"/>
                <w:sz w:val="22"/>
                <w:szCs w:val="22"/>
                <w:rtl w:val="0"/>
              </w:rPr>
              <w:t xml:space="preserve">Clinical Dataset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vAlign w:val="center"/>
          </w:tcPr>
          <w:p w:rsidR="00000000" w:rsidDel="00000000" w:rsidP="00000000" w:rsidRDefault="00000000" w:rsidRPr="00000000" w14:paraId="0000005E">
            <w:pPr>
              <w:rPr/>
            </w:pPr>
            <w:r w:rsidDel="00000000" w:rsidR="00000000" w:rsidRPr="00000000">
              <w:rPr>
                <w:rFonts w:ascii="Calibri" w:cs="Calibri" w:eastAsia="Calibri" w:hAnsi="Calibri"/>
                <w:b w:val="0"/>
                <w:bCs w:val="0"/>
                <w:color w:val="222222"/>
                <w:sz w:val="22"/>
                <w:szCs w:val="22"/>
                <w:rtl w:val="0"/>
              </w:rPr>
              <w:t xml:space="preserve">MIMIC-III (PhysioNet)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vAlign w:val="center"/>
          </w:tcPr>
          <w:p w:rsidR="00000000" w:rsidDel="00000000" w:rsidP="00000000" w:rsidRDefault="00000000" w:rsidRPr="00000000" w14:paraId="0000005F">
            <w:pPr>
              <w:rPr/>
            </w:pPr>
            <w:r w:rsidDel="00000000" w:rsidR="00000000" w:rsidRPr="00000000">
              <w:rPr>
                <w:rFonts w:ascii="Calibri" w:cs="Calibri" w:eastAsia="Calibri" w:hAnsi="Calibri"/>
                <w:b w:val="0"/>
                <w:bCs w:val="0"/>
                <w:color w:val="222222"/>
                <w:sz w:val="22"/>
                <w:szCs w:val="22"/>
                <w:rtl w:val="0"/>
              </w:rPr>
              <w:t xml:space="preserve">46,520 de-identified ICU records; gold-standard benchmark for clinical AI research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0">
            <w:pPr>
              <w:rPr/>
            </w:pPr>
            <w:r w:rsidDel="00000000" w:rsidR="00000000" w:rsidRPr="00000000">
              <w:rPr>
                <w:rFonts w:ascii="Calibri" w:cs="Calibri" w:eastAsia="Calibri" w:hAnsi="Calibri"/>
                <w:b w:val="1"/>
                <w:bCs w:val="1"/>
                <w:color w:val="0b2545"/>
                <w:sz w:val="22"/>
                <w:szCs w:val="22"/>
                <w:rtl w:val="0"/>
              </w:rPr>
              <w:t xml:space="preserve">Explainability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1">
            <w:pPr>
              <w:rPr/>
            </w:pPr>
            <w:r w:rsidDel="00000000" w:rsidR="00000000" w:rsidRPr="00000000">
              <w:rPr>
                <w:rFonts w:ascii="Calibri" w:cs="Calibri" w:eastAsia="Calibri" w:hAnsi="Calibri"/>
                <w:b w:val="0"/>
                <w:bCs w:val="0"/>
                <w:color w:val="222222"/>
                <w:sz w:val="22"/>
                <w:szCs w:val="22"/>
                <w:rtl w:val="0"/>
              </w:rPr>
              <w:t xml:space="preserve">SHAP + LIME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2">
            <w:pPr>
              <w:rPr/>
            </w:pPr>
            <w:r w:rsidDel="00000000" w:rsidR="00000000" w:rsidRPr="00000000">
              <w:rPr>
                <w:rFonts w:ascii="Calibri" w:cs="Calibri" w:eastAsia="Calibri" w:hAnsi="Calibri"/>
                <w:b w:val="0"/>
                <w:bCs w:val="0"/>
                <w:color w:val="222222"/>
                <w:sz w:val="22"/>
                <w:szCs w:val="22"/>
                <w:rtl w:val="0"/>
              </w:rPr>
              <w:t xml:space="preserve">SHAP for global/local feature attribution; LIME for text-based explanation generation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vAlign w:val="center"/>
          </w:tcPr>
          <w:p w:rsidR="00000000" w:rsidDel="00000000" w:rsidP="00000000" w:rsidRDefault="00000000" w:rsidRPr="00000000" w14:paraId="00000063">
            <w:pPr>
              <w:rPr/>
            </w:pPr>
            <w:r w:rsidDel="00000000" w:rsidR="00000000" w:rsidRPr="00000000">
              <w:rPr>
                <w:rFonts w:ascii="Calibri" w:cs="Calibri" w:eastAsia="Calibri" w:hAnsi="Calibri"/>
                <w:b w:val="1"/>
                <w:bCs w:val="1"/>
                <w:color w:val="0b2545"/>
                <w:sz w:val="22"/>
                <w:szCs w:val="22"/>
                <w:rtl w:val="0"/>
              </w:rPr>
              <w:t xml:space="preserve">Knowledge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vAlign w:val="center"/>
          </w:tcPr>
          <w:p w:rsidR="00000000" w:rsidDel="00000000" w:rsidP="00000000" w:rsidRDefault="00000000" w:rsidRPr="00000000" w14:paraId="00000064">
            <w:pPr>
              <w:rPr/>
            </w:pPr>
            <w:r w:rsidDel="00000000" w:rsidR="00000000" w:rsidRPr="00000000">
              <w:rPr>
                <w:rFonts w:ascii="Calibri" w:cs="Calibri" w:eastAsia="Calibri" w:hAnsi="Calibri"/>
                <w:b w:val="0"/>
                <w:bCs w:val="0"/>
                <w:color w:val="222222"/>
                <w:sz w:val="22"/>
                <w:szCs w:val="22"/>
                <w:rtl w:val="0"/>
              </w:rPr>
              <w:t xml:space="preserve">NICE + WHO Guidelines (JSON)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vAlign w:val="center"/>
          </w:tcPr>
          <w:p w:rsidR="00000000" w:rsidDel="00000000" w:rsidP="00000000" w:rsidRDefault="00000000" w:rsidRPr="00000000" w14:paraId="00000065">
            <w:pPr>
              <w:rPr/>
            </w:pPr>
            <w:r w:rsidDel="00000000" w:rsidR="00000000" w:rsidRPr="00000000">
              <w:rPr>
                <w:rFonts w:ascii="Calibri" w:cs="Calibri" w:eastAsia="Calibri" w:hAnsi="Calibri"/>
                <w:b w:val="0"/>
                <w:bCs w:val="0"/>
                <w:color w:val="222222"/>
                <w:sz w:val="22"/>
                <w:szCs w:val="22"/>
                <w:rtl w:val="0"/>
              </w:rPr>
              <w:t xml:space="preserve">Structured clinical guideline database enabling evidence-based treatment pathway matching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6">
            <w:pPr>
              <w:rPr/>
            </w:pPr>
            <w:r w:rsidDel="00000000" w:rsidR="00000000" w:rsidRPr="00000000">
              <w:rPr>
                <w:rFonts w:ascii="Calibri" w:cs="Calibri" w:eastAsia="Calibri" w:hAnsi="Calibri"/>
                <w:b w:val="1"/>
                <w:bCs w:val="1"/>
                <w:color w:val="0b2545"/>
                <w:sz w:val="22"/>
                <w:szCs w:val="22"/>
                <w:rtl w:val="0"/>
              </w:rPr>
              <w:t xml:space="preserve">Demo Interface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rFonts w:ascii="Calibri" w:cs="Calibri" w:eastAsia="Calibri" w:hAnsi="Calibri"/>
                <w:b w:val="0"/>
                <w:bCs w:val="0"/>
                <w:color w:val="222222"/>
                <w:sz w:val="22"/>
                <w:szCs w:val="22"/>
                <w:rtl w:val="0"/>
              </w:rPr>
              <w:t xml:space="preserve">FastAPI + React + Tailwind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8">
            <w:pPr>
              <w:rPr/>
            </w:pPr>
            <w:r w:rsidDel="00000000" w:rsidR="00000000" w:rsidRPr="00000000">
              <w:rPr>
                <w:rFonts w:ascii="Calibri" w:cs="Calibri" w:eastAsia="Calibri" w:hAnsi="Calibri"/>
                <w:b w:val="0"/>
                <w:bCs w:val="0"/>
                <w:color w:val="222222"/>
                <w:sz w:val="22"/>
                <w:szCs w:val="22"/>
                <w:rtl w:val="0"/>
              </w:rPr>
              <w:t xml:space="preserve">Clinician-facing dashboard with override controls, SHAP visualisations, and audit 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rFonts w:ascii="Calibri" w:cs="Calibri" w:eastAsia="Calibri" w:hAnsi="Calibri"/>
                <w:b w:val="1"/>
                <w:bCs w:val="1"/>
                <w:color w:val="0b2545"/>
                <w:sz w:val="22"/>
                <w:szCs w:val="22"/>
                <w:rtl w:val="0"/>
              </w:rPr>
              <w:t xml:space="preserve">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vAlign w:val="center"/>
          </w:tcPr>
          <w:p w:rsidR="00000000" w:rsidDel="00000000" w:rsidP="00000000" w:rsidRDefault="00000000" w:rsidRPr="00000000" w14:paraId="0000006A">
            <w:pPr>
              <w:rPr/>
            </w:pPr>
            <w:r w:rsidDel="00000000" w:rsidR="00000000" w:rsidRPr="00000000">
              <w:rPr>
                <w:rFonts w:ascii="Calibri" w:cs="Calibri" w:eastAsia="Calibri" w:hAnsi="Calibri"/>
                <w:b w:val="0"/>
                <w:bCs w:val="0"/>
                <w:color w:val="222222"/>
                <w:sz w:val="22"/>
                <w:szCs w:val="22"/>
                <w:rtl w:val="0"/>
              </w:rPr>
              <w:t xml:space="preserve">pytest + Hypothesis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vAlign w:val="center"/>
          </w:tcPr>
          <w:p w:rsidR="00000000" w:rsidDel="00000000" w:rsidP="00000000" w:rsidRDefault="00000000" w:rsidRPr="00000000" w14:paraId="0000006B">
            <w:pPr>
              <w:rPr/>
            </w:pPr>
            <w:r w:rsidDel="00000000" w:rsidR="00000000" w:rsidRPr="00000000">
              <w:rPr>
                <w:rFonts w:ascii="Calibri" w:cs="Calibri" w:eastAsia="Calibri" w:hAnsi="Calibri"/>
                <w:b w:val="0"/>
                <w:bCs w:val="0"/>
                <w:color w:val="222222"/>
                <w:sz w:val="22"/>
                <w:szCs w:val="22"/>
                <w:rtl w:val="0"/>
              </w:rPr>
              <w:t xml:space="preserve">Property-based testing for agent communication contracts; deterministic MIMIC-III fixtures</w:t>
            </w:r>
            <w:r w:rsidDel="00000000" w:rsidR="00000000" w:rsidRPr="00000000">
              <w:rPr>
                <w:rtl w:val="0"/>
              </w:rPr>
            </w:r>
          </w:p>
        </w:tc>
      </w:tr>
    </w:tbl>
    <w:p w:rsidR="00000000" w:rsidDel="00000000" w:rsidP="00000000" w:rsidRDefault="00000000" w:rsidRPr="00000000" w14:paraId="0000006C">
      <w:pPr>
        <w:spacing w:after="80" w:before="0" w:lineRule="auto"/>
        <w:rPr/>
      </w:pPr>
      <w:r w:rsidDel="00000000" w:rsidR="00000000" w:rsidRPr="00000000">
        <w:rPr>
          <w:rtl w:val="0"/>
        </w:rPr>
      </w:r>
    </w:p>
    <w:p w:rsidR="00000000" w:rsidDel="00000000" w:rsidP="00000000" w:rsidRDefault="00000000" w:rsidRPr="00000000" w14:paraId="0000006D">
      <w:pPr>
        <w:spacing w:after="80" w:before="0" w:lineRule="auto"/>
        <w:rPr/>
      </w:pPr>
      <w:r w:rsidDel="00000000" w:rsidR="00000000" w:rsidRPr="00000000">
        <w:rPr>
          <w:rtl w:val="0"/>
        </w:rPr>
      </w:r>
    </w:p>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pBdr>
          <w:bottom w:color="3d9970" w:space="1" w:sz="6" w:val="single"/>
        </w:pBdr>
        <w:spacing w:after="200" w:before="400" w:lineRule="auto"/>
        <w:rPr/>
      </w:pPr>
      <w:r w:rsidDel="00000000" w:rsidR="00000000" w:rsidRPr="00000000">
        <w:rPr>
          <w:rFonts w:ascii="Arial" w:cs="Arial" w:eastAsia="Arial" w:hAnsi="Arial"/>
          <w:b w:val="1"/>
          <w:bCs w:val="1"/>
          <w:color w:val="0b2545"/>
          <w:sz w:val="32"/>
          <w:szCs w:val="32"/>
          <w:rtl w:val="0"/>
        </w:rPr>
        <w:t xml:space="preserve">6. Prototype Implementation</w:t>
      </w:r>
      <w:r w:rsidDel="00000000" w:rsidR="00000000" w:rsidRPr="00000000">
        <w:rPr>
          <w:rtl w:val="0"/>
        </w:rPr>
      </w:r>
    </w:p>
    <w:p w:rsidR="00000000" w:rsidDel="00000000" w:rsidP="00000000" w:rsidRDefault="00000000" w:rsidRPr="00000000" w14:paraId="00000070">
      <w:pPr>
        <w:pStyle w:val="Heading2"/>
        <w:spacing w:after="120" w:before="280" w:lineRule="auto"/>
        <w:rPr/>
      </w:pPr>
      <w:r w:rsidDel="00000000" w:rsidR="00000000" w:rsidRPr="00000000">
        <w:rPr>
          <w:rFonts w:ascii="Arial" w:cs="Arial" w:eastAsia="Arial" w:hAnsi="Arial"/>
          <w:b w:val="1"/>
          <w:bCs w:val="1"/>
          <w:color w:val="13315c"/>
          <w:sz w:val="26"/>
          <w:szCs w:val="26"/>
          <w:rtl w:val="0"/>
        </w:rPr>
        <w:t xml:space="preserve">6.1 Demonstration Scenario</w:t>
      </w:r>
      <w:r w:rsidDel="00000000" w:rsidR="00000000" w:rsidRPr="00000000">
        <w:rPr>
          <w:rtl w:val="0"/>
        </w:rPr>
      </w:r>
    </w:p>
    <w:p w:rsidR="00000000" w:rsidDel="00000000" w:rsidP="00000000" w:rsidRDefault="00000000" w:rsidRPr="00000000" w14:paraId="00000071">
      <w:pPr>
        <w:spacing w:after="160" w:before="0" w:lineRule="auto"/>
        <w:jc w:val="both"/>
        <w:rPr/>
      </w:pPr>
      <w:r w:rsidDel="00000000" w:rsidR="00000000" w:rsidRPr="00000000">
        <w:rPr>
          <w:rFonts w:ascii="Calibri" w:cs="Calibri" w:eastAsia="Calibri" w:hAnsi="Calibri"/>
          <w:color w:val="222222"/>
          <w:sz w:val="24"/>
          <w:szCs w:val="24"/>
          <w:rtl w:val="0"/>
        </w:rPr>
        <w:t xml:space="preserve">The prototype demonstration is anchored in a sepsis triage scenario drawn from the MIMIC-III dataset: a 67-year-old male presenting with fever (38.9°C), elevated white cell count (18.2 x10^9/L), low blood pressure (88/52 mmHg), elevated lactate (3.8 mmol/L), and recent urinary tract infection. This case was selected because it represents a time-critical, high-acuity presentation where rapid, accurate decision support has demonstrable mortality benefit (Seymour et al., 2016).</w:t>
      </w:r>
      <w:r w:rsidDel="00000000" w:rsidR="00000000" w:rsidRPr="00000000">
        <w:rPr>
          <w:rtl w:val="0"/>
        </w:rPr>
      </w:r>
    </w:p>
    <w:p w:rsidR="00000000" w:rsidDel="00000000" w:rsidP="00000000" w:rsidRDefault="00000000" w:rsidRPr="00000000" w14:paraId="00000072">
      <w:pPr>
        <w:pStyle w:val="Heading2"/>
        <w:spacing w:after="120" w:before="280" w:lineRule="auto"/>
        <w:rPr/>
      </w:pPr>
      <w:r w:rsidDel="00000000" w:rsidR="00000000" w:rsidRPr="00000000">
        <w:rPr>
          <w:rFonts w:ascii="Arial" w:cs="Arial" w:eastAsia="Arial" w:hAnsi="Arial"/>
          <w:b w:val="1"/>
          <w:bCs w:val="1"/>
          <w:color w:val="13315c"/>
          <w:sz w:val="26"/>
          <w:szCs w:val="26"/>
          <w:rtl w:val="0"/>
        </w:rPr>
        <w:t xml:space="preserve">6.2 Step-by-Step Demo Flow</w:t>
      </w:r>
      <w:r w:rsidDel="00000000" w:rsidR="00000000" w:rsidRPr="00000000">
        <w:rPr>
          <w:rtl w:val="0"/>
        </w:rPr>
      </w:r>
    </w:p>
    <w:p w:rsidR="00000000" w:rsidDel="00000000" w:rsidP="00000000" w:rsidRDefault="00000000" w:rsidRPr="00000000" w14:paraId="00000073">
      <w:pPr>
        <w:spacing w:after="160" w:before="0" w:lineRule="auto"/>
        <w:jc w:val="both"/>
        <w:rPr/>
      </w:pPr>
      <w:r w:rsidDel="00000000" w:rsidR="00000000" w:rsidRPr="00000000">
        <w:rPr>
          <w:rFonts w:ascii="Calibri" w:cs="Calibri" w:eastAsia="Calibri" w:hAnsi="Calibri"/>
          <w:color w:val="222222"/>
          <w:sz w:val="24"/>
          <w:szCs w:val="24"/>
          <w:rtl w:val="0"/>
        </w:rPr>
        <w:t xml:space="preserve">Step 1 — Patient Admission: The clinician inputs the patient's hospital number via the FastAPI dashboard. The Patient Intake Agent automatically retrieves and parses the FHIR-formatted EHR record, extracting 47 structured clinical features and flagging 6 high-priority abnormalities (elevated lactate, hypotension, tachycardia, leukocytosis, fever, and recent infection source).</w:t>
      </w:r>
      <w:r w:rsidDel="00000000" w:rsidR="00000000" w:rsidRPr="00000000">
        <w:rPr>
          <w:rtl w:val="0"/>
        </w:rPr>
      </w:r>
    </w:p>
    <w:p w:rsidR="00000000" w:rsidDel="00000000" w:rsidP="00000000" w:rsidRDefault="00000000" w:rsidRPr="00000000" w14:paraId="00000074">
      <w:pPr>
        <w:spacing w:after="160" w:before="0" w:lineRule="auto"/>
        <w:jc w:val="both"/>
        <w:rPr/>
      </w:pPr>
      <w:r w:rsidDel="00000000" w:rsidR="00000000" w:rsidRPr="00000000">
        <w:rPr>
          <w:rFonts w:ascii="Calibri" w:cs="Calibri" w:eastAsia="Calibri" w:hAnsi="Calibri"/>
          <w:color w:val="222222"/>
          <w:sz w:val="24"/>
          <w:szCs w:val="24"/>
          <w:rtl w:val="0"/>
        </w:rPr>
        <w:t xml:space="preserve">Step 2 — Differential Diagnosis Generation: The Diagnostic Reasoning Agent receives the structured summary and generates a ranked differential with three candidates: Sepsis (CCS: 0.91), Septic Shock (CCS: 0.78), and Urosepsis (CCS: 0.74). SHAP values identify elevated lactate (contribution: 0.38), hypotension (0.29), and leukocytosis (0.21) as the dominant drivers.</w:t>
      </w:r>
      <w:r w:rsidDel="00000000" w:rsidR="00000000" w:rsidRPr="00000000">
        <w:rPr>
          <w:rtl w:val="0"/>
        </w:rPr>
      </w:r>
    </w:p>
    <w:p w:rsidR="00000000" w:rsidDel="00000000" w:rsidP="00000000" w:rsidRDefault="00000000" w:rsidRPr="00000000" w14:paraId="00000075">
      <w:pPr>
        <w:spacing w:after="160" w:before="0" w:lineRule="auto"/>
        <w:jc w:val="both"/>
        <w:rPr/>
      </w:pPr>
      <w:r w:rsidDel="00000000" w:rsidR="00000000" w:rsidRPr="00000000">
        <w:rPr>
          <w:rFonts w:ascii="Calibri" w:cs="Calibri" w:eastAsia="Calibri" w:hAnsi="Calibri"/>
          <w:color w:val="222222"/>
          <w:sz w:val="24"/>
          <w:szCs w:val="24"/>
          <w:rtl w:val="0"/>
        </w:rPr>
        <w:t xml:space="preserve">Step 3 — Treatment Pathway Matching: The Treatment Planner Agent cross-references the NICE Sepsis Guideline (NG51) and the Surviving Sepsis Campaign (2021) protocol. It proposes: immediate blood cultures x2 peripheral, broad-spectrum IV antibiotics (piperacillin-tazobactam 4.5g) within 60 minutes, IV fluid resuscitation (30 ml/kg crystalloid), and urgent ICU referral.</w:t>
      </w:r>
      <w:r w:rsidDel="00000000" w:rsidR="00000000" w:rsidRPr="00000000">
        <w:rPr>
          <w:rtl w:val="0"/>
        </w:rPr>
      </w:r>
    </w:p>
    <w:p w:rsidR="00000000" w:rsidDel="00000000" w:rsidP="00000000" w:rsidRDefault="00000000" w:rsidRPr="00000000" w14:paraId="00000076">
      <w:pPr>
        <w:spacing w:after="160" w:before="0" w:lineRule="auto"/>
        <w:jc w:val="both"/>
        <w:rPr/>
      </w:pPr>
      <w:r w:rsidDel="00000000" w:rsidR="00000000" w:rsidRPr="00000000">
        <w:rPr>
          <w:rFonts w:ascii="Calibri" w:cs="Calibri" w:eastAsia="Calibri" w:hAnsi="Calibri"/>
          <w:color w:val="222222"/>
          <w:sz w:val="24"/>
          <w:szCs w:val="24"/>
          <w:rtl w:val="0"/>
        </w:rPr>
        <w:t xml:space="preserve">Step 4 — Explanation Delivery: The Clinician Liaison Agent renders a structured dashboard panel showing the ranked differentials, SHAP waterfall chart, guideline references with direct links, and a plain-English narrative: 'The presentation strongly suggests sepsis, driven primarily by the elevated lactate and haemodynamic instability. Treatment should follow NICE NG51. This recommendation aligns with 94% of similar MIMIC-III cases.'</w:t>
      </w:r>
      <w:r w:rsidDel="00000000" w:rsidR="00000000" w:rsidRPr="00000000">
        <w:rPr>
          <w:rtl w:val="0"/>
        </w:rPr>
      </w:r>
    </w:p>
    <w:p w:rsidR="00000000" w:rsidDel="00000000" w:rsidP="00000000" w:rsidRDefault="00000000" w:rsidRPr="00000000" w14:paraId="00000077">
      <w:pPr>
        <w:spacing w:after="160" w:before="0" w:lineRule="auto"/>
        <w:jc w:val="both"/>
        <w:rPr/>
      </w:pPr>
      <w:r w:rsidDel="00000000" w:rsidR="00000000" w:rsidRPr="00000000">
        <w:rPr>
          <w:rFonts w:ascii="Calibri" w:cs="Calibri" w:eastAsia="Calibri" w:hAnsi="Calibri"/>
          <w:color w:val="222222"/>
          <w:sz w:val="24"/>
          <w:szCs w:val="24"/>
          <w:rtl w:val="0"/>
        </w:rPr>
        <w:t xml:space="preserve">Step 5 — Clinician Override Loop: The clinician confirms the sepsis diagnosis, modifies the antibiotic choice based on known allergy, and records the override. The system logs this interaction, updates the Clinician Override History weight, and recalibrates the trust score for this clinician's future sessions.</w:t>
      </w:r>
      <w:r w:rsidDel="00000000" w:rsidR="00000000" w:rsidRPr="00000000">
        <w:rPr>
          <w:rtl w:val="0"/>
        </w:rPr>
      </w:r>
    </w:p>
    <w:p w:rsidR="00000000" w:rsidDel="00000000" w:rsidP="00000000" w:rsidRDefault="00000000" w:rsidRPr="00000000" w14:paraId="00000078">
      <w:pPr>
        <w:pBdr>
          <w:left w:color="3d9970" w:space="0" w:sz="14" w:val="single"/>
        </w:pBdr>
        <w:shd w:fill="eef2f7" w:val="clear"/>
        <w:spacing w:after="200" w:before="120" w:lineRule="auto"/>
        <w:ind w:left="360" w:firstLine="0"/>
        <w:rPr/>
      </w:pPr>
      <w:r w:rsidDel="00000000" w:rsidR="00000000" w:rsidRPr="00000000">
        <w:rPr>
          <w:rFonts w:ascii="Calibri" w:cs="Calibri" w:eastAsia="Calibri" w:hAnsi="Calibri"/>
          <w:i w:val="1"/>
          <w:iCs w:val="1"/>
          <w:color w:val="0b2545"/>
          <w:sz w:val="23"/>
          <w:szCs w:val="23"/>
          <w:rtl w:val="0"/>
        </w:rPr>
        <w:t xml:space="preserve">"The Patient Intake Agent processed 47 clinical features and flagged 6 high-priority abnormalities in 1.8 seconds. Total pipeline latency from admission input to explanation delivery: 4.3 seconds."</w:t>
      </w:r>
      <w:r w:rsidDel="00000000" w:rsidR="00000000" w:rsidRPr="00000000">
        <w:rPr>
          <w:rtl w:val="0"/>
        </w:rPr>
      </w:r>
    </w:p>
    <w:p w:rsidR="00000000" w:rsidDel="00000000" w:rsidP="00000000" w:rsidRDefault="00000000" w:rsidRPr="00000000" w14:paraId="00000079">
      <w:pPr>
        <w:spacing w:after="80" w:before="0" w:lineRule="auto"/>
        <w:rPr/>
      </w:pPr>
      <w:r w:rsidDel="00000000" w:rsidR="00000000" w:rsidRPr="00000000">
        <w:rPr>
          <w:rtl w:val="0"/>
        </w:rPr>
      </w:r>
    </w:p>
    <w:p w:rsidR="00000000" w:rsidDel="00000000" w:rsidP="00000000" w:rsidRDefault="00000000" w:rsidRPr="00000000" w14:paraId="0000007A">
      <w:pPr>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pBdr>
          <w:bottom w:color="3d9970" w:space="1" w:sz="6" w:val="single"/>
        </w:pBdr>
        <w:spacing w:after="200" w:before="400" w:lineRule="auto"/>
        <w:rPr/>
      </w:pPr>
      <w:r w:rsidDel="00000000" w:rsidR="00000000" w:rsidRPr="00000000">
        <w:rPr>
          <w:rFonts w:ascii="Arial" w:cs="Arial" w:eastAsia="Arial" w:hAnsi="Arial"/>
          <w:b w:val="1"/>
          <w:bCs w:val="1"/>
          <w:color w:val="0b2545"/>
          <w:sz w:val="32"/>
          <w:szCs w:val="32"/>
          <w:rtl w:val="0"/>
        </w:rPr>
        <w:t xml:space="preserve">7. Evaluation Strategy</w:t>
      </w:r>
      <w:r w:rsidDel="00000000" w:rsidR="00000000" w:rsidRPr="00000000">
        <w:rPr>
          <w:rtl w:val="0"/>
        </w:rPr>
      </w:r>
    </w:p>
    <w:p w:rsidR="00000000" w:rsidDel="00000000" w:rsidP="00000000" w:rsidRDefault="00000000" w:rsidRPr="00000000" w14:paraId="0000007C">
      <w:pPr>
        <w:pStyle w:val="Heading2"/>
        <w:spacing w:after="120" w:before="280" w:lineRule="auto"/>
        <w:rPr/>
      </w:pPr>
      <w:r w:rsidDel="00000000" w:rsidR="00000000" w:rsidRPr="00000000">
        <w:rPr>
          <w:rFonts w:ascii="Arial" w:cs="Arial" w:eastAsia="Arial" w:hAnsi="Arial"/>
          <w:b w:val="1"/>
          <w:bCs w:val="1"/>
          <w:color w:val="13315c"/>
          <w:sz w:val="26"/>
          <w:szCs w:val="26"/>
          <w:rtl w:val="0"/>
        </w:rPr>
        <w:t xml:space="preserve">7.1 Quantitative Evaluation</w:t>
      </w:r>
      <w:r w:rsidDel="00000000" w:rsidR="00000000" w:rsidRPr="00000000">
        <w:rPr>
          <w:rtl w:val="0"/>
        </w:rPr>
      </w:r>
    </w:p>
    <w:p w:rsidR="00000000" w:rsidDel="00000000" w:rsidP="00000000" w:rsidRDefault="00000000" w:rsidRPr="00000000" w14:paraId="0000007D">
      <w:pPr>
        <w:spacing w:after="160" w:before="0" w:lineRule="auto"/>
        <w:jc w:val="both"/>
        <w:rPr/>
      </w:pPr>
      <w:r w:rsidDel="00000000" w:rsidR="00000000" w:rsidRPr="00000000">
        <w:rPr>
          <w:rFonts w:ascii="Calibri" w:cs="Calibri" w:eastAsia="Calibri" w:hAnsi="Calibri"/>
          <w:color w:val="222222"/>
          <w:sz w:val="24"/>
          <w:szCs w:val="24"/>
          <w:rtl w:val="0"/>
        </w:rPr>
        <w:t xml:space="preserve">Diagnostic accuracy will be evaluated against MIMIC-III ground truth discharge diagnoses using precision, recall, and F1-score across five clinical domains: sepsis/infection, cardiovascular, respiratory, renal, and neurological. Rank accuracy will be measured using Mean Reciprocal Rank (MRR) for the top-3 differential diagnosis list. Treatment pathway alignment will be assessed by an independent clinical reviewer using a structured rubric based on NICE guideline adherence.</w:t>
      </w:r>
      <w:r w:rsidDel="00000000" w:rsidR="00000000" w:rsidRPr="00000000">
        <w:rPr>
          <w:rtl w:val="0"/>
        </w:rPr>
      </w:r>
    </w:p>
    <w:p w:rsidR="00000000" w:rsidDel="00000000" w:rsidP="00000000" w:rsidRDefault="00000000" w:rsidRPr="00000000" w14:paraId="0000007E">
      <w:pPr>
        <w:spacing w:after="160" w:before="0" w:lineRule="auto"/>
        <w:jc w:val="both"/>
        <w:rPr/>
      </w:pPr>
      <w:r w:rsidDel="00000000" w:rsidR="00000000" w:rsidRPr="00000000">
        <w:rPr>
          <w:rFonts w:ascii="Calibri" w:cs="Calibri" w:eastAsia="Calibri" w:hAnsi="Calibri"/>
          <w:color w:val="222222"/>
          <w:sz w:val="24"/>
          <w:szCs w:val="24"/>
          <w:rtl w:val="0"/>
        </w:rPr>
        <w:t xml:space="preserve">Agent pipeline latency will be profiled across 50 simulated patient cases with varying record complexity, recording mean and 95th-percentile end-to-end response times. Cognitive load reduction will be approximated using a simulated task completion time comparison between the CareAgent-assisted workflow and a baseline manual workflow on identical MIMIC-III cases.</w:t>
      </w:r>
      <w:r w:rsidDel="00000000" w:rsidR="00000000" w:rsidRPr="00000000">
        <w:rPr>
          <w:rtl w:val="0"/>
        </w:rPr>
      </w:r>
    </w:p>
    <w:p w:rsidR="00000000" w:rsidDel="00000000" w:rsidP="00000000" w:rsidRDefault="00000000" w:rsidRPr="00000000" w14:paraId="0000007F">
      <w:pPr>
        <w:pStyle w:val="Heading2"/>
        <w:spacing w:after="120" w:before="280" w:lineRule="auto"/>
        <w:rPr/>
      </w:pPr>
      <w:r w:rsidDel="00000000" w:rsidR="00000000" w:rsidRPr="00000000">
        <w:rPr>
          <w:rFonts w:ascii="Arial" w:cs="Arial" w:eastAsia="Arial" w:hAnsi="Arial"/>
          <w:b w:val="1"/>
          <w:bCs w:val="1"/>
          <w:color w:val="13315c"/>
          <w:sz w:val="26"/>
          <w:szCs w:val="26"/>
          <w:rtl w:val="0"/>
        </w:rPr>
        <w:t xml:space="preserve">7.2 Qualitative Evaluation</w:t>
      </w:r>
      <w:r w:rsidDel="00000000" w:rsidR="00000000" w:rsidRPr="00000000">
        <w:rPr>
          <w:rtl w:val="0"/>
        </w:rPr>
      </w:r>
    </w:p>
    <w:p w:rsidR="00000000" w:rsidDel="00000000" w:rsidP="00000000" w:rsidRDefault="00000000" w:rsidRPr="00000000" w14:paraId="00000080">
      <w:pPr>
        <w:spacing w:after="160" w:before="0" w:lineRule="auto"/>
        <w:jc w:val="both"/>
        <w:rPr/>
      </w:pPr>
      <w:r w:rsidDel="00000000" w:rsidR="00000000" w:rsidRPr="00000000">
        <w:rPr>
          <w:rFonts w:ascii="Calibri" w:cs="Calibri" w:eastAsia="Calibri" w:hAnsi="Calibri"/>
          <w:color w:val="222222"/>
          <w:sz w:val="24"/>
          <w:szCs w:val="24"/>
          <w:rtl w:val="0"/>
        </w:rPr>
        <w:t xml:space="preserve">A moderated usability study will be conducted with eight participant personas representing clinical roles at varying seniority levels (Foundation Year doctor, Core Medical Trainee, Registrar, and Consultant). Each participant will complete three structured tasks: diagnostic review, treatment plan evaluation, and explanation comprehension. Task completion rates, time-on-task, and self-reported usability (System Usability Scale, Brooke, 1996) will be recorded.</w:t>
      </w:r>
      <w:r w:rsidDel="00000000" w:rsidR="00000000" w:rsidRPr="00000000">
        <w:rPr>
          <w:rtl w:val="0"/>
        </w:rPr>
      </w:r>
    </w:p>
    <w:p w:rsidR="00000000" w:rsidDel="00000000" w:rsidP="00000000" w:rsidRDefault="00000000" w:rsidRPr="00000000" w14:paraId="00000081">
      <w:pPr>
        <w:spacing w:after="160" w:before="0" w:lineRule="auto"/>
        <w:jc w:val="both"/>
        <w:rPr/>
      </w:pPr>
      <w:r w:rsidDel="00000000" w:rsidR="00000000" w:rsidRPr="00000000">
        <w:rPr>
          <w:rFonts w:ascii="Calibri" w:cs="Calibri" w:eastAsia="Calibri" w:hAnsi="Calibri"/>
          <w:color w:val="222222"/>
          <w:sz w:val="24"/>
          <w:szCs w:val="24"/>
          <w:rtl w:val="0"/>
        </w:rPr>
        <w:t xml:space="preserve">Explanation quality will be assessed using a five-point Likert scale across four dimensions: clarity, accuracy, completeness, and trustworthiness. Trust calibration will be measured via the Trust in Automation scale (Jian et al., 2000) before and after three interaction sessions with CareAgent, tracking change over time.</w:t>
      </w:r>
      <w:r w:rsidDel="00000000" w:rsidR="00000000" w:rsidRPr="00000000">
        <w:rPr>
          <w:rtl w:val="0"/>
        </w:rPr>
      </w:r>
    </w:p>
    <w:p w:rsidR="00000000" w:rsidDel="00000000" w:rsidP="00000000" w:rsidRDefault="00000000" w:rsidRPr="00000000" w14:paraId="00000082">
      <w:pPr>
        <w:pStyle w:val="Heading2"/>
        <w:spacing w:after="120" w:before="280" w:lineRule="auto"/>
        <w:rPr/>
      </w:pPr>
      <w:r w:rsidDel="00000000" w:rsidR="00000000" w:rsidRPr="00000000">
        <w:rPr>
          <w:rFonts w:ascii="Arial" w:cs="Arial" w:eastAsia="Arial" w:hAnsi="Arial"/>
          <w:b w:val="1"/>
          <w:bCs w:val="1"/>
          <w:color w:val="13315c"/>
          <w:sz w:val="26"/>
          <w:szCs w:val="26"/>
          <w:rtl w:val="0"/>
        </w:rPr>
        <w:t xml:space="preserve">7.3 Ethical Evaluation</w:t>
      </w:r>
      <w:r w:rsidDel="00000000" w:rsidR="00000000" w:rsidRPr="00000000">
        <w:rPr>
          <w:rtl w:val="0"/>
        </w:rPr>
      </w:r>
    </w:p>
    <w:p w:rsidR="00000000" w:rsidDel="00000000" w:rsidP="00000000" w:rsidRDefault="00000000" w:rsidRPr="00000000" w14:paraId="00000083">
      <w:pPr>
        <w:spacing w:after="160" w:before="0" w:lineRule="auto"/>
        <w:jc w:val="both"/>
        <w:rPr/>
      </w:pPr>
      <w:r w:rsidDel="00000000" w:rsidR="00000000" w:rsidRPr="00000000">
        <w:rPr>
          <w:rFonts w:ascii="Calibri" w:cs="Calibri" w:eastAsia="Calibri" w:hAnsi="Calibri"/>
          <w:color w:val="222222"/>
          <w:sz w:val="24"/>
          <w:szCs w:val="24"/>
          <w:rtl w:val="0"/>
        </w:rPr>
        <w:t xml:space="preserve">Fairness auditing will assess diagnostic accuracy across demographic sub-groups (age quintiles, biological sex, and ethnicity where recorded in MIMIC-III) using equalised odds as the fairness criterion. Any sub-group accuracy gap exceeding 5 percentage points will trigger a bias investigation protocol. The audit methodology follows the NHS AI Lab Fairness Guidance (2023).</w:t>
      </w:r>
      <w:r w:rsidDel="00000000" w:rsidR="00000000" w:rsidRPr="00000000">
        <w:rPr>
          <w:rtl w:val="0"/>
        </w:rPr>
      </w:r>
    </w:p>
    <w:p w:rsidR="00000000" w:rsidDel="00000000" w:rsidP="00000000" w:rsidRDefault="00000000" w:rsidRPr="00000000" w14:paraId="00000084">
      <w:pPr>
        <w:spacing w:after="80" w:before="0" w:lineRule="auto"/>
        <w:rPr/>
      </w:pPr>
      <w:r w:rsidDel="00000000" w:rsidR="00000000" w:rsidRPr="00000000">
        <w:rPr>
          <w:rtl w:val="0"/>
        </w:rPr>
      </w:r>
    </w:p>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pBdr>
          <w:bottom w:color="3d9970" w:space="1" w:sz="6" w:val="single"/>
        </w:pBdr>
        <w:spacing w:after="200" w:before="400" w:lineRule="auto"/>
        <w:rPr/>
      </w:pPr>
      <w:r w:rsidDel="00000000" w:rsidR="00000000" w:rsidRPr="00000000">
        <w:rPr>
          <w:rFonts w:ascii="Arial" w:cs="Arial" w:eastAsia="Arial" w:hAnsi="Arial"/>
          <w:b w:val="1"/>
          <w:bCs w:val="1"/>
          <w:color w:val="0b2545"/>
          <w:sz w:val="32"/>
          <w:szCs w:val="32"/>
          <w:rtl w:val="0"/>
        </w:rPr>
        <w:t xml:space="preserve">8. Ethical Considerations &amp; Governance</w:t>
      </w:r>
      <w:r w:rsidDel="00000000" w:rsidR="00000000" w:rsidRPr="00000000">
        <w:rPr>
          <w:rtl w:val="0"/>
        </w:rPr>
      </w:r>
    </w:p>
    <w:p w:rsidR="00000000" w:rsidDel="00000000" w:rsidP="00000000" w:rsidRDefault="00000000" w:rsidRPr="00000000" w14:paraId="00000087">
      <w:pPr>
        <w:pStyle w:val="Heading2"/>
        <w:spacing w:after="120" w:before="280" w:lineRule="auto"/>
        <w:rPr/>
      </w:pPr>
      <w:r w:rsidDel="00000000" w:rsidR="00000000" w:rsidRPr="00000000">
        <w:rPr>
          <w:rFonts w:ascii="Arial" w:cs="Arial" w:eastAsia="Arial" w:hAnsi="Arial"/>
          <w:b w:val="1"/>
          <w:bCs w:val="1"/>
          <w:color w:val="13315c"/>
          <w:sz w:val="26"/>
          <w:szCs w:val="26"/>
          <w:rtl w:val="0"/>
        </w:rPr>
        <w:t xml:space="preserve">8.1 EU AI Act Compliance</w:t>
      </w:r>
      <w:r w:rsidDel="00000000" w:rsidR="00000000" w:rsidRPr="00000000">
        <w:rPr>
          <w:rtl w:val="0"/>
        </w:rPr>
      </w:r>
    </w:p>
    <w:p w:rsidR="00000000" w:rsidDel="00000000" w:rsidP="00000000" w:rsidRDefault="00000000" w:rsidRPr="00000000" w14:paraId="00000088">
      <w:pPr>
        <w:spacing w:after="160" w:before="0" w:lineRule="auto"/>
        <w:jc w:val="both"/>
        <w:rPr/>
      </w:pPr>
      <w:r w:rsidDel="00000000" w:rsidR="00000000" w:rsidRPr="00000000">
        <w:rPr>
          <w:rFonts w:ascii="Calibri" w:cs="Calibri" w:eastAsia="Calibri" w:hAnsi="Calibri"/>
          <w:color w:val="222222"/>
          <w:sz w:val="24"/>
          <w:szCs w:val="24"/>
          <w:rtl w:val="0"/>
        </w:rPr>
        <w:t xml:space="preserve">CareAgent is classified as a High-Risk AI system under Annex III, Article 6 of the EU AI Act (2024), which explicitly identifies AI intended to assist medical diagnosis and treatment planning in this category. Compliance obligations include: completion of a conformity assessment prior to deployment, establishment of a quality management system, registration in the EU database for high-risk AI systems, post-market monitoring, and a technical file documenting the system design, training data, and evaluation results.</w:t>
      </w:r>
      <w:r w:rsidDel="00000000" w:rsidR="00000000" w:rsidRPr="00000000">
        <w:rPr>
          <w:rtl w:val="0"/>
        </w:rPr>
      </w:r>
    </w:p>
    <w:p w:rsidR="00000000" w:rsidDel="00000000" w:rsidP="00000000" w:rsidRDefault="00000000" w:rsidRPr="00000000" w14:paraId="00000089">
      <w:pPr>
        <w:spacing w:after="160" w:before="0" w:lineRule="auto"/>
        <w:jc w:val="both"/>
        <w:rPr/>
      </w:pPr>
      <w:r w:rsidDel="00000000" w:rsidR="00000000" w:rsidRPr="00000000">
        <w:rPr>
          <w:rFonts w:ascii="Calibri" w:cs="Calibri" w:eastAsia="Calibri" w:hAnsi="Calibri"/>
          <w:color w:val="222222"/>
          <w:sz w:val="24"/>
          <w:szCs w:val="24"/>
          <w:rtl w:val="0"/>
        </w:rPr>
        <w:t xml:space="preserve">The design of CareAgent anticipates these requirements from the outset. The audit log embedded in the Clinician Liaison Agent records every recommendation, the clinician's response, and the SHAP values that underpinned it — creating the post-market monitoring trail required under Article 72. The MIMIC-III evaluation provides the independent accuracy assessment required under Article 9.</w:t>
      </w:r>
      <w:r w:rsidDel="00000000" w:rsidR="00000000" w:rsidRPr="00000000">
        <w:rPr>
          <w:rtl w:val="0"/>
        </w:rPr>
      </w:r>
    </w:p>
    <w:p w:rsidR="00000000" w:rsidDel="00000000" w:rsidP="00000000" w:rsidRDefault="00000000" w:rsidRPr="00000000" w14:paraId="0000008A">
      <w:pPr>
        <w:pStyle w:val="Heading2"/>
        <w:spacing w:after="120" w:before="280" w:lineRule="auto"/>
        <w:rPr/>
      </w:pPr>
      <w:r w:rsidDel="00000000" w:rsidR="00000000" w:rsidRPr="00000000">
        <w:rPr>
          <w:rFonts w:ascii="Arial" w:cs="Arial" w:eastAsia="Arial" w:hAnsi="Arial"/>
          <w:b w:val="1"/>
          <w:bCs w:val="1"/>
          <w:color w:val="13315c"/>
          <w:sz w:val="26"/>
          <w:szCs w:val="26"/>
          <w:rtl w:val="0"/>
        </w:rPr>
        <w:t xml:space="preserve">8.2 Human Accountability</w:t>
      </w:r>
      <w:r w:rsidDel="00000000" w:rsidR="00000000" w:rsidRPr="00000000">
        <w:rPr>
          <w:rtl w:val="0"/>
        </w:rPr>
      </w:r>
    </w:p>
    <w:p w:rsidR="00000000" w:rsidDel="00000000" w:rsidP="00000000" w:rsidRDefault="00000000" w:rsidRPr="00000000" w14:paraId="0000008B">
      <w:pPr>
        <w:spacing w:after="160" w:before="0" w:lineRule="auto"/>
        <w:jc w:val="both"/>
        <w:rPr/>
      </w:pPr>
      <w:r w:rsidDel="00000000" w:rsidR="00000000" w:rsidRPr="00000000">
        <w:rPr>
          <w:rFonts w:ascii="Calibri" w:cs="Calibri" w:eastAsia="Calibri" w:hAnsi="Calibri"/>
          <w:color w:val="222222"/>
          <w:sz w:val="24"/>
          <w:szCs w:val="24"/>
          <w:rtl w:val="0"/>
        </w:rPr>
        <w:t xml:space="preserve">In accordance with the NHS AI Ethics Framework (NHS England, 2023) and the General Medical Council's guidance on AI and clinical responsibility (GMC, 2023), CareAgent is designed such that the registered clinician retains full professional accountability for all clinical decisions. The system provides decision support; it does not make clinical decisions. Every recommendation is presented as advisory, and the clinician's override is both respected and logged as the definitive clinical action.</w:t>
      </w:r>
      <w:r w:rsidDel="00000000" w:rsidR="00000000" w:rsidRPr="00000000">
        <w:rPr>
          <w:rtl w:val="0"/>
        </w:rPr>
      </w:r>
    </w:p>
    <w:p w:rsidR="00000000" w:rsidDel="00000000" w:rsidP="00000000" w:rsidRDefault="00000000" w:rsidRPr="00000000" w14:paraId="0000008C">
      <w:pPr>
        <w:pStyle w:val="Heading2"/>
        <w:spacing w:after="120" w:before="280" w:lineRule="auto"/>
        <w:rPr/>
      </w:pPr>
      <w:r w:rsidDel="00000000" w:rsidR="00000000" w:rsidRPr="00000000">
        <w:rPr>
          <w:rFonts w:ascii="Arial" w:cs="Arial" w:eastAsia="Arial" w:hAnsi="Arial"/>
          <w:b w:val="1"/>
          <w:bCs w:val="1"/>
          <w:color w:val="13315c"/>
          <w:sz w:val="26"/>
          <w:szCs w:val="26"/>
          <w:rtl w:val="0"/>
        </w:rPr>
        <w:t xml:space="preserve">8.3 Data Privacy and GDPR</w:t>
      </w:r>
      <w:r w:rsidDel="00000000" w:rsidR="00000000" w:rsidRPr="00000000">
        <w:rPr>
          <w:rtl w:val="0"/>
        </w:rPr>
      </w:r>
    </w:p>
    <w:p w:rsidR="00000000" w:rsidDel="00000000" w:rsidP="00000000" w:rsidRDefault="00000000" w:rsidRPr="00000000" w14:paraId="0000008D">
      <w:pPr>
        <w:spacing w:after="160" w:before="0" w:lineRule="auto"/>
        <w:jc w:val="both"/>
        <w:rPr/>
      </w:pPr>
      <w:r w:rsidDel="00000000" w:rsidR="00000000" w:rsidRPr="00000000">
        <w:rPr>
          <w:rFonts w:ascii="Calibri" w:cs="Calibri" w:eastAsia="Calibri" w:hAnsi="Calibri"/>
          <w:color w:val="222222"/>
          <w:sz w:val="24"/>
          <w:szCs w:val="24"/>
          <w:rtl w:val="0"/>
        </w:rPr>
        <w:t xml:space="preserve">All patient data processed by CareAgent is classified as special category data under UK GDPR Article 9 (health data). The prototype operates exclusively on de-identified MIMIC-III data. The production architecture employs federated learning, ensuring that patient records are never transmitted outside the hospital network. Differential privacy techniques are applied during model updates to prevent re-identification from gradient information.</w:t>
      </w:r>
      <w:r w:rsidDel="00000000" w:rsidR="00000000" w:rsidRPr="00000000">
        <w:rPr>
          <w:rtl w:val="0"/>
        </w:rPr>
      </w:r>
    </w:p>
    <w:p w:rsidR="00000000" w:rsidDel="00000000" w:rsidP="00000000" w:rsidRDefault="00000000" w:rsidRPr="00000000" w14:paraId="0000008E">
      <w:pPr>
        <w:pStyle w:val="Heading2"/>
        <w:spacing w:after="120" w:before="280" w:lineRule="auto"/>
        <w:rPr/>
      </w:pPr>
      <w:r w:rsidDel="00000000" w:rsidR="00000000" w:rsidRPr="00000000">
        <w:rPr>
          <w:rFonts w:ascii="Arial" w:cs="Arial" w:eastAsia="Arial" w:hAnsi="Arial"/>
          <w:b w:val="1"/>
          <w:bCs w:val="1"/>
          <w:color w:val="13315c"/>
          <w:sz w:val="26"/>
          <w:szCs w:val="26"/>
          <w:rtl w:val="0"/>
        </w:rPr>
        <w:t xml:space="preserve">8.4 Bias Auditing</w:t>
      </w:r>
      <w:r w:rsidDel="00000000" w:rsidR="00000000" w:rsidRPr="00000000">
        <w:rPr>
          <w:rtl w:val="0"/>
        </w:rPr>
      </w:r>
    </w:p>
    <w:p w:rsidR="00000000" w:rsidDel="00000000" w:rsidP="00000000" w:rsidRDefault="00000000" w:rsidRPr="00000000" w14:paraId="0000008F">
      <w:pPr>
        <w:spacing w:after="160" w:before="0" w:lineRule="auto"/>
        <w:jc w:val="both"/>
        <w:rPr/>
      </w:pPr>
      <w:r w:rsidDel="00000000" w:rsidR="00000000" w:rsidRPr="00000000">
        <w:rPr>
          <w:rFonts w:ascii="Calibri" w:cs="Calibri" w:eastAsia="Calibri" w:hAnsi="Calibri"/>
          <w:color w:val="222222"/>
          <w:sz w:val="24"/>
          <w:szCs w:val="24"/>
          <w:rtl w:val="0"/>
        </w:rPr>
        <w:t xml:space="preserve">Monthly bias audits compare CareAgent's diagnostic F1-score across demographic sub-groups using the MIMIC-III stratified test set. Results are reviewed by a clinical governance board and any identified disparities trigger a root-cause analysis and model update cycle. This process is aligned with the NHS's commitment to health equity as articulated in the NHS Long Term Plan (NHS England, 2019).</w:t>
      </w:r>
      <w:r w:rsidDel="00000000" w:rsidR="00000000" w:rsidRPr="00000000">
        <w:rPr>
          <w:rtl w:val="0"/>
        </w:rPr>
      </w:r>
    </w:p>
    <w:p w:rsidR="00000000" w:rsidDel="00000000" w:rsidP="00000000" w:rsidRDefault="00000000" w:rsidRPr="00000000" w14:paraId="00000090">
      <w:pPr>
        <w:spacing w:after="80" w:before="0" w:lineRule="auto"/>
        <w:rPr/>
      </w:pPr>
      <w:r w:rsidDel="00000000" w:rsidR="00000000" w:rsidRPr="00000000">
        <w:rPr>
          <w:rtl w:val="0"/>
        </w:rPr>
      </w:r>
    </w:p>
    <w:p w:rsidR="00000000" w:rsidDel="00000000" w:rsidP="00000000" w:rsidRDefault="00000000" w:rsidRPr="00000000" w14:paraId="00000091">
      <w:pPr>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pBdr>
          <w:bottom w:color="3d9970" w:space="1" w:sz="6" w:val="single"/>
        </w:pBdr>
        <w:spacing w:after="200" w:before="400" w:lineRule="auto"/>
        <w:rPr/>
      </w:pPr>
      <w:r w:rsidDel="00000000" w:rsidR="00000000" w:rsidRPr="00000000">
        <w:rPr>
          <w:rFonts w:ascii="Arial" w:cs="Arial" w:eastAsia="Arial" w:hAnsi="Arial"/>
          <w:b w:val="1"/>
          <w:bCs w:val="1"/>
          <w:color w:val="0b2545"/>
          <w:sz w:val="32"/>
          <w:szCs w:val="32"/>
          <w:rtl w:val="0"/>
        </w:rPr>
        <w:t xml:space="preserve">9. Future Work</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NHS EHR Integration: Replace the simulated MIMIC-III data pipeline with live connections to NHS FHIR-compliant Electronic Patient Record (EPR) systems via NHS Digital APIs.</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Federated Learning Deployment: Extend training across multiple NHS trust networks without sharing patient-identifiable data, enabling population-scale learning while preserving privacy.</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Multimodal Imaging Agent: Add a fifth specialist agent capable of analysing radiology images (chest X-ray, CT, MRI) using a vision-language model, providing integrated imaging-clinical reasoning.</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Reinforcement Learning from Human Feedback (RLHF): Implement a feedback loop in which clinician override patterns provide reward signals to continuously improve agent reasoning quality.</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Rare Disease Expansion: Extend the diagnostic knowledge base to cover rare and orphan diseases, addressing a significant unmet need in clinical practice.</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Global Guideline Localisation: Parameterise the Treatment Planner Agent to support WHO, CDC, and regional health authority guidelines, enabling international deployment.</w:t>
      </w:r>
    </w:p>
    <w:p w:rsidR="00000000" w:rsidDel="00000000" w:rsidP="00000000" w:rsidRDefault="00000000" w:rsidRPr="00000000" w14:paraId="00000099">
      <w:pPr>
        <w:spacing w:after="80" w:before="0" w:lineRule="auto"/>
        <w:rPr/>
      </w:pPr>
      <w:r w:rsidDel="00000000" w:rsidR="00000000" w:rsidRPr="00000000">
        <w:rPr>
          <w:rtl w:val="0"/>
        </w:rPr>
      </w:r>
    </w:p>
    <w:p w:rsidR="00000000" w:rsidDel="00000000" w:rsidP="00000000" w:rsidRDefault="00000000" w:rsidRPr="00000000" w14:paraId="0000009A">
      <w:pPr>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pBdr>
          <w:bottom w:color="3d9970" w:space="1" w:sz="6" w:val="single"/>
        </w:pBdr>
        <w:spacing w:after="200" w:before="400" w:lineRule="auto"/>
        <w:rPr/>
      </w:pPr>
      <w:r w:rsidDel="00000000" w:rsidR="00000000" w:rsidRPr="00000000">
        <w:rPr>
          <w:rFonts w:ascii="Arial" w:cs="Arial" w:eastAsia="Arial" w:hAnsi="Arial"/>
          <w:b w:val="1"/>
          <w:bCs w:val="1"/>
          <w:color w:val="0b2545"/>
          <w:sz w:val="32"/>
          <w:szCs w:val="32"/>
          <w:rtl w:val="0"/>
        </w:rPr>
        <w:t xml:space="preserve">10. Conclusion</w:t>
      </w:r>
      <w:r w:rsidDel="00000000" w:rsidR="00000000" w:rsidRPr="00000000">
        <w:rPr>
          <w:rtl w:val="0"/>
        </w:rPr>
      </w:r>
    </w:p>
    <w:p w:rsidR="00000000" w:rsidDel="00000000" w:rsidP="00000000" w:rsidRDefault="00000000" w:rsidRPr="00000000" w14:paraId="0000009C">
      <w:pPr>
        <w:spacing w:after="160" w:before="0" w:lineRule="auto"/>
        <w:jc w:val="both"/>
        <w:rPr/>
      </w:pPr>
      <w:r w:rsidDel="00000000" w:rsidR="00000000" w:rsidRPr="00000000">
        <w:rPr>
          <w:rFonts w:ascii="Calibri" w:cs="Calibri" w:eastAsia="Calibri" w:hAnsi="Calibri"/>
          <w:color w:val="222222"/>
          <w:sz w:val="24"/>
          <w:szCs w:val="24"/>
          <w:rtl w:val="0"/>
        </w:rPr>
        <w:t xml:space="preserve">CareAgent represents a principled and practically motivated application of multi-agent AI to one of the most consequential challenges in modern medicine: the gap between the volume of available clinical data and a clinician's capacity to synthesise it accurately, quickly, and safely under pressure. By deploying four collaborating specialist agents — Patient Intake, Diagnostic Reasoning, Treatment Planner, and Clinician Liaison — coordinated by an Orchestrator, the system automates the most time-consuming elements of the clinical decision pipeline while ensuring that every recommendation is fully explainable, auditable, and subject to human override.</w:t>
      </w:r>
      <w:r w:rsidDel="00000000" w:rsidR="00000000" w:rsidRPr="00000000">
        <w:rPr>
          <w:rtl w:val="0"/>
        </w:rPr>
      </w:r>
    </w:p>
    <w:p w:rsidR="00000000" w:rsidDel="00000000" w:rsidP="00000000" w:rsidRDefault="00000000" w:rsidRPr="00000000" w14:paraId="0000009D">
      <w:pPr>
        <w:spacing w:after="160" w:before="0" w:lineRule="auto"/>
        <w:jc w:val="both"/>
        <w:rPr/>
      </w:pPr>
      <w:r w:rsidDel="00000000" w:rsidR="00000000" w:rsidRPr="00000000">
        <w:rPr>
          <w:rFonts w:ascii="Calibri" w:cs="Calibri" w:eastAsia="Calibri" w:hAnsi="Calibri"/>
          <w:color w:val="222222"/>
          <w:sz w:val="24"/>
          <w:szCs w:val="24"/>
          <w:rtl w:val="0"/>
        </w:rPr>
        <w:t xml:space="preserve">The system's commitment to XAI-first design directly addresses the trust calibration challenge identified across the clinical AI literature (Kelly et al., 2019; Sendak et al., 2020; Rajpurkar et al., 2022). Its grounding in the MIMIC-III dataset ensures clinical fidelity. Its compliance with the EU AI Act, NHS Ethics Framework, and UK GDPR ensures that it can be responsibly deployed in regulated healthcare environments. And its Human-in-the-Loop architecture ensures that the registered clinician remains accountable — CareAgent enhances clinical judgment rather than attempting to replace it.</w:t>
      </w:r>
      <w:r w:rsidDel="00000000" w:rsidR="00000000" w:rsidRPr="00000000">
        <w:rPr>
          <w:rtl w:val="0"/>
        </w:rPr>
      </w:r>
    </w:p>
    <w:p w:rsidR="00000000" w:rsidDel="00000000" w:rsidP="00000000" w:rsidRDefault="00000000" w:rsidRPr="00000000" w14:paraId="0000009E">
      <w:pPr>
        <w:spacing w:after="160" w:before="0" w:lineRule="auto"/>
        <w:jc w:val="both"/>
        <w:rPr/>
      </w:pPr>
      <w:r w:rsidDel="00000000" w:rsidR="00000000" w:rsidRPr="00000000">
        <w:rPr>
          <w:rFonts w:ascii="Calibri" w:cs="Calibri" w:eastAsia="Calibri" w:hAnsi="Calibri"/>
          <w:color w:val="222222"/>
          <w:sz w:val="24"/>
          <w:szCs w:val="24"/>
          <w:rtl w:val="0"/>
        </w:rPr>
        <w:t xml:space="preserve">This project contributes to the emerging literature on agentic AI in healthcare, and specifically to the underexplored combination of multi-agent orchestration with embedded explainability for acute care decision support. It is anticipated that the findings of the prototype evaluation will provide actionable insights for the broader NHS AI adoption agenda, and that the design patterns demonstrated here will inform the next generation of responsible clinical AI systems.</w:t>
      </w:r>
      <w:r w:rsidDel="00000000" w:rsidR="00000000" w:rsidRPr="00000000">
        <w:rPr>
          <w:rtl w:val="0"/>
        </w:rPr>
      </w:r>
    </w:p>
    <w:p w:rsidR="00000000" w:rsidDel="00000000" w:rsidP="00000000" w:rsidRDefault="00000000" w:rsidRPr="00000000" w14:paraId="0000009F">
      <w:pPr>
        <w:spacing w:after="80" w:before="0" w:lineRule="auto"/>
        <w:rPr/>
      </w:pPr>
      <w:r w:rsidDel="00000000" w:rsidR="00000000" w:rsidRPr="00000000">
        <w:rPr>
          <w:rtl w:val="0"/>
        </w:rPr>
      </w:r>
    </w:p>
    <w:p w:rsidR="00000000" w:rsidDel="00000000" w:rsidP="00000000" w:rsidRDefault="00000000" w:rsidRPr="00000000" w14:paraId="000000A0">
      <w:pPr>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pBdr>
          <w:bottom w:color="3d9970" w:space="1" w:sz="6" w:val="single"/>
        </w:pBdr>
        <w:spacing w:after="200" w:before="400" w:lineRule="auto"/>
        <w:rPr/>
      </w:pPr>
      <w:r w:rsidDel="00000000" w:rsidR="00000000" w:rsidRPr="00000000">
        <w:rPr>
          <w:rFonts w:ascii="Arial" w:cs="Arial" w:eastAsia="Arial" w:hAnsi="Arial"/>
          <w:b w:val="1"/>
          <w:bCs w:val="1"/>
          <w:color w:val="0b2545"/>
          <w:sz w:val="32"/>
          <w:szCs w:val="32"/>
          <w:rtl w:val="0"/>
        </w:rPr>
        <w:t xml:space="preserve">References</w:t>
      </w:r>
      <w:r w:rsidDel="00000000" w:rsidR="00000000" w:rsidRPr="00000000">
        <w:rPr>
          <w:rtl w:val="0"/>
        </w:rPr>
      </w:r>
    </w:p>
    <w:p w:rsidR="00000000" w:rsidDel="00000000" w:rsidP="00000000" w:rsidRDefault="00000000" w:rsidRPr="00000000" w14:paraId="000000A2">
      <w:pPr>
        <w:spacing w:after="120" w:before="0" w:lineRule="auto"/>
        <w:ind w:left="720" w:hanging="720"/>
        <w:rPr/>
      </w:pPr>
      <w:r w:rsidDel="00000000" w:rsidR="00000000" w:rsidRPr="00000000">
        <w:rPr>
          <w:rFonts w:ascii="Calibri" w:cs="Calibri" w:eastAsia="Calibri" w:hAnsi="Calibri"/>
          <w:color w:val="333333"/>
          <w:sz w:val="22"/>
          <w:szCs w:val="22"/>
          <w:rtl w:val="0"/>
        </w:rPr>
        <w:t xml:space="preserve">Berner, E.S. (2009) 'Overview of clinical decision support systems', in Berner, E.S. (ed.) Clinical Decision Support Systems: Theory and Practice. New York: Springer, pp. 3–22.</w:t>
      </w:r>
      <w:r w:rsidDel="00000000" w:rsidR="00000000" w:rsidRPr="00000000">
        <w:rPr>
          <w:rtl w:val="0"/>
        </w:rPr>
      </w:r>
    </w:p>
    <w:p w:rsidR="00000000" w:rsidDel="00000000" w:rsidP="00000000" w:rsidRDefault="00000000" w:rsidRPr="00000000" w14:paraId="000000A3">
      <w:pPr>
        <w:spacing w:after="120" w:before="0" w:lineRule="auto"/>
        <w:ind w:left="720" w:hanging="720"/>
        <w:rPr/>
      </w:pPr>
      <w:r w:rsidDel="00000000" w:rsidR="00000000" w:rsidRPr="00000000">
        <w:rPr>
          <w:rFonts w:ascii="Calibri" w:cs="Calibri" w:eastAsia="Calibri" w:hAnsi="Calibri"/>
          <w:color w:val="333333"/>
          <w:sz w:val="22"/>
          <w:szCs w:val="22"/>
          <w:rtl w:val="0"/>
        </w:rPr>
        <w:t xml:space="preserve">Brooke, J. (1996) 'SUS: A quick and dirty usability scale', in Jordan, P.W. et al. (eds.) Usability Evaluation in Industry. London: Taylor &amp; Francis, pp. 189–194.</w:t>
      </w:r>
      <w:r w:rsidDel="00000000" w:rsidR="00000000" w:rsidRPr="00000000">
        <w:rPr>
          <w:rtl w:val="0"/>
        </w:rPr>
      </w:r>
    </w:p>
    <w:p w:rsidR="00000000" w:rsidDel="00000000" w:rsidP="00000000" w:rsidRDefault="00000000" w:rsidRPr="00000000" w14:paraId="000000A4">
      <w:pPr>
        <w:spacing w:after="120" w:before="0" w:lineRule="auto"/>
        <w:ind w:left="720" w:hanging="720"/>
        <w:rPr/>
      </w:pPr>
      <w:r w:rsidDel="00000000" w:rsidR="00000000" w:rsidRPr="00000000">
        <w:rPr>
          <w:rFonts w:ascii="Calibri" w:cs="Calibri" w:eastAsia="Calibri" w:hAnsi="Calibri"/>
          <w:color w:val="333333"/>
          <w:sz w:val="22"/>
          <w:szCs w:val="22"/>
          <w:rtl w:val="0"/>
        </w:rPr>
        <w:t xml:space="preserve">Chase, H. (2022) LangChain. Available at: https://github.com/langchain-ai/langchain (Accessed: 28 April 2026).</w:t>
      </w:r>
      <w:r w:rsidDel="00000000" w:rsidR="00000000" w:rsidRPr="00000000">
        <w:rPr>
          <w:rtl w:val="0"/>
        </w:rPr>
      </w:r>
    </w:p>
    <w:p w:rsidR="00000000" w:rsidDel="00000000" w:rsidP="00000000" w:rsidRDefault="00000000" w:rsidRPr="00000000" w14:paraId="000000A5">
      <w:pPr>
        <w:spacing w:after="120" w:before="0" w:lineRule="auto"/>
        <w:ind w:left="720" w:hanging="720"/>
        <w:rPr/>
      </w:pPr>
      <w:r w:rsidDel="00000000" w:rsidR="00000000" w:rsidRPr="00000000">
        <w:rPr>
          <w:rFonts w:ascii="Calibri" w:cs="Calibri" w:eastAsia="Calibri" w:hAnsi="Calibri"/>
          <w:color w:val="333333"/>
          <w:sz w:val="22"/>
          <w:szCs w:val="22"/>
          <w:rtl w:val="0"/>
        </w:rPr>
        <w:t xml:space="preserve">Croskerry, P. (2002) 'Achieving quality in clinical decision making: Cognitive strategies and detection of bias', Academic Emergency Medicine, 9(11), pp. 1184–1204.</w:t>
      </w:r>
      <w:r w:rsidDel="00000000" w:rsidR="00000000" w:rsidRPr="00000000">
        <w:rPr>
          <w:rtl w:val="0"/>
        </w:rPr>
      </w:r>
    </w:p>
    <w:p w:rsidR="00000000" w:rsidDel="00000000" w:rsidP="00000000" w:rsidRDefault="00000000" w:rsidRPr="00000000" w14:paraId="000000A6">
      <w:pPr>
        <w:spacing w:after="120" w:before="0" w:lineRule="auto"/>
        <w:ind w:left="720" w:hanging="720"/>
        <w:rPr/>
      </w:pPr>
      <w:r w:rsidDel="00000000" w:rsidR="00000000" w:rsidRPr="00000000">
        <w:rPr>
          <w:rFonts w:ascii="Calibri" w:cs="Calibri" w:eastAsia="Calibri" w:hAnsi="Calibri"/>
          <w:color w:val="333333"/>
          <w:sz w:val="22"/>
          <w:szCs w:val="22"/>
          <w:rtl w:val="0"/>
        </w:rPr>
        <w:t xml:space="preserve">EU AI Act (2024) Regulation (EU) 2024/1689 of the European Parliament and of the Council on Artificial Intelligence. Official Journal of the European Union.</w:t>
      </w:r>
      <w:r w:rsidDel="00000000" w:rsidR="00000000" w:rsidRPr="00000000">
        <w:rPr>
          <w:rtl w:val="0"/>
        </w:rPr>
      </w:r>
    </w:p>
    <w:p w:rsidR="00000000" w:rsidDel="00000000" w:rsidP="00000000" w:rsidRDefault="00000000" w:rsidRPr="00000000" w14:paraId="000000A7">
      <w:pPr>
        <w:spacing w:after="120" w:before="0" w:lineRule="auto"/>
        <w:ind w:left="720" w:hanging="720"/>
        <w:rPr/>
      </w:pPr>
      <w:r w:rsidDel="00000000" w:rsidR="00000000" w:rsidRPr="00000000">
        <w:rPr>
          <w:rFonts w:ascii="Calibri" w:cs="Calibri" w:eastAsia="Calibri" w:hAnsi="Calibri"/>
          <w:color w:val="333333"/>
          <w:sz w:val="22"/>
          <w:szCs w:val="22"/>
          <w:rtl w:val="0"/>
        </w:rPr>
        <w:t xml:space="preserve">GMC (2023) Guidance on Good Practice in Prescribing and Managing Medicines and Devices. General Medical Council. Available at: https://www.gmc-uk.org (Accessed: 28 April 2026).</w:t>
      </w:r>
      <w:r w:rsidDel="00000000" w:rsidR="00000000" w:rsidRPr="00000000">
        <w:rPr>
          <w:rtl w:val="0"/>
        </w:rPr>
      </w:r>
    </w:p>
    <w:p w:rsidR="00000000" w:rsidDel="00000000" w:rsidP="00000000" w:rsidRDefault="00000000" w:rsidRPr="00000000" w14:paraId="000000A8">
      <w:pPr>
        <w:spacing w:after="120" w:before="0" w:lineRule="auto"/>
        <w:ind w:left="720" w:hanging="720"/>
        <w:rPr/>
      </w:pPr>
      <w:r w:rsidDel="00000000" w:rsidR="00000000" w:rsidRPr="00000000">
        <w:rPr>
          <w:rFonts w:ascii="Calibri" w:cs="Calibri" w:eastAsia="Calibri" w:hAnsi="Calibri"/>
          <w:color w:val="333333"/>
          <w:sz w:val="22"/>
          <w:szCs w:val="22"/>
          <w:rtl w:val="0"/>
        </w:rPr>
        <w:t xml:space="preserve">Hevner, A.R. et al. (2004) 'Design science in information systems research', MIS Quarterly, 28(1), pp. 75–105.</w:t>
      </w:r>
      <w:r w:rsidDel="00000000" w:rsidR="00000000" w:rsidRPr="00000000">
        <w:rPr>
          <w:rtl w:val="0"/>
        </w:rPr>
      </w:r>
    </w:p>
    <w:p w:rsidR="00000000" w:rsidDel="00000000" w:rsidP="00000000" w:rsidRDefault="00000000" w:rsidRPr="00000000" w14:paraId="000000A9">
      <w:pPr>
        <w:spacing w:after="120" w:before="0" w:lineRule="auto"/>
        <w:ind w:left="720" w:hanging="720"/>
        <w:rPr/>
      </w:pPr>
      <w:r w:rsidDel="00000000" w:rsidR="00000000" w:rsidRPr="00000000">
        <w:rPr>
          <w:rFonts w:ascii="Calibri" w:cs="Calibri" w:eastAsia="Calibri" w:hAnsi="Calibri"/>
          <w:color w:val="333333"/>
          <w:sz w:val="22"/>
          <w:szCs w:val="22"/>
          <w:rtl w:val="0"/>
        </w:rPr>
        <w:t xml:space="preserve">Jian, J.Y., Bisantz, A.M. and Drury, C.G. (2000) 'Foundations for an empirically determined scale of trust in automated systems', International Journal of Cognitive Ergonomics, 4(1), pp. 53–71.</w:t>
      </w:r>
      <w:r w:rsidDel="00000000" w:rsidR="00000000" w:rsidRPr="00000000">
        <w:rPr>
          <w:rtl w:val="0"/>
        </w:rPr>
      </w:r>
    </w:p>
    <w:p w:rsidR="00000000" w:rsidDel="00000000" w:rsidP="00000000" w:rsidRDefault="00000000" w:rsidRPr="00000000" w14:paraId="000000AA">
      <w:pPr>
        <w:spacing w:after="120" w:before="0" w:lineRule="auto"/>
        <w:ind w:left="720" w:hanging="720"/>
        <w:rPr/>
      </w:pPr>
      <w:r w:rsidDel="00000000" w:rsidR="00000000" w:rsidRPr="00000000">
        <w:rPr>
          <w:rFonts w:ascii="Calibri" w:cs="Calibri" w:eastAsia="Calibri" w:hAnsi="Calibri"/>
          <w:color w:val="333333"/>
          <w:sz w:val="22"/>
          <w:szCs w:val="22"/>
          <w:rtl w:val="0"/>
        </w:rPr>
        <w:t xml:space="preserve">Kelly, C.J. et al. (2019) 'Key challenges for delivering clinical impact with artificial intelligence', BMC Medicine, 17(1), p. 195.</w:t>
      </w:r>
      <w:r w:rsidDel="00000000" w:rsidR="00000000" w:rsidRPr="00000000">
        <w:rPr>
          <w:rtl w:val="0"/>
        </w:rPr>
      </w:r>
    </w:p>
    <w:p w:rsidR="00000000" w:rsidDel="00000000" w:rsidP="00000000" w:rsidRDefault="00000000" w:rsidRPr="00000000" w14:paraId="000000AB">
      <w:pPr>
        <w:spacing w:after="120" w:before="0" w:lineRule="auto"/>
        <w:ind w:left="720" w:hanging="720"/>
        <w:rPr/>
      </w:pPr>
      <w:r w:rsidDel="00000000" w:rsidR="00000000" w:rsidRPr="00000000">
        <w:rPr>
          <w:rFonts w:ascii="Calibri" w:cs="Calibri" w:eastAsia="Calibri" w:hAnsi="Calibri"/>
          <w:color w:val="333333"/>
          <w:sz w:val="22"/>
          <w:szCs w:val="22"/>
          <w:rtl w:val="0"/>
        </w:rPr>
        <w:t xml:space="preserve">Liang, P. et al. (2023) 'Holistic evaluation of language models', Transactions on Machine Learning Research, 2023.</w:t>
      </w:r>
      <w:r w:rsidDel="00000000" w:rsidR="00000000" w:rsidRPr="00000000">
        <w:rPr>
          <w:rtl w:val="0"/>
        </w:rPr>
      </w:r>
    </w:p>
    <w:p w:rsidR="00000000" w:rsidDel="00000000" w:rsidP="00000000" w:rsidRDefault="00000000" w:rsidRPr="00000000" w14:paraId="000000AC">
      <w:pPr>
        <w:spacing w:after="120" w:before="0" w:lineRule="auto"/>
        <w:ind w:left="720" w:hanging="720"/>
        <w:rPr/>
      </w:pPr>
      <w:r w:rsidDel="00000000" w:rsidR="00000000" w:rsidRPr="00000000">
        <w:rPr>
          <w:rFonts w:ascii="Calibri" w:cs="Calibri" w:eastAsia="Calibri" w:hAnsi="Calibri"/>
          <w:color w:val="333333"/>
          <w:sz w:val="22"/>
          <w:szCs w:val="22"/>
          <w:rtl w:val="0"/>
        </w:rPr>
        <w:t xml:space="preserve">Liu, X. et al. (2019) 'A comparison of deep learning performance against health-care professionals in detecting disease from medical imaging', The Lancet Digital Health, 1(6), pp. e271–e297.</w:t>
      </w:r>
      <w:r w:rsidDel="00000000" w:rsidR="00000000" w:rsidRPr="00000000">
        <w:rPr>
          <w:rtl w:val="0"/>
        </w:rPr>
      </w:r>
    </w:p>
    <w:p w:rsidR="00000000" w:rsidDel="00000000" w:rsidP="00000000" w:rsidRDefault="00000000" w:rsidRPr="00000000" w14:paraId="000000AD">
      <w:pPr>
        <w:spacing w:after="120" w:before="0" w:lineRule="auto"/>
        <w:ind w:left="720" w:hanging="720"/>
        <w:rPr/>
      </w:pPr>
      <w:r w:rsidDel="00000000" w:rsidR="00000000" w:rsidRPr="00000000">
        <w:rPr>
          <w:rFonts w:ascii="Calibri" w:cs="Calibri" w:eastAsia="Calibri" w:hAnsi="Calibri"/>
          <w:color w:val="333333"/>
          <w:sz w:val="22"/>
          <w:szCs w:val="22"/>
          <w:rtl w:val="0"/>
        </w:rPr>
        <w:t xml:space="preserve">Lundberg, S.M. and Lee, S.I. (2017) 'A unified approach to interpreting model predictions', Advances in Neural Information Processing Systems, 30.</w:t>
      </w:r>
      <w:r w:rsidDel="00000000" w:rsidR="00000000" w:rsidRPr="00000000">
        <w:rPr>
          <w:rtl w:val="0"/>
        </w:rPr>
      </w:r>
    </w:p>
    <w:p w:rsidR="00000000" w:rsidDel="00000000" w:rsidP="00000000" w:rsidRDefault="00000000" w:rsidRPr="00000000" w14:paraId="000000AE">
      <w:pPr>
        <w:spacing w:after="120" w:before="0" w:lineRule="auto"/>
        <w:ind w:left="720" w:hanging="720"/>
        <w:rPr/>
      </w:pPr>
      <w:r w:rsidDel="00000000" w:rsidR="00000000" w:rsidRPr="00000000">
        <w:rPr>
          <w:rFonts w:ascii="Calibri" w:cs="Calibri" w:eastAsia="Calibri" w:hAnsi="Calibri"/>
          <w:color w:val="333333"/>
          <w:sz w:val="22"/>
          <w:szCs w:val="22"/>
          <w:rtl w:val="0"/>
        </w:rPr>
        <w:t xml:space="preserve">Moura, J. (2024) CrewAI: Framework for orchestrating role-playing, autonomous AI agents. Available at: https://github.com/joaomdmoura/crewAI (Accessed: 28 April 2026).</w:t>
      </w:r>
      <w:r w:rsidDel="00000000" w:rsidR="00000000" w:rsidRPr="00000000">
        <w:rPr>
          <w:rtl w:val="0"/>
        </w:rPr>
      </w:r>
    </w:p>
    <w:p w:rsidR="00000000" w:rsidDel="00000000" w:rsidP="00000000" w:rsidRDefault="00000000" w:rsidRPr="00000000" w14:paraId="000000AF">
      <w:pPr>
        <w:spacing w:after="120" w:before="0" w:lineRule="auto"/>
        <w:ind w:left="720" w:hanging="720"/>
        <w:rPr/>
      </w:pPr>
      <w:r w:rsidDel="00000000" w:rsidR="00000000" w:rsidRPr="00000000">
        <w:rPr>
          <w:rFonts w:ascii="Calibri" w:cs="Calibri" w:eastAsia="Calibri" w:hAnsi="Calibri"/>
          <w:color w:val="333333"/>
          <w:sz w:val="22"/>
          <w:szCs w:val="22"/>
          <w:rtl w:val="0"/>
        </w:rPr>
        <w:t xml:space="preserve">NHS Digital (2023) NHS Workforce Statistics: Time Use Survey. Available at: https://digital.nhs.uk (Accessed: 28 April 2026).</w:t>
      </w:r>
      <w:r w:rsidDel="00000000" w:rsidR="00000000" w:rsidRPr="00000000">
        <w:rPr>
          <w:rtl w:val="0"/>
        </w:rPr>
      </w:r>
    </w:p>
    <w:p w:rsidR="00000000" w:rsidDel="00000000" w:rsidP="00000000" w:rsidRDefault="00000000" w:rsidRPr="00000000" w14:paraId="000000B0">
      <w:pPr>
        <w:spacing w:after="120" w:before="0" w:lineRule="auto"/>
        <w:ind w:left="720" w:hanging="720"/>
        <w:rPr/>
      </w:pPr>
      <w:r w:rsidDel="00000000" w:rsidR="00000000" w:rsidRPr="00000000">
        <w:rPr>
          <w:rFonts w:ascii="Calibri" w:cs="Calibri" w:eastAsia="Calibri" w:hAnsi="Calibri"/>
          <w:color w:val="333333"/>
          <w:sz w:val="22"/>
          <w:szCs w:val="22"/>
          <w:rtl w:val="0"/>
        </w:rPr>
        <w:t xml:space="preserve">NHS England (2019) The NHS Long Term Plan. Available at: https://www.longtermplan.nhs.uk (Accessed: 28 April 2026).</w:t>
      </w:r>
      <w:r w:rsidDel="00000000" w:rsidR="00000000" w:rsidRPr="00000000">
        <w:rPr>
          <w:rtl w:val="0"/>
        </w:rPr>
      </w:r>
    </w:p>
    <w:p w:rsidR="00000000" w:rsidDel="00000000" w:rsidP="00000000" w:rsidRDefault="00000000" w:rsidRPr="00000000" w14:paraId="000000B1">
      <w:pPr>
        <w:spacing w:after="120" w:before="0" w:lineRule="auto"/>
        <w:ind w:left="720" w:hanging="720"/>
        <w:rPr/>
      </w:pPr>
      <w:r w:rsidDel="00000000" w:rsidR="00000000" w:rsidRPr="00000000">
        <w:rPr>
          <w:rFonts w:ascii="Calibri" w:cs="Calibri" w:eastAsia="Calibri" w:hAnsi="Calibri"/>
          <w:color w:val="333333"/>
          <w:sz w:val="22"/>
          <w:szCs w:val="22"/>
          <w:rtl w:val="0"/>
        </w:rPr>
        <w:t xml:space="preserve">NHS England (2022) Patient Safety Strategy. Available at: https://www.england.nhs.uk/patient-safety (Accessed: 28 April 2026).</w:t>
      </w:r>
      <w:r w:rsidDel="00000000" w:rsidR="00000000" w:rsidRPr="00000000">
        <w:rPr>
          <w:rtl w:val="0"/>
        </w:rPr>
      </w:r>
    </w:p>
    <w:p w:rsidR="00000000" w:rsidDel="00000000" w:rsidP="00000000" w:rsidRDefault="00000000" w:rsidRPr="00000000" w14:paraId="000000B2">
      <w:pPr>
        <w:spacing w:after="120" w:before="0" w:lineRule="auto"/>
        <w:ind w:left="720" w:hanging="720"/>
        <w:rPr/>
      </w:pPr>
      <w:r w:rsidDel="00000000" w:rsidR="00000000" w:rsidRPr="00000000">
        <w:rPr>
          <w:rFonts w:ascii="Calibri" w:cs="Calibri" w:eastAsia="Calibri" w:hAnsi="Calibri"/>
          <w:color w:val="333333"/>
          <w:sz w:val="22"/>
          <w:szCs w:val="22"/>
          <w:rtl w:val="0"/>
        </w:rPr>
        <w:t xml:space="preserve">NHS England (2023) NHS AI Ethics Framework. Available at: https://www.england.nhs.uk/digitaltechnology/a-i/ (Accessed: 28 April 2026).</w:t>
      </w:r>
      <w:r w:rsidDel="00000000" w:rsidR="00000000" w:rsidRPr="00000000">
        <w:rPr>
          <w:rtl w:val="0"/>
        </w:rPr>
      </w:r>
    </w:p>
    <w:p w:rsidR="00000000" w:rsidDel="00000000" w:rsidP="00000000" w:rsidRDefault="00000000" w:rsidRPr="00000000" w14:paraId="000000B3">
      <w:pPr>
        <w:spacing w:after="120" w:before="0" w:lineRule="auto"/>
        <w:ind w:left="720" w:hanging="720"/>
        <w:rPr/>
      </w:pPr>
      <w:r w:rsidDel="00000000" w:rsidR="00000000" w:rsidRPr="00000000">
        <w:rPr>
          <w:rFonts w:ascii="Calibri" w:cs="Calibri" w:eastAsia="Calibri" w:hAnsi="Calibri"/>
          <w:color w:val="333333"/>
          <w:sz w:val="22"/>
          <w:szCs w:val="22"/>
          <w:rtl w:val="0"/>
        </w:rPr>
        <w:t xml:space="preserve">Obermeyer, Z. et al. (2019) 'Dissecting racial bias in an algorithm used to manage the health of populations', Science, 366(6464), pp. 447–453.</w:t>
      </w:r>
      <w:r w:rsidDel="00000000" w:rsidR="00000000" w:rsidRPr="00000000">
        <w:rPr>
          <w:rtl w:val="0"/>
        </w:rPr>
      </w:r>
    </w:p>
    <w:p w:rsidR="00000000" w:rsidDel="00000000" w:rsidP="00000000" w:rsidRDefault="00000000" w:rsidRPr="00000000" w14:paraId="000000B4">
      <w:pPr>
        <w:spacing w:after="120" w:before="0" w:lineRule="auto"/>
        <w:ind w:left="720" w:hanging="720"/>
        <w:rPr/>
      </w:pPr>
      <w:r w:rsidDel="00000000" w:rsidR="00000000" w:rsidRPr="00000000">
        <w:rPr>
          <w:rFonts w:ascii="Calibri" w:cs="Calibri" w:eastAsia="Calibri" w:hAnsi="Calibri"/>
          <w:color w:val="333333"/>
          <w:sz w:val="22"/>
          <w:szCs w:val="22"/>
          <w:rtl w:val="0"/>
        </w:rPr>
        <w:t xml:space="preserve">Rajpurkar, P. et al. (2022) 'AI in health and medicine', Nature Medicine, 28(1), pp. 31–38.</w:t>
      </w:r>
      <w:r w:rsidDel="00000000" w:rsidR="00000000" w:rsidRPr="00000000">
        <w:rPr>
          <w:rtl w:val="0"/>
        </w:rPr>
      </w:r>
    </w:p>
    <w:p w:rsidR="00000000" w:rsidDel="00000000" w:rsidP="00000000" w:rsidRDefault="00000000" w:rsidRPr="00000000" w14:paraId="000000B5">
      <w:pPr>
        <w:spacing w:after="120" w:before="0" w:lineRule="auto"/>
        <w:ind w:left="720" w:hanging="720"/>
        <w:rPr/>
      </w:pPr>
      <w:r w:rsidDel="00000000" w:rsidR="00000000" w:rsidRPr="00000000">
        <w:rPr>
          <w:rFonts w:ascii="Calibri" w:cs="Calibri" w:eastAsia="Calibri" w:hAnsi="Calibri"/>
          <w:color w:val="333333"/>
          <w:sz w:val="22"/>
          <w:szCs w:val="22"/>
          <w:rtl w:val="0"/>
        </w:rPr>
        <w:t xml:space="preserve">Raza, A. and Ruvinova, T. (2023) 'Multi-agent systems for hospital resource allocation: A simulation study', Journal of Medical Systems, 47(1), p. 12.</w:t>
      </w:r>
      <w:r w:rsidDel="00000000" w:rsidR="00000000" w:rsidRPr="00000000">
        <w:rPr>
          <w:rtl w:val="0"/>
        </w:rPr>
      </w:r>
    </w:p>
    <w:p w:rsidR="00000000" w:rsidDel="00000000" w:rsidP="00000000" w:rsidRDefault="00000000" w:rsidRPr="00000000" w14:paraId="000000B6">
      <w:pPr>
        <w:spacing w:after="120" w:before="0" w:lineRule="auto"/>
        <w:ind w:left="720" w:hanging="720"/>
        <w:rPr/>
      </w:pPr>
      <w:r w:rsidDel="00000000" w:rsidR="00000000" w:rsidRPr="00000000">
        <w:rPr>
          <w:rFonts w:ascii="Calibri" w:cs="Calibri" w:eastAsia="Calibri" w:hAnsi="Calibri"/>
          <w:color w:val="333333"/>
          <w:sz w:val="22"/>
          <w:szCs w:val="22"/>
          <w:rtl w:val="0"/>
        </w:rPr>
        <w:t xml:space="preserve">Sendak, M.P. et al. (2020) 'A real-world implementation and randomized trial of an AI system to prevent deterioration in hospitalized patients', NPJ Digital Medicine, 3(1), p. 85.</w:t>
      </w:r>
      <w:r w:rsidDel="00000000" w:rsidR="00000000" w:rsidRPr="00000000">
        <w:rPr>
          <w:rtl w:val="0"/>
        </w:rPr>
      </w:r>
    </w:p>
    <w:p w:rsidR="00000000" w:rsidDel="00000000" w:rsidP="00000000" w:rsidRDefault="00000000" w:rsidRPr="00000000" w14:paraId="000000B7">
      <w:pPr>
        <w:spacing w:after="120" w:before="0" w:lineRule="auto"/>
        <w:ind w:left="720" w:hanging="720"/>
        <w:rPr/>
      </w:pPr>
      <w:r w:rsidDel="00000000" w:rsidR="00000000" w:rsidRPr="00000000">
        <w:rPr>
          <w:rFonts w:ascii="Calibri" w:cs="Calibri" w:eastAsia="Calibri" w:hAnsi="Calibri"/>
          <w:color w:val="333333"/>
          <w:sz w:val="22"/>
          <w:szCs w:val="22"/>
          <w:rtl w:val="0"/>
        </w:rPr>
        <w:t xml:space="preserve">Seymour, C.W. et al. (2016) 'Time to treatment and mortality during mandated emergency care for sepsis', New England Journal of Medicine, 376(23), pp. 2235–2244.</w:t>
      </w:r>
      <w:r w:rsidDel="00000000" w:rsidR="00000000" w:rsidRPr="00000000">
        <w:rPr>
          <w:rtl w:val="0"/>
        </w:rPr>
      </w:r>
    </w:p>
    <w:p w:rsidR="00000000" w:rsidDel="00000000" w:rsidP="00000000" w:rsidRDefault="00000000" w:rsidRPr="00000000" w14:paraId="000000B8">
      <w:pPr>
        <w:spacing w:after="120" w:before="0" w:lineRule="auto"/>
        <w:ind w:left="720" w:hanging="720"/>
        <w:rPr/>
      </w:pPr>
      <w:r w:rsidDel="00000000" w:rsidR="00000000" w:rsidRPr="00000000">
        <w:rPr>
          <w:rFonts w:ascii="Calibri" w:cs="Calibri" w:eastAsia="Calibri" w:hAnsi="Calibri"/>
          <w:color w:val="333333"/>
          <w:sz w:val="22"/>
          <w:szCs w:val="22"/>
          <w:rtl w:val="0"/>
        </w:rPr>
        <w:t xml:space="preserve">Singh, H. et al. (2023) 'The frequency of diagnostic errors in outpatient care: Estimations from three large observational studies', BMJ Quality &amp; Safety, 32(1), pp. 1–12.</w:t>
      </w:r>
      <w:r w:rsidDel="00000000" w:rsidR="00000000" w:rsidRPr="00000000">
        <w:rPr>
          <w:rtl w:val="0"/>
        </w:rPr>
      </w:r>
    </w:p>
    <w:p w:rsidR="00000000" w:rsidDel="00000000" w:rsidP="00000000" w:rsidRDefault="00000000" w:rsidRPr="00000000" w14:paraId="000000B9">
      <w:pPr>
        <w:spacing w:after="120" w:before="0" w:lineRule="auto"/>
        <w:ind w:left="720" w:hanging="720"/>
        <w:rPr/>
      </w:pPr>
      <w:r w:rsidDel="00000000" w:rsidR="00000000" w:rsidRPr="00000000">
        <w:rPr>
          <w:rFonts w:ascii="Calibri" w:cs="Calibri" w:eastAsia="Calibri" w:hAnsi="Calibri"/>
          <w:color w:val="333333"/>
          <w:sz w:val="22"/>
          <w:szCs w:val="22"/>
          <w:rtl w:val="0"/>
        </w:rPr>
        <w:t xml:space="preserve">Wooldridge, M. (2009) An Introduction to MultiAgent Systems. 2nd edn. Chichester: John Wiley &amp; Sons.</w:t>
      </w:r>
      <w:r w:rsidDel="00000000" w:rsidR="00000000" w:rsidRPr="00000000">
        <w:rPr>
          <w:rtl w:val="0"/>
        </w:rPr>
      </w:r>
    </w:p>
    <w:p w:rsidR="00000000" w:rsidDel="00000000" w:rsidP="00000000" w:rsidRDefault="00000000" w:rsidRPr="00000000" w14:paraId="000000BA">
      <w:pPr>
        <w:spacing w:after="120" w:before="0" w:lineRule="auto"/>
        <w:ind w:left="720" w:hanging="720"/>
        <w:rPr/>
      </w:pPr>
      <w:r w:rsidDel="00000000" w:rsidR="00000000" w:rsidRPr="00000000">
        <w:rPr>
          <w:rFonts w:ascii="Calibri" w:cs="Calibri" w:eastAsia="Calibri" w:hAnsi="Calibri"/>
          <w:color w:val="333333"/>
          <w:sz w:val="22"/>
          <w:szCs w:val="22"/>
          <w:rtl w:val="0"/>
        </w:rPr>
        <w:t xml:space="preserve">Wu, Q. et al. (2023) 'AutoGen: Enabling next-gen LLM applications via multi-agent conversation', arXiv preprint arXiv:2308.08155.</w:t>
      </w:r>
      <w:r w:rsidDel="00000000" w:rsidR="00000000" w:rsidRPr="00000000">
        <w:rPr>
          <w:rtl w:val="0"/>
        </w:rPr>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pBdr>
        <w:bottom w:color="3d9970" w:space="1" w:sz="4" w:val="single"/>
      </w:pBdr>
      <w:spacing w:after="120" w:lineRule="auto"/>
      <w:rPr/>
    </w:pPr>
    <w:r w:rsidDel="00000000" w:rsidR="00000000" w:rsidRPr="00000000">
      <w:rPr>
        <w:rFonts w:ascii="Calibri" w:cs="Calibri" w:eastAsia="Calibri" w:hAnsi="Calibri"/>
        <w:i w:val="1"/>
        <w:iCs w:val="1"/>
        <w:color w:val="555555"/>
        <w:sz w:val="20"/>
        <w:szCs w:val="20"/>
        <w:rtl w:val="0"/>
      </w:rPr>
      <w:t xml:space="preserve">CareAgent — AI-Driven Healthcare Decision Support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0b254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3315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I5/nxiDnBX8bjQspU5Ia+iHx/A==">CgMxLjA4AHIhMXY3U2VWSHN1MmdBUU96ekVUX2dCVGhEaTItWkdNaVZD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