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6E97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Quality of English Language</w:t>
      </w:r>
    </w:p>
    <w:p w14:paraId="30E7958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could be improved to more clearly express the research.</w:t>
      </w:r>
      <w:r>
        <w:rPr>
          <w:rFonts w:hint="default" w:ascii="Arial" w:hAnsi="Arial" w:eastAsia="宋体" w:cs="Arial"/>
          <w:i w:val="0"/>
          <w:iCs w:val="0"/>
          <w:caps w:val="0"/>
          <w:color w:val="0A0A0A"/>
          <w:spacing w:val="0"/>
          <w:kern w:val="0"/>
          <w:sz w:val="19"/>
          <w:szCs w:val="19"/>
          <w:bdr w:val="none" w:color="auto" w:sz="0" w:space="0"/>
          <w:lang w:val="en-US" w:eastAsia="zh-CN" w:bidi="ar"/>
        </w:rPr>
        <w:br w:type="textWrapping"/>
      </w:r>
      <w:r>
        <w:rPr>
          <w:rStyle w:val="5"/>
          <w:rFonts w:hint="default" w:ascii="Arial" w:hAnsi="Arial" w:eastAsia="宋体" w:cs="Arial"/>
          <w:i w:val="0"/>
          <w:iCs w:val="0"/>
          <w:caps w:val="0"/>
          <w:color w:val="0A0A0A"/>
          <w:spacing w:val="0"/>
          <w:kern w:val="0"/>
          <w:sz w:val="19"/>
          <w:szCs w:val="19"/>
          <w:bdr w:val="none" w:color="auto" w:sz="0" w:space="0"/>
          <w:lang w:val="en-US" w:eastAsia="zh-CN" w:bidi="ar"/>
        </w:rPr>
        <w:t>(x)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is fine and does not require any improvement.</w:t>
      </w:r>
    </w:p>
    <w:tbl>
      <w:tblPr>
        <w:tblW w:w="174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439"/>
      </w:tblGrid>
      <w:tr w14:paraId="71914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1C75CFF0">
            <w:pPr>
              <w:jc w:val="both"/>
              <w:rPr>
                <w:rFonts w:hint="default" w:ascii="Arial" w:hAnsi="Arial" w:cs="Arial"/>
                <w:i w:val="0"/>
                <w:iCs w:val="0"/>
                <w:caps w:val="0"/>
                <w:color w:val="0A0A0A"/>
                <w:spacing w:val="0"/>
                <w:sz w:val="19"/>
                <w:szCs w:val="19"/>
              </w:rPr>
            </w:pPr>
          </w:p>
        </w:tc>
      </w:tr>
    </w:tbl>
    <w:p w14:paraId="19D93527">
      <w:pPr>
        <w:jc w:val="both"/>
        <w:rPr>
          <w:vanish/>
          <w:sz w:val="24"/>
          <w:szCs w:val="24"/>
        </w:rPr>
      </w:pP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715"/>
        <w:gridCol w:w="784"/>
        <w:gridCol w:w="951"/>
        <w:gridCol w:w="951"/>
        <w:gridCol w:w="1028"/>
      </w:tblGrid>
      <w:tr w14:paraId="7A31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40ABF3A7">
            <w:pPr>
              <w:jc w:val="both"/>
              <w:rPr>
                <w:rFonts w:hint="default" w:ascii="Arial" w:hAnsi="Arial" w:cs="Arial"/>
                <w:i w:val="0"/>
                <w:iCs w:val="0"/>
                <w:caps w:val="0"/>
                <w:color w:val="0A0A0A"/>
                <w:spacing w:val="0"/>
                <w:sz w:val="19"/>
                <w:szCs w:val="19"/>
              </w:rPr>
            </w:pPr>
          </w:p>
        </w:tc>
        <w:tc>
          <w:tcPr>
            <w:tcW w:w="465" w:type="pct"/>
            <w:shd w:val="clear"/>
            <w:tcMar>
              <w:top w:w="63" w:type="dxa"/>
              <w:left w:w="63" w:type="dxa"/>
              <w:bottom w:w="63" w:type="dxa"/>
              <w:right w:w="63" w:type="dxa"/>
            </w:tcMar>
            <w:vAlign w:val="center"/>
          </w:tcPr>
          <w:p w14:paraId="1C3521A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Yes</w:t>
            </w:r>
          </w:p>
        </w:tc>
        <w:tc>
          <w:tcPr>
            <w:tcW w:w="564" w:type="pct"/>
            <w:shd w:val="clear"/>
            <w:tcMar>
              <w:top w:w="63" w:type="dxa"/>
              <w:left w:w="63" w:type="dxa"/>
              <w:bottom w:w="63" w:type="dxa"/>
              <w:right w:w="63" w:type="dxa"/>
            </w:tcMar>
            <w:vAlign w:val="center"/>
          </w:tcPr>
          <w:p w14:paraId="4183409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Can be improved</w:t>
            </w:r>
          </w:p>
        </w:tc>
        <w:tc>
          <w:tcPr>
            <w:tcW w:w="564" w:type="pct"/>
            <w:shd w:val="clear"/>
            <w:tcMar>
              <w:top w:w="63" w:type="dxa"/>
              <w:left w:w="63" w:type="dxa"/>
              <w:bottom w:w="63" w:type="dxa"/>
              <w:right w:w="63" w:type="dxa"/>
            </w:tcMar>
            <w:vAlign w:val="center"/>
          </w:tcPr>
          <w:p w14:paraId="7B9A3C7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Must be improved</w:t>
            </w:r>
          </w:p>
        </w:tc>
        <w:tc>
          <w:tcPr>
            <w:tcW w:w="609" w:type="pct"/>
            <w:shd w:val="clear"/>
            <w:tcMar>
              <w:top w:w="63" w:type="dxa"/>
              <w:left w:w="63" w:type="dxa"/>
              <w:bottom w:w="63" w:type="dxa"/>
              <w:right w:w="63" w:type="dxa"/>
            </w:tcMar>
            <w:vAlign w:val="center"/>
          </w:tcPr>
          <w:p w14:paraId="4DDE205A">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Not applicable</w:t>
            </w:r>
          </w:p>
        </w:tc>
      </w:tr>
      <w:tr w14:paraId="68A72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7A04E0D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Does the introduction provide sufficient background and include all relevant references?</w:t>
            </w:r>
          </w:p>
        </w:tc>
        <w:tc>
          <w:tcPr>
            <w:tcW w:w="465" w:type="pct"/>
            <w:shd w:val="clear"/>
            <w:tcMar>
              <w:top w:w="63" w:type="dxa"/>
              <w:left w:w="63" w:type="dxa"/>
              <w:bottom w:w="63" w:type="dxa"/>
              <w:right w:w="63" w:type="dxa"/>
            </w:tcMar>
            <w:vAlign w:val="center"/>
          </w:tcPr>
          <w:p w14:paraId="3F5EE56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1920BDF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46D1A45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609" w:type="pct"/>
            <w:shd w:val="clear"/>
            <w:tcMar>
              <w:top w:w="63" w:type="dxa"/>
              <w:left w:w="63" w:type="dxa"/>
              <w:bottom w:w="63" w:type="dxa"/>
              <w:right w:w="63" w:type="dxa"/>
            </w:tcMar>
            <w:vAlign w:val="center"/>
          </w:tcPr>
          <w:p w14:paraId="5A1A34D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17557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458CA10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Is the research design appropriate?</w:t>
            </w:r>
          </w:p>
        </w:tc>
        <w:tc>
          <w:tcPr>
            <w:tcW w:w="465" w:type="pct"/>
            <w:shd w:val="clear"/>
            <w:tcMar>
              <w:top w:w="63" w:type="dxa"/>
              <w:left w:w="63" w:type="dxa"/>
              <w:bottom w:w="63" w:type="dxa"/>
              <w:right w:w="63" w:type="dxa"/>
            </w:tcMar>
            <w:vAlign w:val="center"/>
          </w:tcPr>
          <w:p w14:paraId="45A8215E">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0272344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59491FE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08DC02E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48D46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58D0D4C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the methods adequately described?</w:t>
            </w:r>
          </w:p>
        </w:tc>
        <w:tc>
          <w:tcPr>
            <w:tcW w:w="465" w:type="pct"/>
            <w:shd w:val="clear"/>
            <w:tcMar>
              <w:top w:w="63" w:type="dxa"/>
              <w:left w:w="63" w:type="dxa"/>
              <w:bottom w:w="63" w:type="dxa"/>
              <w:right w:w="63" w:type="dxa"/>
            </w:tcMar>
            <w:vAlign w:val="center"/>
          </w:tcPr>
          <w:p w14:paraId="35C9D7B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1EAE8DA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6125219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47BE9C0D">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559CD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432105EA">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the results clearly presented?</w:t>
            </w:r>
          </w:p>
        </w:tc>
        <w:tc>
          <w:tcPr>
            <w:tcW w:w="465" w:type="pct"/>
            <w:shd w:val="clear"/>
            <w:tcMar>
              <w:top w:w="63" w:type="dxa"/>
              <w:left w:w="63" w:type="dxa"/>
              <w:bottom w:w="63" w:type="dxa"/>
              <w:right w:w="63" w:type="dxa"/>
            </w:tcMar>
            <w:vAlign w:val="center"/>
          </w:tcPr>
          <w:p w14:paraId="0D54AAA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2E6B408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58F89EB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609" w:type="pct"/>
            <w:shd w:val="clear"/>
            <w:tcMar>
              <w:top w:w="63" w:type="dxa"/>
              <w:left w:w="63" w:type="dxa"/>
              <w:bottom w:w="63" w:type="dxa"/>
              <w:right w:w="63" w:type="dxa"/>
            </w:tcMar>
            <w:vAlign w:val="center"/>
          </w:tcPr>
          <w:p w14:paraId="4DCBD3C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1CDCC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3E5801E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the conclusions supported by the results?</w:t>
            </w:r>
          </w:p>
        </w:tc>
        <w:tc>
          <w:tcPr>
            <w:tcW w:w="465" w:type="pct"/>
            <w:shd w:val="clear"/>
            <w:tcMar>
              <w:top w:w="63" w:type="dxa"/>
              <w:left w:w="63" w:type="dxa"/>
              <w:bottom w:w="63" w:type="dxa"/>
              <w:right w:w="63" w:type="dxa"/>
            </w:tcMar>
            <w:vAlign w:val="center"/>
          </w:tcPr>
          <w:p w14:paraId="30EEBF1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3BC0F9F4">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00E8FACE">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4BF608A8">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r w14:paraId="25C8A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6" w:type="pct"/>
            <w:shd w:val="clear"/>
            <w:tcMar>
              <w:top w:w="63" w:type="dxa"/>
              <w:left w:w="63" w:type="dxa"/>
              <w:bottom w:w="63" w:type="dxa"/>
              <w:right w:w="63" w:type="dxa"/>
            </w:tcMar>
            <w:vAlign w:val="center"/>
          </w:tcPr>
          <w:p w14:paraId="63C0845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Are all figures and tables clear and well-presented?</w:t>
            </w:r>
          </w:p>
        </w:tc>
        <w:tc>
          <w:tcPr>
            <w:tcW w:w="465" w:type="pct"/>
            <w:shd w:val="clear"/>
            <w:tcMar>
              <w:top w:w="63" w:type="dxa"/>
              <w:left w:w="63" w:type="dxa"/>
              <w:bottom w:w="63" w:type="dxa"/>
              <w:right w:w="63" w:type="dxa"/>
            </w:tcMar>
            <w:vAlign w:val="center"/>
          </w:tcPr>
          <w:p w14:paraId="209296D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564" w:type="pct"/>
            <w:shd w:val="clear"/>
            <w:tcMar>
              <w:top w:w="63" w:type="dxa"/>
              <w:left w:w="63" w:type="dxa"/>
              <w:bottom w:w="63" w:type="dxa"/>
              <w:right w:w="63" w:type="dxa"/>
            </w:tcMar>
            <w:vAlign w:val="center"/>
          </w:tcPr>
          <w:p w14:paraId="63B0DC5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(x)</w:t>
            </w:r>
          </w:p>
        </w:tc>
        <w:tc>
          <w:tcPr>
            <w:tcW w:w="564" w:type="pct"/>
            <w:shd w:val="clear"/>
            <w:tcMar>
              <w:top w:w="63" w:type="dxa"/>
              <w:left w:w="63" w:type="dxa"/>
              <w:bottom w:w="63" w:type="dxa"/>
              <w:right w:w="63" w:type="dxa"/>
            </w:tcMar>
            <w:vAlign w:val="center"/>
          </w:tcPr>
          <w:p w14:paraId="0231E22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c>
          <w:tcPr>
            <w:tcW w:w="609" w:type="pct"/>
            <w:shd w:val="clear"/>
            <w:tcMar>
              <w:top w:w="63" w:type="dxa"/>
              <w:left w:w="63" w:type="dxa"/>
              <w:bottom w:w="63" w:type="dxa"/>
              <w:right w:w="63" w:type="dxa"/>
            </w:tcMar>
            <w:vAlign w:val="center"/>
          </w:tcPr>
          <w:p w14:paraId="5832D159">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5"/>
                <w:rFonts w:hint="default" w:ascii="Arial" w:hAnsi="Arial" w:eastAsia="宋体" w:cs="Arial"/>
                <w:i w:val="0"/>
                <w:iCs w:val="0"/>
                <w:caps w:val="0"/>
                <w:color w:val="0A0A0A"/>
                <w:spacing w:val="0"/>
                <w:kern w:val="0"/>
                <w:sz w:val="19"/>
                <w:szCs w:val="19"/>
                <w:bdr w:val="none" w:color="auto" w:sz="0" w:space="0"/>
                <w:lang w:val="en-US" w:eastAsia="zh-CN" w:bidi="ar"/>
              </w:rPr>
              <w:t>( )</w:t>
            </w:r>
          </w:p>
        </w:tc>
      </w:tr>
    </w:tbl>
    <w:p w14:paraId="069E909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Comments and Suggestions for Authors</w:t>
      </w:r>
    </w:p>
    <w:p w14:paraId="319C5751">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This paper proposes a Deep Operator Network (DeepONet) with a branch–trunk factorization for macroscopic short-term speed forecasting in logistics-oriented traffic networks.  Using a simulation-based framework with SUMO-generated data driven by Solomon demand instances, the study treats boundary conditions as functional inputs and argues that this operator-learning approach reduces retraining needs while improving cross-scenario generalization compared with conventional vector-to-vector models.</w:t>
      </w:r>
    </w:p>
    <w:p w14:paraId="716B8D6F">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topic is timely and relevant to the growing convergence of logistics and traffic systems.  The application of operator learning offers a novel analytical lens for modeling functional relationships under changing boundary conditions.  The experimental design is systematic, with extensive baseline comparisons and ablation studies that lend credibility to the empirical findings.  However, the paper</w:t>
      </w:r>
      <w:r>
        <w:rPr>
          <w:rFonts w:hint="default" w:ascii="Arial" w:hAnsi="Arial" w:cs="Arial"/>
          <w:i w:val="0"/>
          <w:iCs w:val="0"/>
          <w:caps w:val="0"/>
          <w:color w:val="0A0A0A"/>
          <w:spacing w:val="0"/>
          <w:sz w:val="19"/>
          <w:szCs w:val="19"/>
          <w:highlight w:val="yellow"/>
          <w:bdr w:val="none" w:color="auto" w:sz="0" w:space="0"/>
        </w:rPr>
        <w:t xml:space="preserve"> shows notable weaknesses in the theoretical justification of its architectural choices and in the validation of its practical relevance. </w:t>
      </w:r>
      <w:r>
        <w:rPr>
          <w:rFonts w:hint="default" w:ascii="Arial" w:hAnsi="Arial" w:cs="Arial"/>
          <w:i w:val="0"/>
          <w:iCs w:val="0"/>
          <w:caps w:val="0"/>
          <w:color w:val="0A0A0A"/>
          <w:spacing w:val="0"/>
          <w:sz w:val="19"/>
          <w:szCs w:val="19"/>
          <w:bdr w:val="none" w:color="auto" w:sz="0" w:space="0"/>
        </w:rPr>
        <w:t> The motivation for the specific branch–trunk design remains under-theorized, and the exclusive reliance on synthetic data limits the external validity of the conclusions.</w:t>
      </w:r>
    </w:p>
    <w:p w14:paraId="15C8EA2F">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xml:space="preserve">-The adoption of DeepONet is justified primarily by its capability to handle distributional and boundary shifts. </w:t>
      </w:r>
      <w:r>
        <w:rPr>
          <w:rFonts w:hint="default" w:ascii="Arial" w:hAnsi="Arial" w:cs="Arial"/>
          <w:i w:val="0"/>
          <w:iCs w:val="0"/>
          <w:caps w:val="0"/>
          <w:color w:val="0A0A0A"/>
          <w:spacing w:val="0"/>
          <w:sz w:val="19"/>
          <w:szCs w:val="19"/>
          <w:highlight w:val="yellow"/>
          <w:bdr w:val="none" w:color="auto" w:sz="0" w:space="0"/>
        </w:rPr>
        <w:t xml:space="preserve"> Yet the theoretical rationale for using a branch–trunk factorization with a multiplicative inner product is insufficiently developed. </w:t>
      </w:r>
      <w:r>
        <w:rPr>
          <w:rFonts w:hint="default" w:ascii="Arial" w:hAnsi="Arial" w:cs="Arial"/>
          <w:i w:val="0"/>
          <w:iCs w:val="0"/>
          <w:caps w:val="0"/>
          <w:color w:val="0A0A0A"/>
          <w:spacing w:val="0"/>
          <w:sz w:val="19"/>
          <w:szCs w:val="19"/>
          <w:bdr w:val="none" w:color="auto" w:sz="0" w:space="0"/>
        </w:rPr>
        <w:t> The manuscript does not convincingly demonstrate why this particular formulation is more appropriate for the forecasting problem than a standard concatenation of historical and contextual features in a conventional MLP.  How does the multiplicative coupling explicitly capture nonlinear dependencies between density and speed that additive structures might overlook?  </w:t>
      </w:r>
      <w:r>
        <w:rPr>
          <w:rFonts w:hint="default" w:ascii="Arial" w:hAnsi="Arial" w:cs="Arial"/>
          <w:i w:val="0"/>
          <w:iCs w:val="0"/>
          <w:caps w:val="0"/>
          <w:color w:val="0A0A0A"/>
          <w:spacing w:val="0"/>
          <w:sz w:val="19"/>
          <w:szCs w:val="19"/>
          <w:highlight w:val="yellow"/>
          <w:bdr w:val="none" w:color="auto" w:sz="0" w:space="0"/>
        </w:rPr>
        <w:t>Articulating this mechanism—ideally by linking it to established traffic-flow theories or operator-learning principles</w:t>
      </w:r>
      <w:r>
        <w:rPr>
          <w:rFonts w:hint="default" w:ascii="Arial" w:hAnsi="Arial" w:cs="Arial"/>
          <w:i w:val="0"/>
          <w:iCs w:val="0"/>
          <w:caps w:val="0"/>
          <w:color w:val="0A0A0A"/>
          <w:spacing w:val="0"/>
          <w:sz w:val="19"/>
          <w:szCs w:val="19"/>
          <w:bdr w:val="none" w:color="auto" w:sz="0" w:space="0"/>
        </w:rPr>
        <w:t>—would substantially enhance the conceptual coherence of the paper.</w:t>
      </w:r>
    </w:p>
    <w:p w14:paraId="0D6A969A">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-Although the paper briefly describes the structure of the branch and trunk networks, the analytical pathway from raw data to model inputs remains opaque.  To strengthen methodological transparency, the authors should provide an illustrative table or appendix clarifying how lagged speed sequences and contemporaneous features were transformed into the two input streams.  More explicit correspondence between specific input variables and higher-level constructs—such as “congestion intensity” or “boundary constraint”—would allow readers to better understand the analytical logic underpinning the model design and improve reproducibility.</w:t>
      </w:r>
    </w:p>
    <w:p w14:paraId="79E89484">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analysis relies entirely on synthetic data generated via SUMO simulations.  While this allows controlled experimentation, it raises concerns about external validity and real-world transferability.  The paper does not indicate whether simulated link speeds were benchmarked against empirical traffic data or validated against known speed–density relationships.  Were any cross-checks performed to assess the realism of the simulated states?  If such validation was not conducted, this limitation should be explicitly acknowledged, together with a discussion of how it may affect the robustness of the model when applied to noisy or incomplete real-world sensor data.</w:t>
      </w:r>
    </w:p>
    <w:p w14:paraId="2975C033">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xml:space="preserve">-The proposed approach models each road link independently, </w:t>
      </w:r>
      <w:r>
        <w:rPr>
          <w:rFonts w:hint="default" w:ascii="Arial" w:hAnsi="Arial" w:cs="Arial"/>
          <w:i w:val="0"/>
          <w:iCs w:val="0"/>
          <w:caps w:val="0"/>
          <w:color w:val="0A0A0A"/>
          <w:spacing w:val="0"/>
          <w:sz w:val="19"/>
          <w:szCs w:val="19"/>
          <w:highlight w:val="yellow"/>
          <w:bdr w:val="none" w:color="auto" w:sz="0" w:space="0"/>
        </w:rPr>
        <w:t>overlooking the spatial dependencies that are fundamental to traffic dynamics</w:t>
      </w:r>
      <w:r>
        <w:rPr>
          <w:rFonts w:hint="default" w:ascii="Arial" w:hAnsi="Arial" w:cs="Arial"/>
          <w:i w:val="0"/>
          <w:iCs w:val="0"/>
          <w:caps w:val="0"/>
          <w:color w:val="0A0A0A"/>
          <w:spacing w:val="0"/>
          <w:sz w:val="19"/>
          <w:szCs w:val="19"/>
          <w:bdr w:val="none" w:color="auto" w:sz="0" w:space="0"/>
        </w:rPr>
        <w:t>.  This simplification is neither theoretically justified nor empirically evaluated.  Given that adjacent links—particularly upstream and downstream segments—exhibit strong spatial correlations, how do the authors reconcile this assumption with established spatiotemporal modeling approaches, such as graph-based neural networks or diffusion models?</w:t>
      </w:r>
      <w:r>
        <w:rPr>
          <w:rFonts w:hint="default" w:ascii="Arial" w:hAnsi="Arial" w:cs="Arial"/>
          <w:i w:val="0"/>
          <w:iCs w:val="0"/>
          <w:caps w:val="0"/>
          <w:color w:val="0A0A0A"/>
          <w:spacing w:val="0"/>
          <w:sz w:val="19"/>
          <w:szCs w:val="19"/>
          <w:highlight w:val="yellow"/>
          <w:bdr w:val="none" w:color="auto" w:sz="0" w:space="0"/>
        </w:rPr>
        <w:t xml:space="preserve">  A brief theoretical discussion clarifying why a non-spatial treatment is suitable for this context</w:t>
      </w:r>
      <w:r>
        <w:rPr>
          <w:rFonts w:hint="default" w:ascii="Arial" w:hAnsi="Arial" w:cs="Arial"/>
          <w:i w:val="0"/>
          <w:iCs w:val="0"/>
          <w:caps w:val="0"/>
          <w:color w:val="0A0A0A"/>
          <w:spacing w:val="0"/>
          <w:sz w:val="19"/>
          <w:szCs w:val="19"/>
          <w:bdr w:val="none" w:color="auto" w:sz="0" w:space="0"/>
        </w:rPr>
        <w:t>, or an explicit acknowledgment of this as a boundary condition, would enhance the study’s conceptual rigor.</w:t>
      </w:r>
    </w:p>
    <w:p w14:paraId="34E6030E">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ablation and counterfactual analyses contribute useful insights but tend to present a predominantly positive narrative.  For exa</w:t>
      </w:r>
      <w:bookmarkStart w:id="0" w:name="_GoBack"/>
      <w:bookmarkEnd w:id="0"/>
      <w:r>
        <w:rPr>
          <w:rFonts w:hint="default" w:ascii="Arial" w:hAnsi="Arial" w:cs="Arial"/>
          <w:i w:val="0"/>
          <w:iCs w:val="0"/>
          <w:caps w:val="0"/>
          <w:color w:val="0A0A0A"/>
          <w:spacing w:val="0"/>
          <w:sz w:val="19"/>
          <w:szCs w:val="19"/>
          <w:bdr w:val="none" w:color="auto" w:sz="0" w:space="0"/>
        </w:rPr>
        <w:t>mple, the nearly flat response to waitingTime in Figure 5 deserves closer interpretation—does it imply redundancy of this variable, or does it reflect a limitation in how the model captures its effect?  Were there instances in which counterfactual perturbations produced implausible or unstable outcomes?  Discussing these edge cases, rather than omitting them, would make the interpretability claims more balanced and convincing.</w:t>
      </w:r>
    </w:p>
    <w:p w14:paraId="51B10E04">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discussion of hyperparameter tuning lacks the meth</w:t>
      </w:r>
    </w:p>
    <w:p w14:paraId="1BC0C964">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1C4357"/>
    <w:rsid w:val="1C1C4357"/>
    <w:rsid w:val="49B27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TML Typewriter"/>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2025-11-27T12:57:00Z</dcterms:created>
  <dc:creator>camelluo</dc:creator>
  <cp:lastModifiedBy>camelluo</cp:lastModifiedBy>
  <dcterms:modified xsi:type="dcterms:W3CDTF">2025-11-27T13:43:22Z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E6C998A421624ADE8C6ECEF04724464E_11</vt:lpwstr>
  </property>
  <property fmtid="{D5CDD505-2E9C-101B-9397-08002B2CF9AE}" pid="4" name="KSOTemplateDocerSaveRecord">
    <vt:lpwstr>eyJoZGlkIjoiMWY4NDI2Yjc5ZDAzOWUwMmE3NDdjMjRiODNlMmZmNDQiLCJ1c2VySWQiOiI0MjQwNzQ5MjcifQ==</vt:lpwstr>
  </property>
</Properties>
</file>