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C9D09">
      <w:pPr>
        <w:keepNext w:val="0"/>
        <w:keepLines w:val="0"/>
        <w:widowControl/>
        <w:suppressLineNumbers w:val="0"/>
        <w:jc w:val="both"/>
      </w:pPr>
      <w:r>
        <w:rPr>
          <w:rFonts w:ascii="宋体" w:hAnsi="宋体" w:eastAsia="宋体" w:cs="宋体"/>
          <w:kern w:val="0"/>
          <w:sz w:val="24"/>
          <w:szCs w:val="24"/>
          <w:lang w:val="en-US" w:eastAsia="zh-CN" w:bidi="ar"/>
        </w:rPr>
        <w:t>Review Report Form</w:t>
      </w:r>
    </w:p>
    <w:p w14:paraId="0DE6F15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both"/>
        <w:rPr>
          <w:rFonts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Quality of English Language</w:t>
      </w:r>
    </w:p>
    <w:p w14:paraId="4D7D6106">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(x) </w:t>
      </w:r>
      <w:r>
        <w:rPr>
          <w:rFonts w:hint="default" w:ascii="Arial" w:hAnsi="Arial" w:eastAsia="宋体" w:cs="Arial"/>
          <w:i w:val="0"/>
          <w:iCs w:val="0"/>
          <w:caps w:val="0"/>
          <w:color w:val="0A0A0A"/>
          <w:spacing w:val="0"/>
          <w:kern w:val="0"/>
          <w:sz w:val="19"/>
          <w:szCs w:val="19"/>
          <w:bdr w:val="none" w:color="auto" w:sz="0" w:space="0"/>
          <w:lang w:val="en-US" w:eastAsia="zh-CN" w:bidi="ar"/>
        </w:rPr>
        <w:t>The English could be improved to more clearly express the research.</w:t>
      </w:r>
      <w:r>
        <w:rPr>
          <w:rFonts w:hint="default" w:ascii="Arial" w:hAnsi="Arial" w:eastAsia="宋体" w:cs="Arial"/>
          <w:i w:val="0"/>
          <w:iCs w:val="0"/>
          <w:caps w:val="0"/>
          <w:color w:val="0A0A0A"/>
          <w:spacing w:val="0"/>
          <w:kern w:val="0"/>
          <w:sz w:val="19"/>
          <w:szCs w:val="19"/>
          <w:bdr w:val="none" w:color="auto" w:sz="0" w:space="0"/>
          <w:lang w:val="en-US" w:eastAsia="zh-CN" w:bidi="ar"/>
        </w:rPr>
        <w:br w:type="textWrapping"/>
      </w:r>
      <w:r>
        <w:rPr>
          <w:rStyle w:val="5"/>
          <w:rFonts w:hint="default" w:ascii="Arial" w:hAnsi="Arial" w:eastAsia="宋体" w:cs="Arial"/>
          <w:i w:val="0"/>
          <w:iCs w:val="0"/>
          <w:caps w:val="0"/>
          <w:color w:val="0A0A0A"/>
          <w:spacing w:val="0"/>
          <w:kern w:val="0"/>
          <w:sz w:val="19"/>
          <w:szCs w:val="19"/>
          <w:bdr w:val="none" w:color="auto" w:sz="0" w:space="0"/>
          <w:lang w:val="en-US" w:eastAsia="zh-CN" w:bidi="ar"/>
        </w:rPr>
        <w:t>( ) </w:t>
      </w:r>
      <w:r>
        <w:rPr>
          <w:rFonts w:hint="default" w:ascii="Arial" w:hAnsi="Arial" w:eastAsia="宋体" w:cs="Arial"/>
          <w:i w:val="0"/>
          <w:iCs w:val="0"/>
          <w:caps w:val="0"/>
          <w:color w:val="0A0A0A"/>
          <w:spacing w:val="0"/>
          <w:kern w:val="0"/>
          <w:sz w:val="19"/>
          <w:szCs w:val="19"/>
          <w:bdr w:val="none" w:color="auto" w:sz="0" w:space="0"/>
          <w:lang w:val="en-US" w:eastAsia="zh-CN" w:bidi="ar"/>
        </w:rPr>
        <w:t>The English is fine and does not require any improvement.</w:t>
      </w:r>
    </w:p>
    <w:tbl>
      <w:tblPr>
        <w:tblW w:w="174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439"/>
      </w:tblGrid>
      <w:tr w14:paraId="59987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shd w:val="clear"/>
            <w:vAlign w:val="center"/>
          </w:tcPr>
          <w:p w14:paraId="0DFAF472">
            <w:pPr>
              <w:jc w:val="both"/>
              <w:rPr>
                <w:rFonts w:hint="default" w:ascii="Arial" w:hAnsi="Arial" w:cs="Arial"/>
                <w:i w:val="0"/>
                <w:iCs w:val="0"/>
                <w:caps w:val="0"/>
                <w:color w:val="0A0A0A"/>
                <w:spacing w:val="0"/>
                <w:sz w:val="19"/>
                <w:szCs w:val="19"/>
              </w:rPr>
            </w:pPr>
          </w:p>
        </w:tc>
      </w:tr>
    </w:tbl>
    <w:p w14:paraId="2B693F55">
      <w:pPr>
        <w:jc w:val="both"/>
        <w:rPr>
          <w:vanish/>
          <w:sz w:val="24"/>
          <w:szCs w:val="24"/>
        </w:rPr>
      </w:pP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715"/>
        <w:gridCol w:w="784"/>
        <w:gridCol w:w="951"/>
        <w:gridCol w:w="951"/>
        <w:gridCol w:w="1028"/>
      </w:tblGrid>
      <w:tr w14:paraId="42D86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96" w:type="pct"/>
            <w:shd w:val="clear"/>
            <w:tcMar>
              <w:top w:w="63" w:type="dxa"/>
              <w:left w:w="63" w:type="dxa"/>
              <w:bottom w:w="63" w:type="dxa"/>
              <w:right w:w="63" w:type="dxa"/>
            </w:tcMar>
            <w:vAlign w:val="center"/>
          </w:tcPr>
          <w:p w14:paraId="01731F56">
            <w:pPr>
              <w:jc w:val="both"/>
              <w:rPr>
                <w:rFonts w:hint="default" w:ascii="Arial" w:hAnsi="Arial" w:cs="Arial"/>
                <w:i w:val="0"/>
                <w:iCs w:val="0"/>
                <w:caps w:val="0"/>
                <w:color w:val="0A0A0A"/>
                <w:spacing w:val="0"/>
                <w:sz w:val="19"/>
                <w:szCs w:val="19"/>
              </w:rPr>
            </w:pPr>
          </w:p>
        </w:tc>
        <w:tc>
          <w:tcPr>
            <w:tcW w:w="465" w:type="pct"/>
            <w:shd w:val="clear"/>
            <w:tcMar>
              <w:top w:w="63" w:type="dxa"/>
              <w:left w:w="63" w:type="dxa"/>
              <w:bottom w:w="63" w:type="dxa"/>
              <w:right w:w="63" w:type="dxa"/>
            </w:tcMar>
            <w:vAlign w:val="center"/>
          </w:tcPr>
          <w:p w14:paraId="6635C38A">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Yes</w:t>
            </w:r>
          </w:p>
        </w:tc>
        <w:tc>
          <w:tcPr>
            <w:tcW w:w="564" w:type="pct"/>
            <w:shd w:val="clear"/>
            <w:tcMar>
              <w:top w:w="63" w:type="dxa"/>
              <w:left w:w="63" w:type="dxa"/>
              <w:bottom w:w="63" w:type="dxa"/>
              <w:right w:w="63" w:type="dxa"/>
            </w:tcMar>
            <w:vAlign w:val="center"/>
          </w:tcPr>
          <w:p w14:paraId="759577C3">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Can be improved</w:t>
            </w:r>
          </w:p>
        </w:tc>
        <w:tc>
          <w:tcPr>
            <w:tcW w:w="564" w:type="pct"/>
            <w:shd w:val="clear"/>
            <w:tcMar>
              <w:top w:w="63" w:type="dxa"/>
              <w:left w:w="63" w:type="dxa"/>
              <w:bottom w:w="63" w:type="dxa"/>
              <w:right w:w="63" w:type="dxa"/>
            </w:tcMar>
            <w:vAlign w:val="center"/>
          </w:tcPr>
          <w:p w14:paraId="00E681DE">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Must be improved</w:t>
            </w:r>
          </w:p>
        </w:tc>
        <w:tc>
          <w:tcPr>
            <w:tcW w:w="609" w:type="pct"/>
            <w:shd w:val="clear"/>
            <w:tcMar>
              <w:top w:w="63" w:type="dxa"/>
              <w:left w:w="63" w:type="dxa"/>
              <w:bottom w:w="63" w:type="dxa"/>
              <w:right w:w="63" w:type="dxa"/>
            </w:tcMar>
            <w:vAlign w:val="center"/>
          </w:tcPr>
          <w:p w14:paraId="083D049B">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Not applicable</w:t>
            </w:r>
          </w:p>
        </w:tc>
      </w:tr>
      <w:tr w14:paraId="33262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96" w:type="pct"/>
            <w:shd w:val="clear"/>
            <w:tcMar>
              <w:top w:w="63" w:type="dxa"/>
              <w:left w:w="63" w:type="dxa"/>
              <w:bottom w:w="63" w:type="dxa"/>
              <w:right w:w="63" w:type="dxa"/>
            </w:tcMar>
            <w:vAlign w:val="center"/>
          </w:tcPr>
          <w:p w14:paraId="7872CEAA">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Does the introduction provide sufficient background and include all relevant references?</w:t>
            </w:r>
          </w:p>
        </w:tc>
        <w:tc>
          <w:tcPr>
            <w:tcW w:w="465" w:type="pct"/>
            <w:shd w:val="clear"/>
            <w:tcMar>
              <w:top w:w="63" w:type="dxa"/>
              <w:left w:w="63" w:type="dxa"/>
              <w:bottom w:w="63" w:type="dxa"/>
              <w:right w:w="63" w:type="dxa"/>
            </w:tcMar>
            <w:vAlign w:val="center"/>
          </w:tcPr>
          <w:p w14:paraId="1EFEFBD0">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1A2AC3FC">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410D4542">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(x)</w:t>
            </w:r>
          </w:p>
        </w:tc>
        <w:tc>
          <w:tcPr>
            <w:tcW w:w="609" w:type="pct"/>
            <w:shd w:val="clear"/>
            <w:tcMar>
              <w:top w:w="63" w:type="dxa"/>
              <w:left w:w="63" w:type="dxa"/>
              <w:bottom w:w="63" w:type="dxa"/>
              <w:right w:w="63" w:type="dxa"/>
            </w:tcMar>
            <w:vAlign w:val="center"/>
          </w:tcPr>
          <w:p w14:paraId="4DDEBBF7">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r>
      <w:tr w14:paraId="6590E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96" w:type="pct"/>
            <w:shd w:val="clear"/>
            <w:tcMar>
              <w:top w:w="63" w:type="dxa"/>
              <w:left w:w="63" w:type="dxa"/>
              <w:bottom w:w="63" w:type="dxa"/>
              <w:right w:w="63" w:type="dxa"/>
            </w:tcMar>
            <w:vAlign w:val="center"/>
          </w:tcPr>
          <w:p w14:paraId="27D087AF">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Is the research design appropriate?</w:t>
            </w:r>
          </w:p>
        </w:tc>
        <w:tc>
          <w:tcPr>
            <w:tcW w:w="465" w:type="pct"/>
            <w:shd w:val="clear"/>
            <w:tcMar>
              <w:top w:w="63" w:type="dxa"/>
              <w:left w:w="63" w:type="dxa"/>
              <w:bottom w:w="63" w:type="dxa"/>
              <w:right w:w="63" w:type="dxa"/>
            </w:tcMar>
            <w:vAlign w:val="center"/>
          </w:tcPr>
          <w:p w14:paraId="289B98CC">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38E3E71D">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7D8CE7D1">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(x)</w:t>
            </w:r>
          </w:p>
        </w:tc>
        <w:tc>
          <w:tcPr>
            <w:tcW w:w="609" w:type="pct"/>
            <w:shd w:val="clear"/>
            <w:tcMar>
              <w:top w:w="63" w:type="dxa"/>
              <w:left w:w="63" w:type="dxa"/>
              <w:bottom w:w="63" w:type="dxa"/>
              <w:right w:w="63" w:type="dxa"/>
            </w:tcMar>
            <w:vAlign w:val="center"/>
          </w:tcPr>
          <w:p w14:paraId="4FE626EF">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r>
      <w:tr w14:paraId="4D597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96" w:type="pct"/>
            <w:shd w:val="clear"/>
            <w:tcMar>
              <w:top w:w="63" w:type="dxa"/>
              <w:left w:w="63" w:type="dxa"/>
              <w:bottom w:w="63" w:type="dxa"/>
              <w:right w:w="63" w:type="dxa"/>
            </w:tcMar>
            <w:vAlign w:val="center"/>
          </w:tcPr>
          <w:p w14:paraId="66D68D7D">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Are the methods adequately described?</w:t>
            </w:r>
          </w:p>
        </w:tc>
        <w:tc>
          <w:tcPr>
            <w:tcW w:w="465" w:type="pct"/>
            <w:shd w:val="clear"/>
            <w:tcMar>
              <w:top w:w="63" w:type="dxa"/>
              <w:left w:w="63" w:type="dxa"/>
              <w:bottom w:w="63" w:type="dxa"/>
              <w:right w:w="63" w:type="dxa"/>
            </w:tcMar>
            <w:vAlign w:val="center"/>
          </w:tcPr>
          <w:p w14:paraId="728F4513">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5E6CA845">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(x)</w:t>
            </w:r>
          </w:p>
        </w:tc>
        <w:tc>
          <w:tcPr>
            <w:tcW w:w="564" w:type="pct"/>
            <w:shd w:val="clear"/>
            <w:tcMar>
              <w:top w:w="63" w:type="dxa"/>
              <w:left w:w="63" w:type="dxa"/>
              <w:bottom w:w="63" w:type="dxa"/>
              <w:right w:w="63" w:type="dxa"/>
            </w:tcMar>
            <w:vAlign w:val="center"/>
          </w:tcPr>
          <w:p w14:paraId="35935B46">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609" w:type="pct"/>
            <w:shd w:val="clear"/>
            <w:tcMar>
              <w:top w:w="63" w:type="dxa"/>
              <w:left w:w="63" w:type="dxa"/>
              <w:bottom w:w="63" w:type="dxa"/>
              <w:right w:w="63" w:type="dxa"/>
            </w:tcMar>
            <w:vAlign w:val="center"/>
          </w:tcPr>
          <w:p w14:paraId="74759DE3">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r>
      <w:tr w14:paraId="6BDAA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96" w:type="pct"/>
            <w:shd w:val="clear"/>
            <w:tcMar>
              <w:top w:w="63" w:type="dxa"/>
              <w:left w:w="63" w:type="dxa"/>
              <w:bottom w:w="63" w:type="dxa"/>
              <w:right w:w="63" w:type="dxa"/>
            </w:tcMar>
            <w:vAlign w:val="center"/>
          </w:tcPr>
          <w:p w14:paraId="1D6FD062">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Are the results clearly presented?</w:t>
            </w:r>
          </w:p>
        </w:tc>
        <w:tc>
          <w:tcPr>
            <w:tcW w:w="465" w:type="pct"/>
            <w:shd w:val="clear"/>
            <w:tcMar>
              <w:top w:w="63" w:type="dxa"/>
              <w:left w:w="63" w:type="dxa"/>
              <w:bottom w:w="63" w:type="dxa"/>
              <w:right w:w="63" w:type="dxa"/>
            </w:tcMar>
            <w:vAlign w:val="center"/>
          </w:tcPr>
          <w:p w14:paraId="7EA9B68C">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58E674A6">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3ADF15C5">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(x)</w:t>
            </w:r>
          </w:p>
        </w:tc>
        <w:tc>
          <w:tcPr>
            <w:tcW w:w="609" w:type="pct"/>
            <w:shd w:val="clear"/>
            <w:tcMar>
              <w:top w:w="63" w:type="dxa"/>
              <w:left w:w="63" w:type="dxa"/>
              <w:bottom w:w="63" w:type="dxa"/>
              <w:right w:w="63" w:type="dxa"/>
            </w:tcMar>
            <w:vAlign w:val="center"/>
          </w:tcPr>
          <w:p w14:paraId="7842B2EC">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r>
      <w:tr w14:paraId="4933E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96" w:type="pct"/>
            <w:shd w:val="clear"/>
            <w:tcMar>
              <w:top w:w="63" w:type="dxa"/>
              <w:left w:w="63" w:type="dxa"/>
              <w:bottom w:w="63" w:type="dxa"/>
              <w:right w:w="63" w:type="dxa"/>
            </w:tcMar>
            <w:vAlign w:val="center"/>
          </w:tcPr>
          <w:p w14:paraId="428BE8D0">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Are the conclusions supported by the results?</w:t>
            </w:r>
          </w:p>
        </w:tc>
        <w:tc>
          <w:tcPr>
            <w:tcW w:w="465" w:type="pct"/>
            <w:shd w:val="clear"/>
            <w:tcMar>
              <w:top w:w="63" w:type="dxa"/>
              <w:left w:w="63" w:type="dxa"/>
              <w:bottom w:w="63" w:type="dxa"/>
              <w:right w:w="63" w:type="dxa"/>
            </w:tcMar>
            <w:vAlign w:val="center"/>
          </w:tcPr>
          <w:p w14:paraId="7F3FBD83">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54DB8184">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(x)</w:t>
            </w:r>
          </w:p>
        </w:tc>
        <w:tc>
          <w:tcPr>
            <w:tcW w:w="564" w:type="pct"/>
            <w:shd w:val="clear"/>
            <w:tcMar>
              <w:top w:w="63" w:type="dxa"/>
              <w:left w:w="63" w:type="dxa"/>
              <w:bottom w:w="63" w:type="dxa"/>
              <w:right w:w="63" w:type="dxa"/>
            </w:tcMar>
            <w:vAlign w:val="center"/>
          </w:tcPr>
          <w:p w14:paraId="2E41C4F5">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609" w:type="pct"/>
            <w:shd w:val="clear"/>
            <w:tcMar>
              <w:top w:w="63" w:type="dxa"/>
              <w:left w:w="63" w:type="dxa"/>
              <w:bottom w:w="63" w:type="dxa"/>
              <w:right w:w="63" w:type="dxa"/>
            </w:tcMar>
            <w:vAlign w:val="center"/>
          </w:tcPr>
          <w:p w14:paraId="26381290">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r>
      <w:tr w14:paraId="0208A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96" w:type="pct"/>
            <w:shd w:val="clear"/>
            <w:tcMar>
              <w:top w:w="63" w:type="dxa"/>
              <w:left w:w="63" w:type="dxa"/>
              <w:bottom w:w="63" w:type="dxa"/>
              <w:right w:w="63" w:type="dxa"/>
            </w:tcMar>
            <w:vAlign w:val="center"/>
          </w:tcPr>
          <w:p w14:paraId="2E9E54CF">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Are all figures and tables clear and well-presented?</w:t>
            </w:r>
          </w:p>
        </w:tc>
        <w:tc>
          <w:tcPr>
            <w:tcW w:w="465" w:type="pct"/>
            <w:shd w:val="clear"/>
            <w:tcMar>
              <w:top w:w="63" w:type="dxa"/>
              <w:left w:w="63" w:type="dxa"/>
              <w:bottom w:w="63" w:type="dxa"/>
              <w:right w:w="63" w:type="dxa"/>
            </w:tcMar>
            <w:vAlign w:val="center"/>
          </w:tcPr>
          <w:p w14:paraId="78F1CDA6">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78F0864D">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(x)</w:t>
            </w:r>
          </w:p>
        </w:tc>
        <w:tc>
          <w:tcPr>
            <w:tcW w:w="564" w:type="pct"/>
            <w:shd w:val="clear"/>
            <w:tcMar>
              <w:top w:w="63" w:type="dxa"/>
              <w:left w:w="63" w:type="dxa"/>
              <w:bottom w:w="63" w:type="dxa"/>
              <w:right w:w="63" w:type="dxa"/>
            </w:tcMar>
            <w:vAlign w:val="center"/>
          </w:tcPr>
          <w:p w14:paraId="2E548897">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609" w:type="pct"/>
            <w:shd w:val="clear"/>
            <w:tcMar>
              <w:top w:w="63" w:type="dxa"/>
              <w:left w:w="63" w:type="dxa"/>
              <w:bottom w:w="63" w:type="dxa"/>
              <w:right w:w="63" w:type="dxa"/>
            </w:tcMar>
            <w:vAlign w:val="center"/>
          </w:tcPr>
          <w:p w14:paraId="7262FF27">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r>
    </w:tbl>
    <w:p w14:paraId="39642D3C">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Comments and Suggestions for Authors</w:t>
      </w:r>
    </w:p>
    <w:p w14:paraId="59741CDA">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The paper builds a simulated logistics–traffic dataset and shows that a Deep Operator Network with a branch–trunk architecture can better predict minute</w:t>
      </w:r>
      <w:r>
        <w:rPr>
          <w:rFonts w:hint="default" w:ascii="Arial" w:hAnsi="Arial" w:cs="Arial"/>
          <w:i w:val="0"/>
          <w:iCs w:val="0"/>
          <w:caps w:val="0"/>
          <w:color w:val="0A0A0A"/>
          <w:spacing w:val="0"/>
          <w:sz w:val="19"/>
          <w:szCs w:val="19"/>
          <w:bdr w:val="none" w:color="auto" w:sz="0" w:space="0"/>
        </w:rPr>
        <w:noBreakHyphen/>
      </w:r>
      <w:r>
        <w:rPr>
          <w:rFonts w:hint="default" w:ascii="Arial" w:hAnsi="Arial" w:cs="Arial"/>
          <w:i w:val="0"/>
          <w:iCs w:val="0"/>
          <w:caps w:val="0"/>
          <w:color w:val="0A0A0A"/>
          <w:spacing w:val="0"/>
          <w:sz w:val="19"/>
          <w:szCs w:val="19"/>
          <w:bdr w:val="none" w:color="auto" w:sz="0" w:space="0"/>
        </w:rPr>
        <w:t>level link speeds (and transfer across scenarios) than several standard baselines on SUMO</w:t>
      </w:r>
      <w:r>
        <w:rPr>
          <w:rFonts w:hint="default" w:ascii="Arial" w:hAnsi="Arial" w:cs="Arial"/>
          <w:i w:val="0"/>
          <w:iCs w:val="0"/>
          <w:caps w:val="0"/>
          <w:color w:val="0A0A0A"/>
          <w:spacing w:val="0"/>
          <w:sz w:val="19"/>
          <w:szCs w:val="19"/>
          <w:bdr w:val="none" w:color="auto" w:sz="0" w:space="0"/>
        </w:rPr>
        <w:noBreakHyphen/>
      </w:r>
      <w:r>
        <w:rPr>
          <w:rFonts w:hint="default" w:ascii="Arial" w:hAnsi="Arial" w:cs="Arial"/>
          <w:i w:val="0"/>
          <w:iCs w:val="0"/>
          <w:caps w:val="0"/>
          <w:color w:val="0A0A0A"/>
          <w:spacing w:val="0"/>
          <w:sz w:val="19"/>
          <w:szCs w:val="19"/>
          <w:bdr w:val="none" w:color="auto" w:sz="0" w:space="0"/>
        </w:rPr>
        <w:t>based data driven by Solomon VRP instances. The main contribution is to connect logistics demand and traffic operator learning via this branch–trunk factorization and a unified data pipeline</w:t>
      </w:r>
    </w:p>
    <w:p w14:paraId="1C01AF3F">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However, </w:t>
      </w:r>
      <w:r>
        <w:rPr>
          <w:rFonts w:hint="default" w:ascii="Arial" w:hAnsi="Arial" w:cs="Arial"/>
          <w:i w:val="0"/>
          <w:iCs w:val="0"/>
          <w:caps w:val="0"/>
          <w:color w:val="0A0A0A"/>
          <w:spacing w:val="0"/>
          <w:sz w:val="19"/>
          <w:szCs w:val="19"/>
          <w:bdr w:val="none" w:color="auto" w:sz="0" w:space="0"/>
        </w:rPr>
        <w:br w:type="textWrapping"/>
      </w:r>
      <w:r>
        <w:rPr>
          <w:rFonts w:hint="default" w:ascii="Arial" w:hAnsi="Arial" w:cs="Arial"/>
          <w:i w:val="0"/>
          <w:iCs w:val="0"/>
          <w:caps w:val="0"/>
          <w:color w:val="0A0A0A"/>
          <w:spacing w:val="0"/>
          <w:sz w:val="19"/>
          <w:szCs w:val="19"/>
          <w:bdr w:val="none" w:color="auto" w:sz="0" w:space="0"/>
        </w:rPr>
        <w:t>- The authors should clarify more clearly, in the abstract and introduction, what is truly novel versus prior work: is the main contribution the synthetic dataset, the specific DeepONet architecture, or the logistics–traffic linkage? Right now, all three are claimed, and this can feel a bit overstated for a single paper.​</w:t>
      </w:r>
    </w:p>
    <w:p w14:paraId="08DAB788">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I suggest to the authors to better explain the practical relevance of the simulated 5 km subnetwork and six scenarios: for example, what real</w:t>
      </w:r>
      <w:r>
        <w:rPr>
          <w:rFonts w:hint="default" w:ascii="Arial" w:hAnsi="Arial" w:cs="Arial"/>
          <w:i w:val="0"/>
          <w:iCs w:val="0"/>
          <w:caps w:val="0"/>
          <w:color w:val="0A0A0A"/>
          <w:spacing w:val="0"/>
          <w:sz w:val="19"/>
          <w:szCs w:val="19"/>
          <w:bdr w:val="none" w:color="auto" w:sz="0" w:space="0"/>
        </w:rPr>
        <w:noBreakHyphen/>
      </w:r>
      <w:r>
        <w:rPr>
          <w:rFonts w:hint="default" w:ascii="Arial" w:hAnsi="Arial" w:cs="Arial"/>
          <w:i w:val="0"/>
          <w:iCs w:val="0"/>
          <w:caps w:val="0"/>
          <w:color w:val="0A0A0A"/>
          <w:spacing w:val="0"/>
          <w:sz w:val="19"/>
          <w:szCs w:val="19"/>
          <w:bdr w:val="none" w:color="auto" w:sz="0" w:space="0"/>
        </w:rPr>
        <w:t>world setting this scale corresponds to, and how conclusions might transfer (or not) to real data and larger networks.​</w:t>
      </w:r>
    </w:p>
    <w:p w14:paraId="43A9A086">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The authors should improve the description of the baseline models and their tuning to reassure readers that the comparison is fair (e.g., justify hyperparameters, show sensitivity, and explain why MLP, LSTM, TCN underperform in R² while having relatively low MAE/RMSE).​</w:t>
      </w:r>
    </w:p>
    <w:p w14:paraId="6A62D78D">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I suggest to the authors to add more intuition and simple explanations around operator learning and the branch–trunk factorization, using fewer equations and more verbal explanations or small examples so that transportation/logistics readers without an ML theory background can follow.​</w:t>
      </w:r>
    </w:p>
    <w:p w14:paraId="7A1AE98F">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The authors should better motivate why minute</w:t>
      </w:r>
      <w:r>
        <w:rPr>
          <w:rFonts w:hint="default" w:ascii="Arial" w:hAnsi="Arial" w:cs="Arial"/>
          <w:i w:val="0"/>
          <w:iCs w:val="0"/>
          <w:caps w:val="0"/>
          <w:color w:val="0A0A0A"/>
          <w:spacing w:val="0"/>
          <w:sz w:val="19"/>
          <w:szCs w:val="19"/>
          <w:bdr w:val="none" w:color="auto" w:sz="0" w:space="0"/>
        </w:rPr>
        <w:noBreakHyphen/>
      </w:r>
      <w:r>
        <w:rPr>
          <w:rFonts w:hint="default" w:ascii="Arial" w:hAnsi="Arial" w:cs="Arial"/>
          <w:i w:val="0"/>
          <w:iCs w:val="0"/>
          <w:caps w:val="0"/>
          <w:color w:val="0A0A0A"/>
          <w:spacing w:val="0"/>
          <w:sz w:val="19"/>
          <w:szCs w:val="19"/>
          <w:bdr w:val="none" w:color="auto" w:sz="0" w:space="0"/>
        </w:rPr>
        <w:t>level one</w:t>
      </w:r>
      <w:r>
        <w:rPr>
          <w:rFonts w:hint="default" w:ascii="Arial" w:hAnsi="Arial" w:cs="Arial"/>
          <w:i w:val="0"/>
          <w:iCs w:val="0"/>
          <w:caps w:val="0"/>
          <w:color w:val="0A0A0A"/>
          <w:spacing w:val="0"/>
          <w:sz w:val="19"/>
          <w:szCs w:val="19"/>
          <w:bdr w:val="none" w:color="auto" w:sz="0" w:space="0"/>
        </w:rPr>
        <w:noBreakHyphen/>
      </w:r>
      <w:r>
        <w:rPr>
          <w:rFonts w:hint="default" w:ascii="Arial" w:hAnsi="Arial" w:cs="Arial"/>
          <w:i w:val="0"/>
          <w:iCs w:val="0"/>
          <w:caps w:val="0"/>
          <w:color w:val="0A0A0A"/>
          <w:spacing w:val="0"/>
          <w:sz w:val="19"/>
          <w:szCs w:val="19"/>
          <w:bdr w:val="none" w:color="auto" w:sz="0" w:space="0"/>
        </w:rPr>
        <w:t>step</w:t>
      </w:r>
      <w:r>
        <w:rPr>
          <w:rFonts w:hint="default" w:ascii="Arial" w:hAnsi="Arial" w:cs="Arial"/>
          <w:i w:val="0"/>
          <w:iCs w:val="0"/>
          <w:caps w:val="0"/>
          <w:color w:val="0A0A0A"/>
          <w:spacing w:val="0"/>
          <w:sz w:val="19"/>
          <w:szCs w:val="19"/>
          <w:bdr w:val="none" w:color="auto" w:sz="0" w:space="0"/>
        </w:rPr>
        <w:noBreakHyphen/>
      </w:r>
      <w:r>
        <w:rPr>
          <w:rFonts w:hint="default" w:ascii="Arial" w:hAnsi="Arial" w:cs="Arial"/>
          <w:i w:val="0"/>
          <w:iCs w:val="0"/>
          <w:caps w:val="0"/>
          <w:color w:val="0A0A0A"/>
          <w:spacing w:val="0"/>
          <w:sz w:val="19"/>
          <w:szCs w:val="19"/>
          <w:bdr w:val="none" w:color="auto" w:sz="0" w:space="0"/>
        </w:rPr>
        <w:t>ahead prediction is chosen (1</w:t>
      </w:r>
      <w:r>
        <w:rPr>
          <w:rFonts w:hint="default" w:ascii="Arial" w:hAnsi="Arial" w:cs="Arial"/>
          <w:i w:val="0"/>
          <w:iCs w:val="0"/>
          <w:caps w:val="0"/>
          <w:color w:val="0A0A0A"/>
          <w:spacing w:val="0"/>
          <w:sz w:val="19"/>
          <w:szCs w:val="19"/>
          <w:bdr w:val="none" w:color="auto" w:sz="0" w:space="0"/>
        </w:rPr>
        <w:noBreakHyphen/>
      </w:r>
      <w:r>
        <w:rPr>
          <w:rFonts w:hint="default" w:ascii="Arial" w:hAnsi="Arial" w:cs="Arial"/>
          <w:i w:val="0"/>
          <w:iCs w:val="0"/>
          <w:caps w:val="0"/>
          <w:color w:val="0A0A0A"/>
          <w:spacing w:val="0"/>
          <w:sz w:val="19"/>
          <w:szCs w:val="19"/>
          <w:bdr w:val="none" w:color="auto" w:sz="0" w:space="0"/>
        </w:rPr>
        <w:t>minute horizon, single</w:t>
      </w:r>
      <w:r>
        <w:rPr>
          <w:rFonts w:hint="default" w:ascii="Arial" w:hAnsi="Arial" w:cs="Arial"/>
          <w:i w:val="0"/>
          <w:iCs w:val="0"/>
          <w:caps w:val="0"/>
          <w:color w:val="0A0A0A"/>
          <w:spacing w:val="0"/>
          <w:sz w:val="19"/>
          <w:szCs w:val="19"/>
          <w:bdr w:val="none" w:color="auto" w:sz="0" w:space="0"/>
        </w:rPr>
        <w:noBreakHyphen/>
      </w:r>
      <w:r>
        <w:rPr>
          <w:rFonts w:hint="default" w:ascii="Arial" w:hAnsi="Arial" w:cs="Arial"/>
          <w:i w:val="0"/>
          <w:iCs w:val="0"/>
          <w:caps w:val="0"/>
          <w:color w:val="0A0A0A"/>
          <w:spacing w:val="0"/>
          <w:sz w:val="19"/>
          <w:szCs w:val="19"/>
          <w:bdr w:val="none" w:color="auto" w:sz="0" w:space="0"/>
        </w:rPr>
        <w:t>step), and briefly discuss how the method would behave for multi</w:t>
      </w:r>
      <w:r>
        <w:rPr>
          <w:rFonts w:hint="default" w:ascii="Arial" w:hAnsi="Arial" w:cs="Arial"/>
          <w:i w:val="0"/>
          <w:iCs w:val="0"/>
          <w:caps w:val="0"/>
          <w:color w:val="0A0A0A"/>
          <w:spacing w:val="0"/>
          <w:sz w:val="19"/>
          <w:szCs w:val="19"/>
          <w:bdr w:val="none" w:color="auto" w:sz="0" w:space="0"/>
        </w:rPr>
        <w:noBreakHyphen/>
      </w:r>
      <w:r>
        <w:rPr>
          <w:rFonts w:hint="default" w:ascii="Arial" w:hAnsi="Arial" w:cs="Arial"/>
          <w:i w:val="0"/>
          <w:iCs w:val="0"/>
          <w:caps w:val="0"/>
          <w:color w:val="0A0A0A"/>
          <w:spacing w:val="0"/>
          <w:sz w:val="19"/>
          <w:szCs w:val="19"/>
          <w:bdr w:val="none" w:color="auto" w:sz="0" w:space="0"/>
        </w:rPr>
        <w:t>step or longer</w:t>
      </w:r>
      <w:r>
        <w:rPr>
          <w:rFonts w:hint="default" w:ascii="Arial" w:hAnsi="Arial" w:cs="Arial"/>
          <w:i w:val="0"/>
          <w:iCs w:val="0"/>
          <w:caps w:val="0"/>
          <w:color w:val="0A0A0A"/>
          <w:spacing w:val="0"/>
          <w:sz w:val="19"/>
          <w:szCs w:val="19"/>
          <w:bdr w:val="none" w:color="auto" w:sz="0" w:space="0"/>
        </w:rPr>
        <w:noBreakHyphen/>
      </w:r>
      <w:r>
        <w:rPr>
          <w:rFonts w:hint="default" w:ascii="Arial" w:hAnsi="Arial" w:cs="Arial"/>
          <w:i w:val="0"/>
          <w:iCs w:val="0"/>
          <w:caps w:val="0"/>
          <w:color w:val="0A0A0A"/>
          <w:spacing w:val="0"/>
          <w:sz w:val="19"/>
          <w:szCs w:val="19"/>
          <w:bdr w:val="none" w:color="auto" w:sz="0" w:space="0"/>
        </w:rPr>
        <w:t>horizon forecasts that practitioners often need.​</w:t>
      </w:r>
    </w:p>
    <w:p w14:paraId="3C50A2E6">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I suggest to the authors to make the data</w:t>
      </w:r>
      <w:r>
        <w:rPr>
          <w:rFonts w:hint="default" w:ascii="Arial" w:hAnsi="Arial" w:cs="Arial"/>
          <w:i w:val="0"/>
          <w:iCs w:val="0"/>
          <w:caps w:val="0"/>
          <w:color w:val="0A0A0A"/>
          <w:spacing w:val="0"/>
          <w:sz w:val="19"/>
          <w:szCs w:val="19"/>
          <w:bdr w:val="none" w:color="auto" w:sz="0" w:space="0"/>
        </w:rPr>
        <w:noBreakHyphen/>
      </w:r>
      <w:r>
        <w:rPr>
          <w:rFonts w:hint="default" w:ascii="Arial" w:hAnsi="Arial" w:cs="Arial"/>
          <w:i w:val="0"/>
          <w:iCs w:val="0"/>
          <w:caps w:val="0"/>
          <w:color w:val="0A0A0A"/>
          <w:spacing w:val="0"/>
          <w:sz w:val="19"/>
          <w:szCs w:val="19"/>
          <w:bdr w:val="none" w:color="auto" w:sz="0" w:space="0"/>
        </w:rPr>
        <w:t>generation pipeline easier to reuse: for instance, clearly separate what is specific to this network and Solomon instances from what is generic, and provide a short “how to reproduce / adapt this to your city” subsection referencing the public code.​</w:t>
      </w:r>
    </w:p>
    <w:p w14:paraId="572A34B4">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The authors should strengthen the discussion of limitations around simulation: for example, calibration of SUMO, how realistic the congestion patterns are, and how noise, missing data, and sensor irregularities (which are acknowledged as challenges) could change the results on real data.​</w:t>
      </w:r>
    </w:p>
    <w:p w14:paraId="6F37DBDD">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I suggest to the authors to refine the evaluation section: in addition to global MAE/RMSE/R², show performance by speed regime or congestion level, since the motivation is to handle distribution shifts and congestion transitions; this would better support the claims about robustness and interpretability.​</w:t>
      </w:r>
    </w:p>
    <w:p w14:paraId="59F99619">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The authors should revise the writing for clarity and flow: there are several long sentences, some typos (e.g., “Oerator lear</w:t>
      </w:r>
      <w:bookmarkStart w:id="0" w:name="_GoBack"/>
      <w:bookmarkEnd w:id="0"/>
      <w:r>
        <w:rPr>
          <w:rFonts w:hint="default" w:ascii="Arial" w:hAnsi="Arial" w:cs="Arial"/>
          <w:i w:val="0"/>
          <w:iCs w:val="0"/>
          <w:caps w:val="0"/>
          <w:color w:val="0A0A0A"/>
          <w:spacing w:val="0"/>
          <w:sz w:val="19"/>
          <w:szCs w:val="19"/>
          <w:bdr w:val="none" w:color="auto" w:sz="0" w:space="0"/>
        </w:rPr>
        <w:t>ning”), and dense paragraphs that could be split; a careful language edit would make the paper much more readable.​</w:t>
      </w:r>
    </w:p>
    <w:p w14:paraId="4062B18E">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I suggest to the authors to connect more explicitly to potential users: for example, add a short subsection or paragraph explaining how traffic engineers or logistics planners could plug this model into routing, signal control, or digital</w:t>
      </w:r>
      <w:r>
        <w:rPr>
          <w:rFonts w:hint="default" w:ascii="Arial" w:hAnsi="Arial" w:cs="Arial"/>
          <w:i w:val="0"/>
          <w:iCs w:val="0"/>
          <w:caps w:val="0"/>
          <w:color w:val="0A0A0A"/>
          <w:spacing w:val="0"/>
          <w:sz w:val="19"/>
          <w:szCs w:val="19"/>
          <w:bdr w:val="none" w:color="auto" w:sz="0" w:space="0"/>
        </w:rPr>
        <w:noBreakHyphen/>
      </w:r>
      <w:r>
        <w:rPr>
          <w:rFonts w:hint="default" w:ascii="Arial" w:hAnsi="Arial" w:cs="Arial"/>
          <w:i w:val="0"/>
          <w:iCs w:val="0"/>
          <w:caps w:val="0"/>
          <w:color w:val="0A0A0A"/>
          <w:spacing w:val="0"/>
          <w:sz w:val="19"/>
          <w:szCs w:val="19"/>
          <w:bdr w:val="none" w:color="auto" w:sz="0" w:space="0"/>
        </w:rPr>
        <w:t>twin systems, and what additional steps (calibration, uncertainty estimation) would be needed before deployment.​</w:t>
      </w:r>
    </w:p>
    <w:p w14:paraId="5832077B">
      <w:pPr>
        <w:jc w:val="both"/>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8B6355"/>
    <w:rsid w:val="258B6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TML Typewriter"/>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2025-11-27T13:25:00Z</dcterms:created>
  <dc:creator>camelluo</dc:creator>
  <cp:lastModifiedBy>camelluo</cp:lastModifiedBy>
  <dcterms:modified xsi:type="dcterms:W3CDTF">2025-11-27T13:26:51Z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EFAB0393DF104706BDDB37CF3E95E56D_11</vt:lpwstr>
  </property>
  <property fmtid="{D5CDD505-2E9C-101B-9397-08002B2CF9AE}" pid="4" name="KSOTemplateDocerSaveRecord">
    <vt:lpwstr>eyJoZGlkIjoiMWY4NDI2Yjc5ZDAzOWUwMmE3NDdjMjRiODNlMmZmNDQiLCJ1c2VySWQiOiI0MjQwNzQ5MjcifQ==</vt:lpwstr>
  </property>
</Properties>
</file>