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F97316"/>
          <w:sz w:val="36"/>
        </w:rPr>
        <w:t>TriCord</w:t>
      </w:r>
    </w:p>
    <w:p>
      <w:pPr>
        <w:spacing w:after="160"/>
        <w:jc w:val="left"/>
      </w:pPr>
      <w:r>
        <w:rPr>
          <w:rFonts w:ascii="Arial" w:hAnsi="Arial"/>
          <w:b/>
          <w:color w:val="17151D"/>
          <w:sz w:val="60"/>
        </w:rPr>
        <w:t>TriCord User Guide</w:t>
      </w:r>
    </w:p>
    <w:p>
      <w:pPr>
        <w:spacing w:after="120" w:line="269" w:lineRule="auto"/>
      </w:pPr>
      <w:r>
        <w:rPr>
          <w:rFonts w:ascii="Arial" w:hAnsi="Arial"/>
          <w:color w:val="17151D"/>
          <w:sz w:val="20"/>
        </w:rPr>
        <w:t>A practical guide for Owners, Admins, Members, and Guests using TriCord to organize work, discussions, tasks, knowledge, rooms, and optional business records.</w:t>
      </w:r>
    </w:p>
    <w:p>
      <w:pPr>
        <w:spacing w:after="80"/>
      </w:pPr>
      <w:r>
        <w:rPr>
          <w:rFonts w:ascii="Arial" w:hAnsi="Arial"/>
          <w:color w:val="5F5668"/>
          <w:sz w:val="17"/>
        </w:rPr>
        <w:t>For Free, Plus, and Pro users. Last updated July 2026.</w:t>
      </w:r>
    </w:p>
    <w:tbl>
      <w:tblPr>
        <w:tblW w:type="auto" w:w="0"/>
        <w:tblLook w:firstColumn="1" w:firstRow="1" w:lastColumn="0" w:lastRow="0" w:noHBand="0" w:noVBand="1" w:val="04A0"/>
      </w:tblPr>
      <w:tblGrid>
        <w:gridCol w:w="10166"/>
      </w:tblGrid>
      <w:tr>
        <w:tc>
          <w:tcPr>
            <w:tcW w:type="dxa" w:w="10166"/>
            <w:shd w:fill="FFF3E5"/>
            <w:tcBorders>
              <w:top w:val="single" w:sz="8" w:space="0" w:color="F97316"/>
              <w:left w:val="single" w:sz="8" w:space="0" w:color="F97316"/>
              <w:bottom w:val="single" w:sz="8" w:space="0" w:color="F97316"/>
              <w:right w:val="single" w:sz="8" w:space="0" w:color="F97316"/>
            </w:tcBorders>
          </w:tcPr>
          <w:p>
            <w:r/>
            <w:r>
              <w:rPr>
                <w:rFonts w:ascii="Arial" w:hAnsi="Arial"/>
                <w:b/>
                <w:color w:val="17151D"/>
                <w:sz w:val="20"/>
              </w:rPr>
              <w:t>Important product notice</w:t>
            </w:r>
          </w:p>
          <w:p>
            <w:pPr>
              <w:spacing w:before="80" w:after="40"/>
            </w:pPr>
            <w:r>
              <w:rPr>
                <w:rFonts w:ascii="Arial" w:hAnsi="Arial"/>
                <w:color w:val="5F5668"/>
                <w:sz w:val="19"/>
              </w:rPr>
              <w:t>TriCord provides collaboration and business productivity tools. Optional business modules are recordkeeping and organizational tools only. TriCord is not a payroll processor, tax advisor, legal advisor, HR consulting service, PEO, employer of record, or healthcare compliance platform. Customers remain responsible for complying with applicable labor, payroll, privacy, tax, employment, and industry laws.</w:t>
            </w:r>
          </w:p>
        </w:tc>
      </w:tr>
    </w:tbl>
    <w:p/>
    <w:tbl>
      <w:tblPr>
        <w:tblW w:type="auto" w:w="0"/>
        <w:jc w:val="center"/>
        <w:tblLayout w:type="autofit"/>
        <w:tblLook w:firstColumn="1" w:firstRow="1" w:lastColumn="0" w:lastRow="0" w:noHBand="0" w:noVBand="1" w:val="04A0"/>
      </w:tblPr>
      <w:tblGrid>
        <w:gridCol w:w="5083"/>
        <w:gridCol w:w="5083"/>
      </w:tblGrid>
      <w:tr>
        <w:tc>
          <w:tcPr>
            <w:tcW w:type="dxa" w:w="2304"/>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Core area</w:t>
            </w:r>
          </w:p>
        </w:tc>
        <w:tc>
          <w:tcPr>
            <w:tcW w:type="dxa" w:w="691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What it helps you do</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Active Feed</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Create focused posts, keep discussion attached to the topic, and preserve useful context.</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Tasks</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Turn follow-up work into board, list, and calendar views.</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Knowledge</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Store SOPs, FAQs, guides, and repeatable processes.</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Business modules</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Optionally record attendance, employee information, draft payroll preparation notes, and business summaries.</w:t>
            </w:r>
          </w:p>
        </w:tc>
      </w:tr>
    </w:tbl>
    <w:p/>
    <w:p>
      <w:r>
        <w:br w:type="page"/>
      </w:r>
    </w:p>
    <w:p>
      <w:pPr>
        <w:pStyle w:val="Heading1"/>
        <w:keepNext/>
      </w:pPr>
      <w:r>
        <w:rPr>
          <w:rFonts w:ascii="Arial" w:hAnsi="Arial"/>
          <w:b/>
          <w:color w:val="17151D"/>
        </w:rPr>
        <w:t>1. What TriCord Is</w:t>
      </w:r>
    </w:p>
    <w:p>
      <w:pPr>
        <w:spacing w:after="120" w:line="269" w:lineRule="auto"/>
      </w:pPr>
      <w:r>
        <w:rPr>
          <w:rFonts w:ascii="Arial" w:hAnsi="Arial"/>
          <w:color w:val="17151D"/>
          <w:sz w:val="20"/>
        </w:rPr>
        <w:t>TriCord is a work hub for small businesses and startups that need fewer loose ends. It brings room-based discussions, task ownership, knowledge articles, and optional business records into one place.</w:t>
      </w:r>
    </w:p>
    <w:p>
      <w:pPr>
        <w:pStyle w:val="ListBullet"/>
        <w:spacing w:after="60"/>
        <w:ind w:left="360" w:hanging="216"/>
      </w:pPr>
      <w:r>
        <w:rPr>
          <w:rFonts w:ascii="Arial" w:hAnsi="Arial"/>
          <w:color w:val="17151D"/>
          <w:sz w:val="19"/>
        </w:rPr>
        <w:t>Use Hubs for each company, client, organization, or operating group.</w:t>
      </w:r>
    </w:p>
    <w:p>
      <w:pPr>
        <w:pStyle w:val="ListBullet"/>
        <w:spacing w:after="60"/>
        <w:ind w:left="360" w:hanging="216"/>
      </w:pPr>
      <w:r>
        <w:rPr>
          <w:rFonts w:ascii="Arial" w:hAnsi="Arial"/>
          <w:color w:val="17151D"/>
          <w:sz w:val="19"/>
        </w:rPr>
        <w:t>Use Rooms to separate work by department, project, client, workflow, or team.</w:t>
      </w:r>
    </w:p>
    <w:p>
      <w:pPr>
        <w:pStyle w:val="ListBullet"/>
        <w:spacing w:after="60"/>
        <w:ind w:left="360" w:hanging="216"/>
      </w:pPr>
      <w:r>
        <w:rPr>
          <w:rFonts w:ascii="Arial" w:hAnsi="Arial"/>
          <w:color w:val="17151D"/>
          <w:sz w:val="19"/>
        </w:rPr>
        <w:t>Use posts when a topic needs replies, files, outcomes, and next steps.</w:t>
      </w:r>
    </w:p>
    <w:p>
      <w:pPr>
        <w:pStyle w:val="ListBullet"/>
        <w:spacing w:after="60"/>
        <w:ind w:left="360" w:hanging="216"/>
      </w:pPr>
      <w:r>
        <w:rPr>
          <w:rFonts w:ascii="Arial" w:hAnsi="Arial"/>
          <w:color w:val="17151D"/>
          <w:sz w:val="19"/>
        </w:rPr>
        <w:t>Use optional business modules only when they fit your organization and plan.</w:t>
      </w:r>
    </w:p>
    <w:p>
      <w:pPr>
        <w:pStyle w:val="Heading1"/>
        <w:keepNext/>
      </w:pPr>
      <w:r>
        <w:rPr>
          <w:rFonts w:ascii="Arial" w:hAnsi="Arial"/>
          <w:b/>
          <w:color w:val="17151D"/>
        </w:rPr>
        <w:t>2. Roles at a Glance</w:t>
      </w:r>
    </w:p>
    <w:tbl>
      <w:tblPr>
        <w:tblW w:type="auto" w:w="0"/>
        <w:jc w:val="center"/>
        <w:tblLayout w:type="autofit"/>
        <w:tblLook w:firstColumn="1" w:firstRow="1" w:lastColumn="0" w:lastRow="0" w:noHBand="0" w:noVBand="1" w:val="04A0"/>
      </w:tblPr>
      <w:tblGrid>
        <w:gridCol w:w="3389"/>
        <w:gridCol w:w="3389"/>
        <w:gridCol w:w="3389"/>
      </w:tblGrid>
      <w:tr>
        <w:tc>
          <w:tcPr>
            <w:tcW w:type="dxa" w:w="144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Role</w:t>
            </w:r>
          </w:p>
        </w:tc>
        <w:tc>
          <w:tcPr>
            <w:tcW w:type="dxa" w:w="316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Typical use</w:t>
            </w:r>
          </w:p>
        </w:tc>
        <w:tc>
          <w:tcPr>
            <w:tcW w:type="dxa" w:w="460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Common access</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Owner</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Business or Hub owner with final control.</w:t>
            </w:r>
          </w:p>
        </w:tc>
        <w:tc>
          <w:tcPr>
            <w:tcW w:type="dxa" w:w="460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Billing, Hub settings, roles, permissions, and all enabled modules.</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Admin</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Trusted manager or operations lead.</w:t>
            </w:r>
          </w:p>
        </w:tc>
        <w:tc>
          <w:tcPr>
            <w:tcW w:type="dxa" w:w="460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Only the modules and actions granted by the Owner.</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Member</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Employee or active collaborator.</w:t>
            </w:r>
          </w:p>
        </w:tc>
        <w:tc>
          <w:tcPr>
            <w:tcW w:type="dxa" w:w="460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Assigned rooms, posts, tasks, and personal business records where applicable.</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Guest</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Limited external collaborator.</w:t>
            </w:r>
          </w:p>
        </w:tc>
        <w:tc>
          <w:tcPr>
            <w:tcW w:type="dxa" w:w="460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Selected rooms and conversations only.</w:t>
            </w:r>
          </w:p>
        </w:tc>
      </w:tr>
    </w:tbl>
    <w:p/>
    <w:tbl>
      <w:tblPr>
        <w:tblW w:type="auto" w:w="0"/>
        <w:tblLook w:firstColumn="1" w:firstRow="1" w:lastColumn="0" w:lastRow="0" w:noHBand="0" w:noVBand="1" w:val="04A0"/>
      </w:tblPr>
      <w:tblGrid>
        <w:gridCol w:w="10166"/>
      </w:tblGrid>
      <w:tr>
        <w:tc>
          <w:tcPr>
            <w:tcW w:type="dxa" w:w="10166"/>
            <w:shd w:fill="FFF3E5"/>
            <w:tcBorders>
              <w:top w:val="single" w:sz="8" w:space="0" w:color="F97316"/>
              <w:left w:val="single" w:sz="8" w:space="0" w:color="F97316"/>
              <w:bottom w:val="single" w:sz="8" w:space="0" w:color="F97316"/>
              <w:right w:val="single" w:sz="8" w:space="0" w:color="F97316"/>
            </w:tcBorders>
          </w:tcPr>
          <w:p>
            <w:r/>
            <w:r>
              <w:rPr>
                <w:rFonts w:ascii="Arial" w:hAnsi="Arial"/>
                <w:b/>
                <w:color w:val="17151D"/>
                <w:sz w:val="20"/>
              </w:rPr>
              <w:t>Permission rule</w:t>
            </w:r>
          </w:p>
          <w:p>
            <w:pPr>
              <w:spacing w:before="80" w:after="40"/>
            </w:pPr>
            <w:r>
              <w:rPr>
                <w:rFonts w:ascii="Arial" w:hAnsi="Arial"/>
                <w:color w:val="5F5668"/>
                <w:sz w:val="19"/>
              </w:rPr>
              <w:t>Admins should only see features they have been granted. Members and Guests should not see administrative actions that do not apply to their role.</w:t>
            </w:r>
          </w:p>
        </w:tc>
      </w:tr>
    </w:tbl>
    <w:p/>
    <w:p>
      <w:r>
        <w:br w:type="page"/>
      </w:r>
    </w:p>
    <w:p>
      <w:pPr>
        <w:pStyle w:val="Heading1"/>
        <w:keepNext/>
      </w:pPr>
      <w:r>
        <w:rPr>
          <w:rFonts w:ascii="Arial" w:hAnsi="Arial"/>
          <w:b/>
          <w:color w:val="17151D"/>
        </w:rPr>
        <w:t>3. Navigation and Core Workflow</w:t>
      </w:r>
    </w:p>
    <w:p>
      <w:pPr>
        <w:spacing w:after="120" w:line="269" w:lineRule="auto"/>
      </w:pPr>
      <w:r>
        <w:rPr>
          <w:rFonts w:ascii="Arial" w:hAnsi="Arial"/>
          <w:color w:val="17151D"/>
          <w:sz w:val="20"/>
        </w:rPr>
        <w:t>Most teams start in the Active Feed. Create a post, discuss it in context, assign follow-up work, save reusable learning to Knowledge, and archive the post when the outcome is complete.</w:t>
      </w:r>
    </w:p>
    <w:tbl>
      <w:tblPr>
        <w:tblW w:type="auto" w:w="0"/>
        <w:jc w:val="center"/>
        <w:tblLayout w:type="autofit"/>
        <w:tblLook w:firstColumn="1" w:firstRow="1" w:lastColumn="0" w:lastRow="0" w:noHBand="0" w:noVBand="1" w:val="04A0"/>
      </w:tblPr>
      <w:tblGrid>
        <w:gridCol w:w="3389"/>
        <w:gridCol w:w="3389"/>
        <w:gridCol w:w="3389"/>
      </w:tblGrid>
      <w:tr>
        <w:tc>
          <w:tcPr>
            <w:tcW w:type="dxa" w:w="79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Step</w:t>
            </w:r>
          </w:p>
        </w:tc>
        <w:tc>
          <w:tcPr>
            <w:tcW w:type="dxa" w:w="316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Action</w:t>
            </w:r>
          </w:p>
        </w:tc>
        <w:tc>
          <w:tcPr>
            <w:tcW w:type="dxa" w:w="5256"/>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Why it matters</w:t>
            </w:r>
          </w:p>
        </w:tc>
      </w:tr>
      <w:tr>
        <w:tc>
          <w:tcPr>
            <w:tcW w:type="dxa" w:w="7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Choose a Hub and Room.</w:t>
            </w:r>
          </w:p>
        </w:tc>
        <w:tc>
          <w:tcPr>
            <w:tcW w:type="dxa" w:w="52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Keeps work separated by business, team, client, department, or process.</w:t>
            </w:r>
          </w:p>
        </w:tc>
      </w:tr>
      <w:tr>
        <w:tc>
          <w:tcPr>
            <w:tcW w:type="dxa" w:w="7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2</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Create a focused post.</w:t>
            </w:r>
          </w:p>
        </w:tc>
        <w:tc>
          <w:tcPr>
            <w:tcW w:type="dxa" w:w="52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Prevents work from disappearing in endless chat.</w:t>
            </w:r>
          </w:p>
        </w:tc>
      </w:tr>
      <w:tr>
        <w:tc>
          <w:tcPr>
            <w:tcW w:type="dxa" w:w="7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3</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Discuss with context.</w:t>
            </w:r>
          </w:p>
        </w:tc>
        <w:tc>
          <w:tcPr>
            <w:tcW w:type="dxa" w:w="52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Replies, files, reactions, and email context stay attached to the topic.</w:t>
            </w:r>
          </w:p>
        </w:tc>
      </w:tr>
      <w:tr>
        <w:tc>
          <w:tcPr>
            <w:tcW w:type="dxa" w:w="7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4</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Assign tasks.</w:t>
            </w:r>
          </w:p>
        </w:tc>
        <w:tc>
          <w:tcPr>
            <w:tcW w:type="dxa" w:w="52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Every next step can have an owner, status, priority, and due date.</w:t>
            </w:r>
          </w:p>
        </w:tc>
      </w:tr>
      <w:tr>
        <w:tc>
          <w:tcPr>
            <w:tcW w:type="dxa" w:w="7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5</w:t>
            </w:r>
          </w:p>
        </w:tc>
        <w:tc>
          <w:tcPr>
            <w:tcW w:type="dxa" w:w="31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Document repeatable answers.</w:t>
            </w:r>
          </w:p>
        </w:tc>
        <w:tc>
          <w:tcPr>
            <w:tcW w:type="dxa" w:w="52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Common answers and SOPs become searchable knowledge.</w:t>
            </w:r>
          </w:p>
        </w:tc>
      </w:tr>
    </w:tbl>
    <w:p/>
    <w:tbl>
      <w:tblPr>
        <w:tblW w:type="auto" w:w="0"/>
        <w:tblLook w:firstColumn="1" w:firstRow="1" w:lastColumn="0" w:lastRow="0" w:noHBand="0" w:noVBand="1" w:val="04A0"/>
      </w:tblPr>
      <w:tblGrid>
        <w:gridCol w:w="10166"/>
      </w:tblGrid>
      <w:tr>
        <w:tc>
          <w:tcPr>
            <w:tcW w:type="dxa" w:w="10166"/>
            <w:shd w:fill="FFF3E5"/>
            <w:tcBorders>
              <w:top w:val="single" w:sz="8" w:space="0" w:color="F97316"/>
              <w:left w:val="single" w:sz="8" w:space="0" w:color="F97316"/>
              <w:bottom w:val="single" w:sz="8" w:space="0" w:color="F97316"/>
              <w:right w:val="single" w:sz="8" w:space="0" w:color="F97316"/>
            </w:tcBorders>
          </w:tcPr>
          <w:p>
            <w:r/>
            <w:r>
              <w:rPr>
                <w:rFonts w:ascii="Arial" w:hAnsi="Arial"/>
                <w:b/>
                <w:color w:val="17151D"/>
                <w:sz w:val="20"/>
              </w:rPr>
              <w:t>Recommended habit</w:t>
            </w:r>
          </w:p>
          <w:p>
            <w:pPr>
              <w:spacing w:before="80" w:after="40"/>
            </w:pPr>
            <w:r>
              <w:rPr>
                <w:rFonts w:ascii="Arial" w:hAnsi="Arial"/>
                <w:color w:val="5F5668"/>
                <w:sz w:val="19"/>
              </w:rPr>
              <w:t>Create one post per meaningful topic. Use replies for the discussion, not separate posts for each update.</w:t>
            </w:r>
          </w:p>
        </w:tc>
      </w:tr>
    </w:tbl>
    <w:p/>
    <w:p>
      <w:pPr>
        <w:pStyle w:val="Heading1"/>
        <w:keepNext/>
      </w:pPr>
      <w:r>
        <w:rPr>
          <w:rFonts w:ascii="Arial" w:hAnsi="Arial"/>
          <w:b/>
          <w:color w:val="17151D"/>
        </w:rPr>
        <w:t>4. Recommended Daily Flow</w:t>
      </w:r>
    </w:p>
    <w:tbl>
      <w:tblPr>
        <w:tblW w:type="auto" w:w="0"/>
        <w:jc w:val="center"/>
        <w:tblLayout w:type="autofit"/>
        <w:tblLook w:firstColumn="1" w:firstRow="1" w:lastColumn="0" w:lastRow="0" w:noHBand="0" w:noVBand="1" w:val="04A0"/>
      </w:tblPr>
      <w:tblGrid>
        <w:gridCol w:w="3389"/>
        <w:gridCol w:w="3389"/>
        <w:gridCol w:w="3389"/>
      </w:tblGrid>
      <w:tr>
        <w:tc>
          <w:tcPr>
            <w:tcW w:type="dxa" w:w="144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Stage</w:t>
            </w:r>
          </w:p>
        </w:tc>
        <w:tc>
          <w:tcPr>
            <w:tcW w:type="dxa" w:w="3456"/>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Action</w:t>
            </w:r>
          </w:p>
        </w:tc>
        <w:tc>
          <w:tcPr>
            <w:tcW w:type="dxa" w:w="432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Expected result</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Start</w:t>
            </w:r>
          </w:p>
        </w:tc>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Review Active Feed and assigned tasks.</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You know what changed and what needs action today.</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Plan</w:t>
            </w:r>
          </w:p>
        </w:tc>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Create or update tasks from discussions.</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Follow-up work has a clear owner and due date.</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Document</w:t>
            </w:r>
          </w:p>
        </w:tc>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Move repeatable answers to Knowledge.</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team stops asking the same questions repeatedly.</w:t>
            </w:r>
          </w:p>
        </w:tc>
      </w:tr>
      <w:tr>
        <w:tc>
          <w:tcPr>
            <w:tcW w:type="dxa" w:w="144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Close</w:t>
            </w:r>
          </w:p>
        </w:tc>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Archive completed posts and tasks.</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workspace stays clean without losing history.</w:t>
            </w:r>
          </w:p>
        </w:tc>
      </w:tr>
    </w:tbl>
    <w:p/>
    <w:p>
      <w:r>
        <w:br w:type="page"/>
      </w:r>
    </w:p>
    <w:p>
      <w:pPr>
        <w:pStyle w:val="Heading1"/>
        <w:keepNext/>
      </w:pPr>
      <w:r>
        <w:rPr>
          <w:rFonts w:ascii="Arial" w:hAnsi="Arial"/>
          <w:b/>
          <w:color w:val="17151D"/>
        </w:rPr>
        <w:t>5. Rooms and Active Feed</w:t>
      </w:r>
    </w:p>
    <w:p>
      <w:pPr>
        <w:spacing w:after="120" w:line="269" w:lineRule="auto"/>
      </w:pPr>
      <w:r>
        <w:rPr>
          <w:rFonts w:ascii="Arial" w:hAnsi="Arial"/>
          <w:color w:val="17151D"/>
          <w:sz w:val="20"/>
        </w:rPr>
        <w:t>Rooms are focused spaces for departments, clients, projects, or processes. A Room can have a dedicated forwarding email address when email forwarding is enabled for a Plus or Pro Hub.</w:t>
      </w:r>
    </w:p>
    <w:p>
      <w:pPr>
        <w:pStyle w:val="ListBullet"/>
        <w:spacing w:after="60"/>
        <w:ind w:left="360" w:hanging="216"/>
      </w:pPr>
      <w:r>
        <w:rPr>
          <w:rFonts w:ascii="Arial" w:hAnsi="Arial"/>
          <w:color w:val="17151D"/>
          <w:sz w:val="19"/>
        </w:rPr>
        <w:t>Create rooms for Sales, HR, Leads, Support, Projects, Client Onboarding, or any other recurring work area.</w:t>
      </w:r>
    </w:p>
    <w:p>
      <w:pPr>
        <w:pStyle w:val="ListBullet"/>
        <w:spacing w:after="60"/>
        <w:ind w:left="360" w:hanging="216"/>
      </w:pPr>
      <w:r>
        <w:rPr>
          <w:rFonts w:ascii="Arial" w:hAnsi="Arial"/>
          <w:color w:val="17151D"/>
          <w:sz w:val="19"/>
        </w:rPr>
        <w:t>Pin important rooms to keep them at the top of the list.</w:t>
      </w:r>
    </w:p>
    <w:p>
      <w:pPr>
        <w:pStyle w:val="ListBullet"/>
        <w:spacing w:after="60"/>
        <w:ind w:left="360" w:hanging="216"/>
      </w:pPr>
      <w:r>
        <w:rPr>
          <w:rFonts w:ascii="Arial" w:hAnsi="Arial"/>
          <w:color w:val="17151D"/>
          <w:sz w:val="19"/>
        </w:rPr>
        <w:t>Sort or move rooms when the sidebar needs to match your workflow.</w:t>
      </w:r>
    </w:p>
    <w:p>
      <w:pPr>
        <w:pStyle w:val="ListBullet"/>
        <w:spacing w:after="60"/>
        <w:ind w:left="360" w:hanging="216"/>
      </w:pPr>
      <w:r>
        <w:rPr>
          <w:rFonts w:ascii="Arial" w:hAnsi="Arial"/>
          <w:color w:val="17151D"/>
          <w:sz w:val="19"/>
        </w:rPr>
        <w:t>Use room-level email forwarding to bring useful email context into TriCord when the feature is enabled.</w:t>
      </w:r>
    </w:p>
    <w:tbl>
      <w:tblPr>
        <w:tblW w:type="auto" w:w="0"/>
        <w:jc w:val="center"/>
        <w:tblLayout w:type="autofit"/>
        <w:tblLook w:firstColumn="1" w:firstRow="1" w:lastColumn="0" w:lastRow="0" w:noHBand="0" w:noVBand="1" w:val="04A0"/>
      </w:tblPr>
      <w:tblGrid>
        <w:gridCol w:w="5083"/>
        <w:gridCol w:w="5083"/>
      </w:tblGrid>
      <w:tr>
        <w:tc>
          <w:tcPr>
            <w:tcW w:type="dxa" w:w="2016"/>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Post status</w:t>
            </w:r>
          </w:p>
        </w:tc>
        <w:tc>
          <w:tcPr>
            <w:tcW w:type="dxa" w:w="720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Meaning</w:t>
            </w:r>
          </w:p>
        </w:tc>
      </w:tr>
      <w:tr>
        <w:tc>
          <w:tcPr>
            <w:tcW w:type="dxa" w:w="201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Active</w:t>
            </w:r>
          </w:p>
        </w:tc>
        <w:tc>
          <w:tcPr>
            <w:tcW w:type="dxa" w:w="720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topic is open and still useful for current work.</w:t>
            </w:r>
          </w:p>
        </w:tc>
      </w:tr>
      <w:tr>
        <w:tc>
          <w:tcPr>
            <w:tcW w:type="dxa" w:w="201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Assigned</w:t>
            </w:r>
          </w:p>
        </w:tc>
        <w:tc>
          <w:tcPr>
            <w:tcW w:type="dxa" w:w="720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 person or team has follow-up responsibility.</w:t>
            </w:r>
          </w:p>
        </w:tc>
      </w:tr>
      <w:tr>
        <w:tc>
          <w:tcPr>
            <w:tcW w:type="dxa" w:w="201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Archived</w:t>
            </w:r>
          </w:p>
        </w:tc>
        <w:tc>
          <w:tcPr>
            <w:tcW w:type="dxa" w:w="720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outcome is complete but searchable history remains available.</w:t>
            </w:r>
          </w:p>
        </w:tc>
      </w:tr>
    </w:tbl>
    <w:p/>
    <w:p>
      <w:pPr>
        <w:pStyle w:val="Heading1"/>
        <w:keepNext/>
      </w:pPr>
      <w:r>
        <w:rPr>
          <w:rFonts w:ascii="Arial" w:hAnsi="Arial"/>
          <w:b/>
          <w:color w:val="17151D"/>
        </w:rPr>
        <w:t>6. Discussion Panel</w:t>
      </w:r>
    </w:p>
    <w:p>
      <w:pPr>
        <w:spacing w:after="120" w:line="269" w:lineRule="auto"/>
      </w:pPr>
      <w:r>
        <w:rPr>
          <w:rFonts w:ascii="Arial" w:hAnsi="Arial"/>
          <w:color w:val="17151D"/>
          <w:sz w:val="20"/>
        </w:rPr>
        <w:t>The discussion panel opens when a post is selected. It keeps replies attached to the original post instead of scattering updates across separate threads.</w:t>
      </w:r>
    </w:p>
    <w:p>
      <w:pPr>
        <w:pStyle w:val="ListBullet"/>
        <w:spacing w:after="60"/>
        <w:ind w:left="360" w:hanging="216"/>
      </w:pPr>
      <w:r>
        <w:rPr>
          <w:rFonts w:ascii="Arial" w:hAnsi="Arial"/>
          <w:color w:val="17151D"/>
          <w:sz w:val="19"/>
        </w:rPr>
        <w:t>Use the side-panel toggle to hide or show discussions on non-feed pages.</w:t>
      </w:r>
    </w:p>
    <w:p>
      <w:pPr>
        <w:pStyle w:val="ListBullet"/>
        <w:spacing w:after="60"/>
        <w:ind w:left="360" w:hanging="216"/>
      </w:pPr>
      <w:r>
        <w:rPr>
          <w:rFonts w:ascii="Arial" w:hAnsi="Arial"/>
          <w:color w:val="17151D"/>
          <w:sz w:val="19"/>
        </w:rPr>
        <w:t>On Active Feed, clicking a post opens the discussion for that post.</w:t>
      </w:r>
    </w:p>
    <w:p>
      <w:pPr>
        <w:pStyle w:val="ListBullet"/>
        <w:spacing w:after="60"/>
        <w:ind w:left="360" w:hanging="216"/>
      </w:pPr>
      <w:r>
        <w:rPr>
          <w:rFonts w:ascii="Arial" w:hAnsi="Arial"/>
          <w:color w:val="17151D"/>
          <w:sz w:val="19"/>
        </w:rPr>
        <w:t>Use attachments only when they are relevant to the topic.</w:t>
      </w:r>
    </w:p>
    <w:p>
      <w:pPr>
        <w:pStyle w:val="ListBullet"/>
        <w:spacing w:after="60"/>
        <w:ind w:left="360" w:hanging="216"/>
      </w:pPr>
      <w:r>
        <w:rPr>
          <w:rFonts w:ascii="Arial" w:hAnsi="Arial"/>
          <w:color w:val="17151D"/>
          <w:sz w:val="19"/>
        </w:rPr>
        <w:t>Use email commands carefully when sending a message outside TriCord.</w:t>
      </w:r>
    </w:p>
    <w:p>
      <w:r>
        <w:br w:type="page"/>
      </w:r>
    </w:p>
    <w:p>
      <w:pPr>
        <w:pStyle w:val="Heading1"/>
        <w:keepNext/>
      </w:pPr>
      <w:r>
        <w:rPr>
          <w:rFonts w:ascii="Arial" w:hAnsi="Arial"/>
          <w:b/>
          <w:color w:val="17151D"/>
        </w:rPr>
        <w:t>7. Tasks</w:t>
      </w:r>
    </w:p>
    <w:p>
      <w:pPr>
        <w:spacing w:after="120" w:line="269" w:lineRule="auto"/>
      </w:pPr>
      <w:r>
        <w:rPr>
          <w:rFonts w:ascii="Arial" w:hAnsi="Arial"/>
          <w:color w:val="17151D"/>
          <w:sz w:val="20"/>
        </w:rPr>
        <w:t>Tasks are for follow-up work that needs ownership, status, priority, and a due date. The Tasks page keeps the sidebar name simple while supporting project-management views.</w:t>
      </w:r>
    </w:p>
    <w:tbl>
      <w:tblPr>
        <w:tblW w:type="auto" w:w="0"/>
        <w:jc w:val="center"/>
        <w:tblLayout w:type="autofit"/>
        <w:tblLook w:firstColumn="1" w:firstRow="1" w:lastColumn="0" w:lastRow="0" w:noHBand="0" w:noVBand="1" w:val="04A0"/>
      </w:tblPr>
      <w:tblGrid>
        <w:gridCol w:w="5083"/>
        <w:gridCol w:w="5083"/>
      </w:tblGrid>
      <w:tr>
        <w:tc>
          <w:tcPr>
            <w:tcW w:type="dxa" w:w="172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View</w:t>
            </w:r>
          </w:p>
        </w:tc>
        <w:tc>
          <w:tcPr>
            <w:tcW w:type="dxa" w:w="748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Purpose</w:t>
            </w:r>
          </w:p>
        </w:tc>
      </w:tr>
      <w:tr>
        <w:tc>
          <w:tcPr>
            <w:tcW w:type="dxa" w:w="172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Board</w:t>
            </w:r>
          </w:p>
        </w:tc>
        <w:tc>
          <w:tcPr>
            <w:tcW w:type="dxa" w:w="748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Move work across To Do, In Progress, In Review, Done, or Canceled.</w:t>
            </w:r>
          </w:p>
        </w:tc>
      </w:tr>
      <w:tr>
        <w:tc>
          <w:tcPr>
            <w:tcW w:type="dxa" w:w="172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List</w:t>
            </w:r>
          </w:p>
        </w:tc>
        <w:tc>
          <w:tcPr>
            <w:tcW w:type="dxa" w:w="748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Scan task title, project, assignee, status, priority, due date, and actions.</w:t>
            </w:r>
          </w:p>
        </w:tc>
      </w:tr>
      <w:tr>
        <w:tc>
          <w:tcPr>
            <w:tcW w:type="dxa" w:w="172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Calendar</w:t>
            </w:r>
          </w:p>
        </w:tc>
        <w:tc>
          <w:tcPr>
            <w:tcW w:type="dxa" w:w="748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Review due dates and day-specific workload.</w:t>
            </w:r>
          </w:p>
        </w:tc>
      </w:tr>
    </w:tbl>
    <w:p/>
    <w:p>
      <w:pPr>
        <w:pStyle w:val="ListBullet"/>
        <w:spacing w:after="60"/>
        <w:ind w:left="360" w:hanging="216"/>
      </w:pPr>
      <w:r>
        <w:rPr>
          <w:rFonts w:ascii="Arial" w:hAnsi="Arial"/>
          <w:color w:val="17151D"/>
          <w:sz w:val="19"/>
        </w:rPr>
        <w:t>All users can create and assign tasks where permissions allow.</w:t>
      </w:r>
    </w:p>
    <w:p>
      <w:pPr>
        <w:pStyle w:val="ListBullet"/>
        <w:spacing w:after="60"/>
        <w:ind w:left="360" w:hanging="216"/>
      </w:pPr>
      <w:r>
        <w:rPr>
          <w:rFonts w:ascii="Arial" w:hAnsi="Arial"/>
          <w:color w:val="17151D"/>
          <w:sz w:val="19"/>
        </w:rPr>
        <w:t>Owners and permitted Admins can edit or delete task records.</w:t>
      </w:r>
    </w:p>
    <w:p>
      <w:pPr>
        <w:pStyle w:val="ListBullet"/>
        <w:spacing w:after="60"/>
        <w:ind w:left="360" w:hanging="216"/>
      </w:pPr>
      <w:r>
        <w:rPr>
          <w:rFonts w:ascii="Arial" w:hAnsi="Arial"/>
          <w:color w:val="17151D"/>
          <w:sz w:val="19"/>
        </w:rPr>
        <w:t>Members and Guests should see only actions that apply to their role.</w:t>
      </w:r>
    </w:p>
    <w:p>
      <w:pPr>
        <w:pStyle w:val="ListBullet"/>
        <w:spacing w:after="60"/>
        <w:ind w:left="360" w:hanging="216"/>
      </w:pPr>
      <w:r>
        <w:rPr>
          <w:rFonts w:ascii="Arial" w:hAnsi="Arial"/>
          <w:color w:val="17151D"/>
          <w:sz w:val="19"/>
        </w:rPr>
        <w:t>Completed or canceled tasks can be archived to keep current views clean.</w:t>
      </w:r>
    </w:p>
    <w:p>
      <w:pPr>
        <w:pStyle w:val="Heading1"/>
        <w:keepNext/>
      </w:pPr>
      <w:r>
        <w:rPr>
          <w:rFonts w:ascii="Arial" w:hAnsi="Arial"/>
          <w:b/>
          <w:color w:val="17151D"/>
        </w:rPr>
        <w:t>8. Knowledge Base</w:t>
      </w:r>
    </w:p>
    <w:p>
      <w:pPr>
        <w:spacing w:after="120" w:line="269" w:lineRule="auto"/>
      </w:pPr>
      <w:r>
        <w:rPr>
          <w:rFonts w:ascii="Arial" w:hAnsi="Arial"/>
          <w:color w:val="17151D"/>
          <w:sz w:val="20"/>
        </w:rPr>
        <w:t>Knowledge is a searchable repository for SOPs, how-to guides, FAQs, troubleshooting notes, policies, and reusable answers.</w:t>
      </w:r>
    </w:p>
    <w:p>
      <w:pPr>
        <w:pStyle w:val="ListBullet"/>
        <w:spacing w:after="60"/>
        <w:ind w:left="360" w:hanging="216"/>
      </w:pPr>
      <w:r>
        <w:rPr>
          <w:rFonts w:ascii="Arial" w:hAnsi="Arial"/>
          <w:color w:val="17151D"/>
          <w:sz w:val="19"/>
        </w:rPr>
        <w:t>Use clear titles that match the terms your team searches for.</w:t>
      </w:r>
    </w:p>
    <w:p>
      <w:pPr>
        <w:pStyle w:val="ListBullet"/>
        <w:spacing w:after="60"/>
        <w:ind w:left="360" w:hanging="216"/>
      </w:pPr>
      <w:r>
        <w:rPr>
          <w:rFonts w:ascii="Arial" w:hAnsi="Arial"/>
          <w:color w:val="17151D"/>
          <w:sz w:val="19"/>
        </w:rPr>
        <w:t>Keep articles short enough to follow but complete enough to act on.</w:t>
      </w:r>
    </w:p>
    <w:p>
      <w:pPr>
        <w:pStyle w:val="ListBullet"/>
        <w:spacing w:after="60"/>
        <w:ind w:left="360" w:hanging="216"/>
      </w:pPr>
      <w:r>
        <w:rPr>
          <w:rFonts w:ascii="Arial" w:hAnsi="Arial"/>
          <w:color w:val="17151D"/>
          <w:sz w:val="19"/>
        </w:rPr>
        <w:t>Owners and permitted Admins manage edits and deletion.</w:t>
      </w:r>
    </w:p>
    <w:p>
      <w:pPr>
        <w:pStyle w:val="ListBullet"/>
        <w:spacing w:after="60"/>
        <w:ind w:left="360" w:hanging="216"/>
      </w:pPr>
      <w:r>
        <w:rPr>
          <w:rFonts w:ascii="Arial" w:hAnsi="Arial"/>
          <w:color w:val="17151D"/>
          <w:sz w:val="19"/>
        </w:rPr>
        <w:t>All roles can create helpful knowledge when your Hub policy allows it.</w:t>
      </w:r>
    </w:p>
    <w:p>
      <w:r>
        <w:br w:type="page"/>
      </w:r>
    </w:p>
    <w:p>
      <w:pPr>
        <w:pStyle w:val="Heading1"/>
        <w:keepNext/>
      </w:pPr>
      <w:r>
        <w:rPr>
          <w:rFonts w:ascii="Arial" w:hAnsi="Arial"/>
          <w:b/>
          <w:color w:val="17151D"/>
        </w:rPr>
        <w:t>9. Email Forwarding and Email Commands</w:t>
      </w:r>
    </w:p>
    <w:p>
      <w:pPr>
        <w:spacing w:after="120" w:line="269" w:lineRule="auto"/>
      </w:pPr>
      <w:r>
        <w:rPr>
          <w:rFonts w:ascii="Arial" w:hAnsi="Arial"/>
          <w:color w:val="17151D"/>
          <w:sz w:val="20"/>
        </w:rPr>
        <w:t>Incoming and outgoing email features are premium capabilities for Plus and Pro Hubs. They are designed to preserve email context in the Room where the work belongs.</w:t>
      </w:r>
    </w:p>
    <w:tbl>
      <w:tblPr>
        <w:tblW w:type="auto" w:w="0"/>
        <w:jc w:val="center"/>
        <w:tblLayout w:type="autofit"/>
        <w:tblLook w:firstColumn="1" w:firstRow="1" w:lastColumn="0" w:lastRow="0" w:noHBand="0" w:noVBand="1" w:val="04A0"/>
      </w:tblPr>
      <w:tblGrid>
        <w:gridCol w:w="3389"/>
        <w:gridCol w:w="3389"/>
        <w:gridCol w:w="3389"/>
      </w:tblGrid>
      <w:tr>
        <w:tc>
          <w:tcPr>
            <w:tcW w:type="dxa" w:w="1944"/>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Capability</w:t>
            </w:r>
          </w:p>
        </w:tc>
        <w:tc>
          <w:tcPr>
            <w:tcW w:type="dxa" w:w="432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What it does</w:t>
            </w:r>
          </w:p>
        </w:tc>
        <w:tc>
          <w:tcPr>
            <w:tcW w:type="dxa" w:w="295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Notes</w:t>
            </w:r>
          </w:p>
        </w:tc>
      </w:tr>
      <w:tr>
        <w:tc>
          <w:tcPr>
            <w:tcW w:type="dxa" w:w="194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Room forwarding</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Forward an email to a Room address such as careprova-sales@room.tricord.cc.</w:t>
            </w:r>
          </w:p>
        </w:tc>
        <w:tc>
          <w:tcPr>
            <w:tcW w:type="dxa" w:w="295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email becomes a post or reply in that Room.</w:t>
            </w:r>
          </w:p>
        </w:tc>
      </w:tr>
      <w:tr>
        <w:tc>
          <w:tcPr>
            <w:tcW w:type="dxa" w:w="194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Email commands</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Send a discussion message to an email recipient using supported command syntax.</w:t>
            </w:r>
          </w:p>
        </w:tc>
        <w:tc>
          <w:tcPr>
            <w:tcW w:type="dxa" w:w="295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The message is recorded in TriCord and sent through the configured email service.</w:t>
            </w:r>
          </w:p>
        </w:tc>
      </w:tr>
      <w:tr>
        <w:tc>
          <w:tcPr>
            <w:tcW w:type="dxa" w:w="194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Attachments</w:t>
            </w:r>
          </w:p>
        </w:tc>
        <w:tc>
          <w:tcPr>
            <w:tcW w:type="dxa" w:w="432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Relevant files can stay with the discussion when allowed by size, type, and plan limits.</w:t>
            </w:r>
          </w:p>
        </w:tc>
        <w:tc>
          <w:tcPr>
            <w:tcW w:type="dxa" w:w="295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Do not forward confidential files unless your organization permits it.</w:t>
            </w:r>
          </w:p>
        </w:tc>
      </w:tr>
    </w:tbl>
    <w:p/>
    <w:tbl>
      <w:tblPr>
        <w:tblW w:type="auto" w:w="0"/>
        <w:tblLook w:firstColumn="1" w:firstRow="1" w:lastColumn="0" w:lastRow="0" w:noHBand="0" w:noVBand="1" w:val="04A0"/>
      </w:tblPr>
      <w:tblGrid>
        <w:gridCol w:w="10166"/>
      </w:tblGrid>
      <w:tr>
        <w:tc>
          <w:tcPr>
            <w:tcW w:type="dxa" w:w="10166"/>
            <w:shd w:fill="FFF3E5"/>
            <w:tcBorders>
              <w:top w:val="single" w:sz="8" w:space="0" w:color="F97316"/>
              <w:left w:val="single" w:sz="8" w:space="0" w:color="F97316"/>
              <w:bottom w:val="single" w:sz="8" w:space="0" w:color="F97316"/>
              <w:right w:val="single" w:sz="8" w:space="0" w:color="F97316"/>
            </w:tcBorders>
          </w:tcPr>
          <w:p>
            <w:r/>
            <w:r>
              <w:rPr>
                <w:rFonts w:ascii="Arial" w:hAnsi="Arial"/>
                <w:b/>
                <w:color w:val="17151D"/>
                <w:sz w:val="20"/>
              </w:rPr>
              <w:t>Email best practice</w:t>
            </w:r>
          </w:p>
          <w:p>
            <w:pPr>
              <w:spacing w:before="80" w:after="40"/>
            </w:pPr>
            <w:r>
              <w:rPr>
                <w:rFonts w:ascii="Arial" w:hAnsi="Arial"/>
                <w:color w:val="5F5668"/>
                <w:sz w:val="19"/>
              </w:rPr>
              <w:t>Use email forwarding for important business context, not as a replacement for an email inbox. Room email addresses should be shared only with people who are allowed to send content into that Room.</w:t>
            </w:r>
          </w:p>
        </w:tc>
      </w:tr>
    </w:tbl>
    <w:p/>
    <w:p>
      <w:pPr>
        <w:pStyle w:val="Heading1"/>
        <w:keepNext/>
      </w:pPr>
      <w:r>
        <w:rPr>
          <w:rFonts w:ascii="Arial" w:hAnsi="Arial"/>
          <w:b/>
          <w:color w:val="17151D"/>
        </w:rPr>
        <w:t>10. Optional Business Modules</w:t>
      </w:r>
    </w:p>
    <w:p>
      <w:pPr>
        <w:spacing w:after="120" w:line="269" w:lineRule="auto"/>
      </w:pPr>
      <w:r>
        <w:rPr>
          <w:rFonts w:ascii="Arial" w:hAnsi="Arial"/>
          <w:color w:val="17151D"/>
          <w:sz w:val="20"/>
        </w:rPr>
        <w:t>Attendance, Employee Records, Payroll Preparation, and Business Reports are optional business modules. They are available only on Plus and Pro Hubs and can be enabled or disabled by Owners from Hub Settings.</w:t>
      </w:r>
    </w:p>
    <w:p>
      <w:pPr>
        <w:pStyle w:val="ListBullet"/>
        <w:spacing w:after="60"/>
        <w:ind w:left="360" w:hanging="216"/>
      </w:pPr>
      <w:r>
        <w:rPr>
          <w:rFonts w:ascii="Arial" w:hAnsi="Arial"/>
          <w:color w:val="17151D"/>
          <w:sz w:val="19"/>
        </w:rPr>
        <w:t>Attendance records are for clock-in, clock-out, and working-hour recordkeeping.</w:t>
      </w:r>
    </w:p>
    <w:p>
      <w:pPr>
        <w:pStyle w:val="ListBullet"/>
        <w:spacing w:after="60"/>
        <w:ind w:left="360" w:hanging="216"/>
      </w:pPr>
      <w:r>
        <w:rPr>
          <w:rFonts w:ascii="Arial" w:hAnsi="Arial"/>
          <w:color w:val="17151D"/>
          <w:sz w:val="19"/>
        </w:rPr>
        <w:t>Employee Records can store HR profile information, leave requests, documents, performance records, and compensation records.</w:t>
      </w:r>
    </w:p>
    <w:p>
      <w:pPr>
        <w:pStyle w:val="ListBullet"/>
        <w:spacing w:after="60"/>
        <w:ind w:left="360" w:hanging="216"/>
      </w:pPr>
      <w:r>
        <w:rPr>
          <w:rFonts w:ascii="Arial" w:hAnsi="Arial"/>
          <w:color w:val="17151D"/>
          <w:sz w:val="19"/>
        </w:rPr>
        <w:t>Payroll Preparation is for owner-reviewed draft summaries and recordkeeping notes. TriCord does not process payroll.</w:t>
      </w:r>
    </w:p>
    <w:p>
      <w:pPr>
        <w:pStyle w:val="ListBullet"/>
        <w:spacing w:after="60"/>
        <w:ind w:left="360" w:hanging="216"/>
      </w:pPr>
      <w:r>
        <w:rPr>
          <w:rFonts w:ascii="Arial" w:hAnsi="Arial"/>
          <w:color w:val="17151D"/>
          <w:sz w:val="19"/>
        </w:rPr>
        <w:t>Business Reports summarize operational records already entered into TriCord.</w:t>
      </w:r>
    </w:p>
    <w:p>
      <w:r>
        <w:br w:type="page"/>
      </w:r>
    </w:p>
    <w:p>
      <w:pPr>
        <w:pStyle w:val="Heading1"/>
        <w:keepNext/>
      </w:pPr>
      <w:r>
        <w:rPr>
          <w:rFonts w:ascii="Arial" w:hAnsi="Arial"/>
          <w:b/>
          <w:color w:val="17151D"/>
        </w:rPr>
        <w:t>11. Attendance Policy Notices</w:t>
      </w:r>
    </w:p>
    <w:p>
      <w:pPr>
        <w:spacing w:after="120" w:line="269" w:lineRule="auto"/>
      </w:pPr>
      <w:r>
        <w:rPr>
          <w:rFonts w:ascii="Arial" w:hAnsi="Arial"/>
          <w:color w:val="17151D"/>
          <w:sz w:val="20"/>
        </w:rPr>
        <w:t>Owners can configure employee-specific attendance policy requirements. When settings such as GPS location, IP address, device information, selfie verification, or geofence restrictions are enabled, affected Admins and Members should receive a clear notice.</w:t>
      </w:r>
    </w:p>
    <w:tbl>
      <w:tblPr>
        <w:tblW w:type="auto" w:w="0"/>
        <w:jc w:val="center"/>
        <w:tblLayout w:type="autofit"/>
        <w:tblLook w:firstColumn="1" w:firstRow="1" w:lastColumn="0" w:lastRow="0" w:noHBand="0" w:noVBand="1" w:val="04A0"/>
      </w:tblPr>
      <w:tblGrid>
        <w:gridCol w:w="5083"/>
        <w:gridCol w:w="5083"/>
      </w:tblGrid>
      <w:tr>
        <w:tc>
          <w:tcPr>
            <w:tcW w:type="dxa" w:w="244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Requirement</w:t>
            </w:r>
          </w:p>
        </w:tc>
        <w:tc>
          <w:tcPr>
            <w:tcW w:type="dxa" w:w="6768"/>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Employee notice should explain</w:t>
            </w:r>
          </w:p>
        </w:tc>
      </w:tr>
      <w:tr>
        <w:tc>
          <w:tcPr>
            <w:tcW w:type="dxa" w:w="244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GPS location</w:t>
            </w:r>
          </w:p>
        </w:tc>
        <w:tc>
          <w:tcPr>
            <w:tcW w:type="dxa" w:w="67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Location may be requested and recorded when clocking in or out.</w:t>
            </w:r>
          </w:p>
        </w:tc>
      </w:tr>
      <w:tr>
        <w:tc>
          <w:tcPr>
            <w:tcW w:type="dxa" w:w="244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IP address</w:t>
            </w:r>
          </w:p>
        </w:tc>
        <w:tc>
          <w:tcPr>
            <w:tcW w:type="dxa" w:w="67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Network IP information may be recorded when clocking in or out.</w:t>
            </w:r>
          </w:p>
        </w:tc>
      </w:tr>
      <w:tr>
        <w:tc>
          <w:tcPr>
            <w:tcW w:type="dxa" w:w="244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Device information</w:t>
            </w:r>
          </w:p>
        </w:tc>
        <w:tc>
          <w:tcPr>
            <w:tcW w:type="dxa" w:w="67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Device and browser information may be recorded when clocking in or out.</w:t>
            </w:r>
          </w:p>
        </w:tc>
      </w:tr>
      <w:tr>
        <w:tc>
          <w:tcPr>
            <w:tcW w:type="dxa" w:w="244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Selfie verification</w:t>
            </w:r>
          </w:p>
        </w:tc>
        <w:tc>
          <w:tcPr>
            <w:tcW w:type="dxa" w:w="67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 selfie may be requested to confirm identity at clock-in or clock-out.</w:t>
            </w:r>
          </w:p>
        </w:tc>
      </w:tr>
      <w:tr>
        <w:tc>
          <w:tcPr>
            <w:tcW w:type="dxa" w:w="244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Geofence restriction</w:t>
            </w:r>
          </w:p>
        </w:tc>
        <w:tc>
          <w:tcPr>
            <w:tcW w:type="dxa" w:w="6768"/>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Clock-in may be limited to approved work areas.</w:t>
            </w:r>
          </w:p>
        </w:tc>
      </w:tr>
    </w:tbl>
    <w:p/>
    <w:p>
      <w:pPr>
        <w:pStyle w:val="Heading1"/>
        <w:keepNext/>
      </w:pPr>
      <w:r>
        <w:rPr>
          <w:rFonts w:ascii="Arial" w:hAnsi="Arial"/>
          <w:b/>
          <w:color w:val="17151D"/>
        </w:rPr>
        <w:t>12. Employee Records</w:t>
      </w:r>
    </w:p>
    <w:p>
      <w:pPr>
        <w:spacing w:after="120" w:line="269" w:lineRule="auto"/>
      </w:pPr>
      <w:r>
        <w:rPr>
          <w:rFonts w:ascii="Arial" w:hAnsi="Arial"/>
          <w:color w:val="17151D"/>
          <w:sz w:val="20"/>
        </w:rPr>
        <w:t>Employee Records help organizations store employee profile data and related records in one place. Access should be limited by role and permission.</w:t>
      </w:r>
    </w:p>
    <w:p>
      <w:pPr>
        <w:pStyle w:val="ListBullet"/>
        <w:spacing w:after="60"/>
        <w:ind w:left="360" w:hanging="216"/>
      </w:pPr>
      <w:r>
        <w:rPr>
          <w:rFonts w:ascii="Arial" w:hAnsi="Arial"/>
          <w:color w:val="17151D"/>
          <w:sz w:val="19"/>
        </w:rPr>
        <w:t>Owners and permitted Admins can manage employee profile fields.</w:t>
      </w:r>
    </w:p>
    <w:p>
      <w:pPr>
        <w:pStyle w:val="ListBullet"/>
        <w:spacing w:after="60"/>
        <w:ind w:left="360" w:hanging="216"/>
      </w:pPr>
      <w:r>
        <w:rPr>
          <w:rFonts w:ascii="Arial" w:hAnsi="Arial"/>
          <w:color w:val="17151D"/>
          <w:sz w:val="19"/>
        </w:rPr>
        <w:t>Members can view their own documents and performance records where allowed.</w:t>
      </w:r>
    </w:p>
    <w:p>
      <w:pPr>
        <w:pStyle w:val="ListBullet"/>
        <w:spacing w:after="60"/>
        <w:ind w:left="360" w:hanging="216"/>
      </w:pPr>
      <w:r>
        <w:rPr>
          <w:rFonts w:ascii="Arial" w:hAnsi="Arial"/>
          <w:color w:val="17151D"/>
          <w:sz w:val="19"/>
        </w:rPr>
        <w:t>Employees can request changes to documents or performance records when direct editing is not allowed.</w:t>
      </w:r>
    </w:p>
    <w:p>
      <w:pPr>
        <w:pStyle w:val="ListBullet"/>
        <w:spacing w:after="60"/>
        <w:ind w:left="360" w:hanging="216"/>
      </w:pPr>
      <w:r>
        <w:rPr>
          <w:rFonts w:ascii="Arial" w:hAnsi="Arial"/>
          <w:color w:val="17151D"/>
          <w:sz w:val="19"/>
        </w:rPr>
        <w:t>Departments entered in Employee Records power department filters in Business Reports.</w:t>
      </w:r>
    </w:p>
    <w:p>
      <w:r>
        <w:br w:type="page"/>
      </w:r>
    </w:p>
    <w:p>
      <w:pPr>
        <w:pStyle w:val="Heading1"/>
        <w:keepNext/>
      </w:pPr>
      <w:r>
        <w:rPr>
          <w:rFonts w:ascii="Arial" w:hAnsi="Arial"/>
          <w:b/>
          <w:color w:val="17151D"/>
        </w:rPr>
        <w:t>13. Compensation Records</w:t>
      </w:r>
    </w:p>
    <w:p>
      <w:pPr>
        <w:spacing w:after="120" w:line="269" w:lineRule="auto"/>
      </w:pPr>
      <w:r>
        <w:rPr>
          <w:rFonts w:ascii="Arial" w:hAnsi="Arial"/>
          <w:color w:val="17151D"/>
          <w:sz w:val="20"/>
        </w:rPr>
        <w:t>Compensation records are sensitive. They are provided for recordkeeping and payroll-preparation reference only. TriCord does not calculate legal wages, file taxes, process payroll, or verify compliance.</w:t>
      </w:r>
    </w:p>
    <w:tbl>
      <w:tblPr>
        <w:tblW w:type="auto" w:w="0"/>
        <w:jc w:val="center"/>
        <w:tblLayout w:type="autofit"/>
        <w:tblLook w:firstColumn="1" w:firstRow="1" w:lastColumn="0" w:lastRow="0" w:noHBand="0" w:noVBand="1" w:val="04A0"/>
      </w:tblPr>
      <w:tblGrid>
        <w:gridCol w:w="5083"/>
        <w:gridCol w:w="5083"/>
      </w:tblGrid>
      <w:tr>
        <w:tc>
          <w:tcPr>
            <w:tcW w:type="dxa" w:w="259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Field area</w:t>
            </w:r>
          </w:p>
        </w:tc>
        <w:tc>
          <w:tcPr>
            <w:tcW w:type="dxa" w:w="6624"/>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Recommended use</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Compensation amount</w:t>
            </w:r>
          </w:p>
        </w:tc>
        <w:tc>
          <w:tcPr>
            <w:tcW w:type="dxa" w:w="662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Store the agreed amount or rate your organization already determined.</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Payroll/tax note</w:t>
            </w:r>
          </w:p>
        </w:tc>
        <w:tc>
          <w:tcPr>
            <w:tcW w:type="dxa" w:w="662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Record internal notes after verifying with your payroll, tax, legal, or HR advisor.</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Payment destination</w:t>
            </w:r>
          </w:p>
        </w:tc>
        <w:tc>
          <w:tcPr>
            <w:tcW w:type="dxa" w:w="662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Store optional destination details only when your organization has a lawful reason and proper permission.</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Custom payroll items</w:t>
            </w:r>
          </w:p>
        </w:tc>
        <w:tc>
          <w:tcPr>
            <w:tcW w:type="dxa" w:w="662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Track country- or company-specific earnings, deductions, or preparation notes.</w:t>
            </w:r>
          </w:p>
        </w:tc>
      </w:tr>
    </w:tbl>
    <w:p/>
    <w:tbl>
      <w:tblPr>
        <w:tblW w:type="auto" w:w="0"/>
        <w:tblLook w:firstColumn="1" w:firstRow="1" w:lastColumn="0" w:lastRow="0" w:noHBand="0" w:noVBand="1" w:val="04A0"/>
      </w:tblPr>
      <w:tblGrid>
        <w:gridCol w:w="10166"/>
      </w:tblGrid>
      <w:tr>
        <w:tc>
          <w:tcPr>
            <w:tcW w:type="dxa" w:w="10166"/>
            <w:shd w:fill="FFF3E5"/>
            <w:tcBorders>
              <w:top w:val="single" w:sz="8" w:space="0" w:color="F97316"/>
              <w:left w:val="single" w:sz="8" w:space="0" w:color="F97316"/>
              <w:bottom w:val="single" w:sz="8" w:space="0" w:color="F97316"/>
              <w:right w:val="single" w:sz="8" w:space="0" w:color="F97316"/>
            </w:tcBorders>
          </w:tcPr>
          <w:p>
            <w:r/>
            <w:r>
              <w:rPr>
                <w:rFonts w:ascii="Arial" w:hAnsi="Arial"/>
                <w:b/>
                <w:color w:val="17151D"/>
                <w:sz w:val="20"/>
              </w:rPr>
              <w:t>Sensitive data warning</w:t>
            </w:r>
          </w:p>
          <w:p>
            <w:pPr>
              <w:spacing w:before="80" w:after="40"/>
            </w:pPr>
            <w:r>
              <w:rPr>
                <w:rFonts w:ascii="Arial" w:hAnsi="Arial"/>
                <w:color w:val="5F5668"/>
                <w:sz w:val="19"/>
              </w:rPr>
              <w:t>Only collect compensation, tax, bank, or government ID information when your organization has a valid business need and proper safeguards. Limit access to Owners and specifically permitted Admins.</w:t>
            </w:r>
          </w:p>
        </w:tc>
      </w:tr>
    </w:tbl>
    <w:p/>
    <w:p>
      <w:pPr>
        <w:pStyle w:val="Heading1"/>
        <w:keepNext/>
      </w:pPr>
      <w:r>
        <w:rPr>
          <w:rFonts w:ascii="Arial" w:hAnsi="Arial"/>
          <w:b/>
          <w:color w:val="17151D"/>
        </w:rPr>
        <w:t>14. Admin, Roles, and Permissions</w:t>
      </w:r>
    </w:p>
    <w:p>
      <w:pPr>
        <w:spacing w:after="120" w:line="269" w:lineRule="auto"/>
      </w:pPr>
      <w:r>
        <w:rPr>
          <w:rFonts w:ascii="Arial" w:hAnsi="Arial"/>
          <w:color w:val="17151D"/>
          <w:sz w:val="20"/>
        </w:rPr>
        <w:t>The Admin page controls Hub access. Owners should review roles carefully before granting access to workforce or billing-sensitive areas.</w:t>
      </w:r>
    </w:p>
    <w:p>
      <w:pPr>
        <w:pStyle w:val="ListBullet"/>
        <w:spacing w:after="60"/>
        <w:ind w:left="360" w:hanging="216"/>
      </w:pPr>
      <w:r>
        <w:rPr>
          <w:rFonts w:ascii="Arial" w:hAnsi="Arial"/>
          <w:color w:val="17151D"/>
          <w:sz w:val="19"/>
        </w:rPr>
        <w:t>Invite Admins, Members, or Guests using their Hub email address.</w:t>
      </w:r>
    </w:p>
    <w:p>
      <w:pPr>
        <w:pStyle w:val="ListBullet"/>
        <w:spacing w:after="60"/>
        <w:ind w:left="360" w:hanging="216"/>
      </w:pPr>
      <w:r>
        <w:rPr>
          <w:rFonts w:ascii="Arial" w:hAnsi="Arial"/>
          <w:color w:val="17151D"/>
          <w:sz w:val="19"/>
        </w:rPr>
        <w:t>Admins should receive only the capabilities they actually need.</w:t>
      </w:r>
    </w:p>
    <w:p>
      <w:pPr>
        <w:pStyle w:val="ListBullet"/>
        <w:spacing w:after="60"/>
        <w:ind w:left="360" w:hanging="216"/>
      </w:pPr>
      <w:r>
        <w:rPr>
          <w:rFonts w:ascii="Arial" w:hAnsi="Arial"/>
          <w:color w:val="17151D"/>
          <w:sz w:val="19"/>
        </w:rPr>
        <w:t>Guests should be limited to selected collaboration spaces.</w:t>
      </w:r>
    </w:p>
    <w:p>
      <w:pPr>
        <w:pStyle w:val="ListBullet"/>
        <w:spacing w:after="60"/>
        <w:ind w:left="360" w:hanging="216"/>
      </w:pPr>
      <w:r>
        <w:rPr>
          <w:rFonts w:ascii="Arial" w:hAnsi="Arial"/>
          <w:color w:val="17151D"/>
          <w:sz w:val="19"/>
        </w:rPr>
        <w:t>Review permissions when a user changes role or leaves the organization.</w:t>
      </w:r>
    </w:p>
    <w:p>
      <w:r>
        <w:br w:type="page"/>
      </w:r>
    </w:p>
    <w:p>
      <w:pPr>
        <w:pStyle w:val="Heading1"/>
        <w:keepNext/>
      </w:pPr>
      <w:r>
        <w:rPr>
          <w:rFonts w:ascii="Arial" w:hAnsi="Arial"/>
          <w:b/>
          <w:color w:val="17151D"/>
        </w:rPr>
        <w:t>15. Hub Settings</w:t>
      </w:r>
    </w:p>
    <w:p>
      <w:pPr>
        <w:spacing w:after="120" w:line="269" w:lineRule="auto"/>
      </w:pPr>
      <w:r>
        <w:rPr>
          <w:rFonts w:ascii="Arial" w:hAnsi="Arial"/>
          <w:color w:val="17151D"/>
          <w:sz w:val="20"/>
        </w:rPr>
        <w:t>Hub Settings control Hub-level preferences such as enabled business modules. Settings affect the current Hub only, not every Hub a person belongs to.</w:t>
      </w:r>
    </w:p>
    <w:tbl>
      <w:tblPr>
        <w:tblW w:type="auto" w:w="0"/>
        <w:jc w:val="center"/>
        <w:tblLayout w:type="autofit"/>
        <w:tblLook w:firstColumn="1" w:firstRow="1" w:lastColumn="0" w:lastRow="0" w:noHBand="0" w:noVBand="1" w:val="04A0"/>
      </w:tblPr>
      <w:tblGrid>
        <w:gridCol w:w="5083"/>
        <w:gridCol w:w="5083"/>
      </w:tblGrid>
      <w:tr>
        <w:tc>
          <w:tcPr>
            <w:tcW w:type="dxa" w:w="2304"/>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Setting area</w:t>
            </w:r>
          </w:p>
        </w:tc>
        <w:tc>
          <w:tcPr>
            <w:tcW w:type="dxa" w:w="691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Owner responsibility</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Business modules</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Enable only modules your Hub is ready to use.</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Attendance policy</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Notify affected users when policy requirements are enabled.</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Rooms</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Manage room organization and email forwarding where available.</w:t>
            </w:r>
          </w:p>
        </w:tc>
      </w:tr>
      <w:tr>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Plan</w:t>
            </w:r>
          </w:p>
        </w:tc>
        <w:tc>
          <w:tcPr>
            <w:tcW w:type="dxa" w:w="691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Review Free, Plus, and Pro limits before inviting more users or enabling premium features.</w:t>
            </w:r>
          </w:p>
        </w:tc>
      </w:tr>
    </w:tbl>
    <w:p/>
    <w:p>
      <w:pPr>
        <w:pStyle w:val="Heading1"/>
        <w:keepNext/>
      </w:pPr>
      <w:r>
        <w:rPr>
          <w:rFonts w:ascii="Arial" w:hAnsi="Arial"/>
          <w:b/>
          <w:color w:val="17151D"/>
        </w:rPr>
        <w:t>16. Plans</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92"/>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Capability</w:t>
            </w:r>
          </w:p>
        </w:tc>
        <w:tc>
          <w:tcPr>
            <w:tcW w:type="dxa" w:w="216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Free</w:t>
            </w:r>
          </w:p>
        </w:tc>
        <w:tc>
          <w:tcPr>
            <w:tcW w:type="dxa" w:w="216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Plus</w:t>
            </w:r>
          </w:p>
        </w:tc>
        <w:tc>
          <w:tcPr>
            <w:tcW w:type="dxa" w:w="2304"/>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Pro</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Owned Hubs</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5</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Members per Hub</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Up to 10</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Up to 100</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 fair use</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Guests per Hub</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5</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50</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 fair use</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Rooms</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10</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Message history</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90 days searchable</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Unlimited plus custom retention</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Hub storage</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 GB</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100 GB</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1 TB</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Business modules</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Not included</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Included</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Advanced controls</w:t>
            </w:r>
          </w:p>
        </w:tc>
      </w:tr>
      <w:tr>
        <w:tc>
          <w:tcPr>
            <w:tcW w:type="dxa" w:w="2592"/>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Support</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Help center</w:t>
            </w:r>
          </w:p>
        </w:tc>
        <w:tc>
          <w:tcPr>
            <w:tcW w:type="dxa" w:w="21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Priority email</w:t>
            </w:r>
          </w:p>
        </w:tc>
        <w:tc>
          <w:tcPr>
            <w:tcW w:type="dxa" w:w="2304"/>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Priority support</w:t>
            </w:r>
          </w:p>
        </w:tc>
      </w:tr>
    </w:tbl>
    <w:p/>
    <w:p>
      <w:r>
        <w:br w:type="page"/>
      </w:r>
    </w:p>
    <w:p>
      <w:pPr>
        <w:pStyle w:val="Heading1"/>
        <w:keepNext/>
      </w:pPr>
      <w:r>
        <w:rPr>
          <w:rFonts w:ascii="Arial" w:hAnsi="Arial"/>
          <w:b/>
          <w:color w:val="17151D"/>
        </w:rPr>
        <w:t>17. Security, Privacy, and Responsible Use</w:t>
      </w:r>
    </w:p>
    <w:p>
      <w:pPr>
        <w:spacing w:after="120" w:line="269" w:lineRule="auto"/>
      </w:pPr>
      <w:r>
        <w:rPr>
          <w:rFonts w:ascii="Arial" w:hAnsi="Arial"/>
          <w:color w:val="17151D"/>
          <w:sz w:val="20"/>
        </w:rPr>
        <w:t>TriCord is designed to help organizations keep work records organized, but customers remain responsible for their own compliance, internal policies, and lawful use of the platform.</w:t>
      </w:r>
    </w:p>
    <w:p>
      <w:pPr>
        <w:pStyle w:val="ListBullet"/>
        <w:spacing w:after="60"/>
        <w:ind w:left="360" w:hanging="216"/>
      </w:pPr>
      <w:r>
        <w:rPr>
          <w:rFonts w:ascii="Arial" w:hAnsi="Arial"/>
          <w:color w:val="17151D"/>
          <w:sz w:val="19"/>
        </w:rPr>
        <w:t>Use strong passwords and protect access to email accounts used for sign-in.</w:t>
      </w:r>
    </w:p>
    <w:p>
      <w:pPr>
        <w:pStyle w:val="ListBullet"/>
        <w:spacing w:after="60"/>
        <w:ind w:left="360" w:hanging="216"/>
      </w:pPr>
      <w:r>
        <w:rPr>
          <w:rFonts w:ascii="Arial" w:hAnsi="Arial"/>
          <w:color w:val="17151D"/>
          <w:sz w:val="19"/>
        </w:rPr>
        <w:t>Do not upload highly sensitive information unless your organization has reviewed the risk and permission model.</w:t>
      </w:r>
    </w:p>
    <w:p>
      <w:pPr>
        <w:pStyle w:val="ListBullet"/>
        <w:spacing w:after="60"/>
        <w:ind w:left="360" w:hanging="216"/>
      </w:pPr>
      <w:r>
        <w:rPr>
          <w:rFonts w:ascii="Arial" w:hAnsi="Arial"/>
          <w:color w:val="17151D"/>
          <w:sz w:val="19"/>
        </w:rPr>
        <w:t>Restrict payroll, compensation, attendance, and employee records to people with a genuine need to know.</w:t>
      </w:r>
    </w:p>
    <w:p>
      <w:pPr>
        <w:pStyle w:val="ListBullet"/>
        <w:spacing w:after="60"/>
        <w:ind w:left="360" w:hanging="216"/>
      </w:pPr>
      <w:r>
        <w:rPr>
          <w:rFonts w:ascii="Arial" w:hAnsi="Arial"/>
          <w:color w:val="17151D"/>
          <w:sz w:val="19"/>
        </w:rPr>
        <w:t>Review privacy, security, acceptable use, and retention policies before public rollout.</w:t>
      </w:r>
    </w:p>
    <w:p>
      <w:pPr>
        <w:pStyle w:val="Heading1"/>
        <w:keepNext/>
      </w:pPr>
      <w:r>
        <w:rPr>
          <w:rFonts w:ascii="Arial" w:hAnsi="Arial"/>
          <w:b/>
          <w:color w:val="17151D"/>
        </w:rPr>
        <w:t>18. Best Practices for SMEs and Startups</w:t>
      </w:r>
    </w:p>
    <w:p>
      <w:pPr>
        <w:pStyle w:val="ListBullet"/>
        <w:spacing w:after="60"/>
        <w:ind w:left="360" w:hanging="216"/>
      </w:pPr>
      <w:r>
        <w:rPr>
          <w:rFonts w:ascii="Arial" w:hAnsi="Arial"/>
          <w:color w:val="17151D"/>
          <w:sz w:val="19"/>
        </w:rPr>
        <w:t>Start with a small number of Rooms and expand only when the team needs more structure.</w:t>
      </w:r>
    </w:p>
    <w:p>
      <w:pPr>
        <w:pStyle w:val="ListBullet"/>
        <w:spacing w:after="60"/>
        <w:ind w:left="360" w:hanging="216"/>
      </w:pPr>
      <w:r>
        <w:rPr>
          <w:rFonts w:ascii="Arial" w:hAnsi="Arial"/>
          <w:color w:val="17151D"/>
          <w:sz w:val="19"/>
        </w:rPr>
        <w:t>Use one source of truth for each process: a Room for discussion, Tasks for follow-up, and Knowledge for reusable instructions.</w:t>
      </w:r>
    </w:p>
    <w:p>
      <w:pPr>
        <w:pStyle w:val="ListBullet"/>
        <w:spacing w:after="60"/>
        <w:ind w:left="360" w:hanging="216"/>
      </w:pPr>
      <w:r>
        <w:rPr>
          <w:rFonts w:ascii="Arial" w:hAnsi="Arial"/>
          <w:color w:val="17151D"/>
          <w:sz w:val="19"/>
        </w:rPr>
        <w:t>Keep business modules optional until you have a clear policy for who owns the data and who can access it.</w:t>
      </w:r>
    </w:p>
    <w:p>
      <w:pPr>
        <w:pStyle w:val="ListBullet"/>
        <w:spacing w:after="60"/>
        <w:ind w:left="360" w:hanging="216"/>
      </w:pPr>
      <w:r>
        <w:rPr>
          <w:rFonts w:ascii="Arial" w:hAnsi="Arial"/>
          <w:color w:val="17151D"/>
          <w:sz w:val="19"/>
        </w:rPr>
        <w:t>Train Owners and Admins before inviting the full team.</w:t>
      </w:r>
    </w:p>
    <w:p>
      <w:pPr>
        <w:pStyle w:val="Heading1"/>
        <w:keepNext/>
      </w:pPr>
      <w:r>
        <w:rPr>
          <w:rFonts w:ascii="Arial" w:hAnsi="Arial"/>
          <w:b/>
          <w:color w:val="17151D"/>
        </w:rPr>
        <w:t>19. FAQs</w:t>
      </w:r>
    </w:p>
    <w:tbl>
      <w:tblPr>
        <w:tblW w:type="auto" w:w="0"/>
        <w:jc w:val="center"/>
        <w:tblLayout w:type="autofit"/>
        <w:tblLook w:firstColumn="1" w:firstRow="1" w:lastColumn="0" w:lastRow="0" w:noHBand="0" w:noVBand="1" w:val="04A0"/>
      </w:tblPr>
      <w:tblGrid>
        <w:gridCol w:w="5083"/>
        <w:gridCol w:w="5083"/>
      </w:tblGrid>
      <w:tr>
        <w:tc>
          <w:tcPr>
            <w:tcW w:type="dxa" w:w="3456"/>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Question</w:t>
            </w:r>
          </w:p>
        </w:tc>
        <w:tc>
          <w:tcPr>
            <w:tcW w:type="dxa" w:w="5760"/>
            <w:vAlign w:val="center"/>
            <w:tcBorders>
              <w:top w:val="single" w:sz="6" w:space="0" w:color="D9D2C7"/>
              <w:left w:val="single" w:sz="6" w:space="0" w:color="D9D2C7"/>
              <w:bottom w:val="single" w:sz="6" w:space="0" w:color="D9D2C7"/>
              <w:right w:val="single" w:sz="6" w:space="0" w:color="D9D2C7"/>
            </w:tcBorders>
            <w:shd w:fill="FFF3E5"/>
          </w:tcPr>
          <w:p>
            <w:pPr>
              <w:spacing w:after="40"/>
            </w:pPr>
            <w:r>
              <w:rPr>
                <w:rFonts w:ascii="Arial" w:hAnsi="Arial"/>
                <w:b/>
                <w:color w:val="17151D"/>
                <w:sz w:val="18"/>
              </w:rPr>
            </w:r>
            <w:r>
              <w:rPr>
                <w:rFonts w:ascii="Arial" w:hAnsi="Arial"/>
                <w:b/>
                <w:color w:val="17151D"/>
                <w:sz w:val="18"/>
              </w:rPr>
              <w:t>Short answer</w:t>
            </w:r>
          </w:p>
        </w:tc>
      </w:tr>
      <w:tr>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Can one email belong to multiple Hubs?</w:t>
            </w:r>
          </w:p>
        </w:tc>
        <w:tc>
          <w:tcPr>
            <w:tcW w:type="dxa" w:w="57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Yes. Roles are assigned per Hub, so a person can be a Member in one Hub and an Owner in another.</w:t>
            </w:r>
          </w:p>
        </w:tc>
      </w:tr>
      <w:tr>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Does TriCord process payroll?</w:t>
            </w:r>
          </w:p>
        </w:tc>
        <w:tc>
          <w:tcPr>
            <w:tcW w:type="dxa" w:w="57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No. Payroll Preparation is a recordkeeping and draft-summary tool only.</w:t>
            </w:r>
          </w:p>
        </w:tc>
      </w:tr>
      <w:tr>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Can users edit their own employee records?</w:t>
            </w:r>
          </w:p>
        </w:tc>
        <w:tc>
          <w:tcPr>
            <w:tcW w:type="dxa" w:w="57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Members can view allowed records and request changes when direct editing is not permitted.</w:t>
            </w:r>
          </w:p>
        </w:tc>
      </w:tr>
      <w:tr>
        <w:tc>
          <w:tcPr>
            <w:tcW w:type="dxa" w:w="3456"/>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Are email features included on Free?</w:t>
            </w:r>
          </w:p>
        </w:tc>
        <w:tc>
          <w:tcPr>
            <w:tcW w:type="dxa" w:w="5760"/>
            <w:vAlign w:val="center"/>
            <w:tcBorders>
              <w:top w:val="single" w:sz="6" w:space="0" w:color="D9D2C7"/>
              <w:left w:val="single" w:sz="6" w:space="0" w:color="D9D2C7"/>
              <w:bottom w:val="single" w:sz="6" w:space="0" w:color="D9D2C7"/>
              <w:right w:val="single" w:sz="6" w:space="0" w:color="D9D2C7"/>
            </w:tcBorders>
          </w:tcPr>
          <w:p>
            <w:pPr>
              <w:spacing w:after="40"/>
            </w:pPr>
            <w:r>
              <w:rPr>
                <w:rFonts w:ascii="Arial" w:hAnsi="Arial"/>
                <w:sz w:val="18"/>
              </w:rPr>
            </w:r>
            <w:r>
              <w:rPr>
                <w:rFonts w:ascii="Arial" w:hAnsi="Arial"/>
                <w:b w:val="0"/>
                <w:color w:val="17151D"/>
                <w:sz w:val="18"/>
              </w:rPr>
              <w:t>No. Incoming and outgoing email features are Plus and Pro capabilities.</w:t>
            </w:r>
          </w:p>
        </w:tc>
      </w:tr>
    </w:tbl>
    <w:p/>
    <w:p>
      <w:pPr>
        <w:pStyle w:val="Heading1"/>
        <w:keepNext/>
      </w:pPr>
      <w:r>
        <w:rPr>
          <w:rFonts w:ascii="Arial" w:hAnsi="Arial"/>
          <w:b/>
          <w:color w:val="17151D"/>
        </w:rPr>
        <w:t>20. Getting Help</w:t>
      </w:r>
    </w:p>
    <w:p>
      <w:pPr>
        <w:spacing w:after="120" w:line="269" w:lineRule="auto"/>
      </w:pPr>
      <w:r>
        <w:rPr>
          <w:rFonts w:ascii="Arial" w:hAnsi="Arial"/>
          <w:color w:val="17151D"/>
          <w:sz w:val="20"/>
        </w:rPr>
        <w:t>Use the in-app Help center for feature explanations and the User Guide link. For account or product issues, use Report a Problem from the Help menu and include the Hub name, affected page, and steps to reproduce the issue.</w:t>
      </w:r>
    </w:p>
    <w:sectPr w:rsidR="00FC693F" w:rsidRPr="0006063C" w:rsidSect="00034616">
      <w:footerReference w:type="default" r:id="rId9"/>
      <w:pgSz w:w="12240" w:h="15840"/>
      <w:pgMar w:top="1008"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668"/>
        <w:sz w:val="16"/>
      </w:rPr>
      <w:t>TriCord User Guide | Collaboration and business productivity tools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51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15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5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