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0"/>
          <w:szCs w:val="40"/>
        </w:rPr>
        <w:t xml:space="preserve">Microbiome-Dependent Transcriptomic Remodeling</w:t>
      </w:r>
    </w:p>
    <w:p>
      <w:pPr>
        <w:spacing w:after="80"/>
      </w:pPr>
      <w:r>
        <w:rPr>
          <w:rFonts w:ascii="Arial" w:cs="Arial" w:eastAsia="Arial" w:hAnsi="Arial"/>
          <w:b/>
          <w:bCs/>
          <w:color w:val="2E75B6"/>
          <w:sz w:val="36"/>
          <w:szCs w:val="36"/>
        </w:rPr>
        <w:t xml:space="preserve">Across Amygdala and Hypothalamic Cell Supertypes</w:t>
      </w:r>
    </w:p>
    <w:p>
      <w:pPr>
        <w:spacing w:after="40"/>
      </w:pPr>
      <w:r>
        <w:rPr>
          <w:rFonts w:ascii="Arial" w:cs="Arial" w:eastAsia="Arial" w:hAnsi="Arial"/>
          <w:color w:val="666666"/>
          <w:sz w:val="22"/>
          <w:szCs w:val="22"/>
        </w:rPr>
        <w:t xml:space="preserve">Comprehensive Analysis: WildR vs. SPF Mice | snRNA-seq | Allen Brain Atlas Supertypes</w:t>
      </w:r>
    </w:p>
    <w:p>
      <w:pPr>
        <w:pBdr>
          <w:bottom w:val="single" w:color="2E75B6" w:sz="6" w:space="8"/>
        </w:pBdr>
        <w:spacing w:after="400"/>
      </w:pPr>
      <w:r>
        <w:rPr>
          <w:rFonts w:ascii="Arial" w:cs="Arial" w:eastAsia="Arial" w:hAnsi="Arial"/>
          <w:color w:val="888888"/>
          <w:sz w:val="20"/>
          <w:szCs w:val="20"/>
        </w:rPr>
        <w:t xml:space="preserve">March 2026</w:t>
      </w:r>
    </w:p>
    <w:p>
      <w:pPr>
        <w:pStyle w:val="Heading1"/>
      </w:pPr>
      <w:r>
        <w:t xml:space="preserve">Executive Summary</w:t>
      </w:r>
    </w:p>
    <w:p>
      <w:pPr>
        <w:spacing w:after="160" w:line="300"/>
      </w:pPr>
      <w:r>
        <w:rPr>
          <w:rFonts w:ascii="Arial" w:cs="Arial" w:eastAsia="Arial" w:hAnsi="Arial"/>
          <w:sz w:val="22"/>
          <w:szCs w:val="22"/>
        </w:rPr>
        <w:t xml:space="preserve">This report presents a cell-type-resolved analysis of differential gene expression between WildR (naturalistic microbiome) and SPF (specific pathogen-free) mice across 92 Allen Brain Atlas cell supertypes in two limbic brain regions: the amygdala (AMY) and hypothalamus (HYP). The top 75 differentially expressed genes reveal a striking dissociation in which the microbiome sculpts gene expression programs along region-specific and cell-type-specific axes. Several convergent biological storylines emerge:</w:t>
      </w:r>
    </w:p>
    <w:p>
      <w:pPr>
        <w:spacing w:after="160" w:line="300"/>
      </w:pPr>
      <w:r>
        <w:rPr>
          <w:rFonts w:ascii="Arial" w:cs="Arial" w:eastAsia="Arial" w:hAnsi="Arial"/>
          <w:b/>
          <w:bCs/>
          <w:sz w:val="22"/>
          <w:szCs w:val="22"/>
        </w:rPr>
        <w:t xml:space="preserve">(1) Pan-hypothalamic translational hyperactivation in SPF mice</w:t>
      </w:r>
      <w:r>
        <w:rPr>
          <w:rFonts w:ascii="Arial" w:cs="Arial" w:eastAsia="Arial" w:hAnsi="Arial"/>
          <w:sz w:val="22"/>
          <w:szCs w:val="22"/>
        </w:rPr>
        <w:t xml:space="preserve">, anchored by Cmss1 and Lars2, implicating mitochondrial protein synthesis and mTORC1/AMPK metabolic sensing;</w:t>
      </w:r>
    </w:p>
    <w:p>
      <w:pPr>
        <w:spacing w:after="160" w:line="300"/>
      </w:pPr>
      <w:r>
        <w:rPr>
          <w:rFonts w:ascii="Arial" w:cs="Arial" w:eastAsia="Arial" w:hAnsi="Arial"/>
          <w:b/>
          <w:bCs/>
          <w:sz w:val="22"/>
          <w:szCs w:val="22"/>
        </w:rPr>
        <w:t xml:space="preserve">(2) Amygdalar circuit remodeling</w:t>
      </w:r>
      <w:r>
        <w:rPr>
          <w:rFonts w:ascii="Arial" w:cs="Arial" w:eastAsia="Arial" w:hAnsi="Arial"/>
          <w:sz w:val="22"/>
          <w:szCs w:val="22"/>
        </w:rPr>
        <w:t xml:space="preserve">, with differential expression of contactins, protocadherins, and axon guidance molecules suggesting microbiome-dependent synaptic architecture;</w:t>
      </w:r>
    </w:p>
    <w:p>
      <w:pPr>
        <w:spacing w:after="160" w:line="300"/>
      </w:pPr>
      <w:r>
        <w:rPr>
          <w:rFonts w:ascii="Arial" w:cs="Arial" w:eastAsia="Arial" w:hAnsi="Arial"/>
          <w:b/>
          <w:bCs/>
          <w:sz w:val="22"/>
          <w:szCs w:val="22"/>
        </w:rPr>
        <w:t xml:space="preserve">(3) Calcium signaling and excitability shifts</w:t>
      </w:r>
      <w:r>
        <w:rPr>
          <w:rFonts w:ascii="Arial" w:cs="Arial" w:eastAsia="Arial" w:hAnsi="Arial"/>
          <w:sz w:val="22"/>
          <w:szCs w:val="22"/>
        </w:rPr>
        <w:t xml:space="preserve"> in amygdalar supertypes, with opposing regulation of calmodulin, ryanodine receptors, and CaM kinases;</w:t>
      </w:r>
    </w:p>
    <w:p>
      <w:pPr>
        <w:spacing w:after="160" w:line="300"/>
      </w:pPr>
      <w:r>
        <w:rPr>
          <w:rFonts w:ascii="Arial" w:cs="Arial" w:eastAsia="Arial" w:hAnsi="Arial"/>
          <w:b/>
          <w:bCs/>
          <w:sz w:val="22"/>
          <w:szCs w:val="22"/>
        </w:rPr>
        <w:t xml:space="preserve">(4) Epigenetic and transcriptional reprogramming</w:t>
      </w:r>
      <w:r>
        <w:rPr>
          <w:rFonts w:ascii="Arial" w:cs="Arial" w:eastAsia="Arial" w:hAnsi="Arial"/>
          <w:sz w:val="22"/>
          <w:szCs w:val="22"/>
        </w:rPr>
        <w:t xml:space="preserve">, involving histone deacetylases, zinc finger transcription factors, and splicing regulators; and</w:t>
      </w:r>
    </w:p>
    <w:p>
      <w:pPr>
        <w:spacing w:after="160" w:line="300"/>
      </w:pPr>
      <w:r>
        <w:rPr>
          <w:rFonts w:ascii="Arial" w:cs="Arial" w:eastAsia="Arial" w:hAnsi="Arial"/>
          <w:b/>
          <w:bCs/>
          <w:sz w:val="22"/>
          <w:szCs w:val="22"/>
        </w:rPr>
        <w:t xml:space="preserve">(5) Hypothalamic homeostatic circuit modulation</w:t>
      </w:r>
      <w:r>
        <w:rPr>
          <w:rFonts w:ascii="Arial" w:cs="Arial" w:eastAsia="Arial" w:hAnsi="Arial"/>
          <w:sz w:val="22"/>
          <w:szCs w:val="22"/>
        </w:rPr>
        <w:t xml:space="preserve">, with Hap1 upregulated across 17 hypothalamic supertypes in SPF mice, implicating vesicular trafficking and feeding circuit regulation.</w:t>
      </w:r>
    </w:p>
    <w:p>
      <w:r>
        <w:br w:type="page"/>
      </w:r>
    </w:p>
    <w:p>
      <w:pPr>
        <w:pStyle w:val="Heading1"/>
      </w:pPr>
      <w:r>
        <w:t xml:space="preserve">1. Data Architecture and Analytical Framework</w:t>
      </w:r>
    </w:p>
    <w:p>
      <w:pPr>
        <w:spacing w:after="160" w:line="300"/>
      </w:pPr>
      <w:r>
        <w:rPr>
          <w:rFonts w:ascii="Arial" w:cs="Arial" w:eastAsia="Arial" w:hAnsi="Arial"/>
          <w:sz w:val="22"/>
          <w:szCs w:val="22"/>
        </w:rPr>
        <w:t xml:space="preserve">The dataset comprises differential expression results from snRNA-seq comparing WildR and SPF mice, analyzed using the MAST statistical framework across cell supertypes annotated via the Allen Brain Atlas MapMyCells pipeline. The ranked hit table reports the minimum adjusted p-value (min_p) across all supertypes for each gene, the direction of effect (SPF-UP or WildR-UP), the tissue of the most significant hit (AMY or HYP), and the number of supertypes reaching significance (n_signif).</w:t>
      </w:r>
    </w:p>
    <w:p>
      <w:pPr>
        <w:pStyle w:val="Heading2"/>
      </w:pPr>
      <w:r>
        <w:t xml:space="preserve">Key Structural Observations</w:t>
      </w:r>
    </w:p>
    <w:p>
      <w:pPr>
        <w:spacing w:after="160" w:line="300"/>
      </w:pPr>
      <w:r>
        <w:rPr>
          <w:rFonts w:ascii="Arial" w:cs="Arial" w:eastAsia="Arial" w:hAnsi="Arial"/>
          <w:sz w:val="22"/>
          <w:szCs w:val="22"/>
        </w:rPr>
        <w:t xml:space="preserve">The dot plot reveals a critical structural feature: </w:t>
      </w:r>
      <w:r>
        <w:rPr>
          <w:rFonts w:ascii="Arial" w:cs="Arial" w:eastAsia="Arial" w:hAnsi="Arial"/>
          <w:b/>
          <w:bCs/>
          <w:sz w:val="22"/>
          <w:szCs w:val="22"/>
        </w:rPr>
        <w:t xml:space="preserve">Cmss1 and Lars2 produce dense rows of green dots spanning nearly every hypothalamic supertype</w:t>
      </w:r>
      <w:r>
        <w:rPr>
          <w:rFonts w:ascii="Arial" w:cs="Arial" w:eastAsia="Arial" w:hAnsi="Arial"/>
          <w:sz w:val="22"/>
          <w:szCs w:val="22"/>
        </w:rPr>
        <w:t xml:space="preserve">, indicating a pan-hypothalamic transcriptional shift. By contrast, amygdalar hits tend to be supertype-restricted, with specific genes affecting discrete neuronal populations. This region-level dissociation—pan-hypothalamic vs. supertype-specific amygdalar—implies fundamentally different mechanisms of microbiome influence on these two brain regions.</w:t>
      </w:r>
    </w:p>
    <w:p>
      <w:pPr>
        <w:pStyle w:val="Heading1"/>
      </w:pPr>
      <w:r>
        <w:t xml:space="preserve">2. Pan-Hypothalamic Translational Hyperactivation</w:t>
      </w:r>
    </w:p>
    <w:p>
      <w:pPr>
        <w:pStyle w:val="Heading3"/>
      </w:pPr>
      <w:r>
        <w:t xml:space="preserve">2.1 The Cmss1–Lars2 Axis</w:t>
      </w:r>
    </w:p>
    <w:p>
      <w:pPr>
        <w:spacing w:after="160" w:line="300"/>
      </w:pPr>
      <w:r>
        <w:rPr>
          <w:rFonts w:ascii="Arial" w:cs="Arial" w:eastAsia="Arial" w:hAnsi="Arial"/>
          <w:sz w:val="22"/>
          <w:szCs w:val="22"/>
        </w:rPr>
        <w:t xml:space="preserve">The single most striking result is the dominance of </w:t>
      </w:r>
      <w:r>
        <w:rPr>
          <w:rFonts w:ascii="Arial" w:cs="Arial" w:eastAsia="Arial" w:hAnsi="Arial"/>
          <w:b/>
          <w:bCs/>
          <w:sz w:val="22"/>
          <w:szCs w:val="22"/>
        </w:rPr>
        <w:t xml:space="preserve">Cmss1</w:t>
      </w:r>
      <w:r>
        <w:rPr>
          <w:rFonts w:ascii="Arial" w:cs="Arial" w:eastAsia="Arial" w:hAnsi="Arial"/>
          <w:sz w:val="22"/>
          <w:szCs w:val="22"/>
        </w:rPr>
        <w:t xml:space="preserve"> (p = 5.43×10</w:t>
      </w:r>
      <w:r>
        <w:rPr>
          <w:rFonts w:ascii="Arial" w:cs="Arial" w:eastAsia="Arial" w:hAnsi="Arial"/>
          <w:sz w:val="16"/>
          <w:szCs w:val="16"/>
          <w:vertAlign w:val="superscript"/>
        </w:rPr>
        <w:t xml:space="preserve">-73</w:t>
      </w:r>
      <w:r>
        <w:rPr>
          <w:rFonts w:ascii="Arial" w:cs="Arial" w:eastAsia="Arial" w:hAnsi="Arial"/>
          <w:sz w:val="22"/>
          <w:szCs w:val="22"/>
        </w:rPr>
        <w:t xml:space="preserve">, 123 significant supertypes) and </w:t>
      </w:r>
      <w:r>
        <w:rPr>
          <w:rFonts w:ascii="Arial" w:cs="Arial" w:eastAsia="Arial" w:hAnsi="Arial"/>
          <w:b/>
          <w:bCs/>
          <w:sz w:val="22"/>
          <w:szCs w:val="22"/>
        </w:rPr>
        <w:t xml:space="preserve">Lars2</w:t>
      </w:r>
      <w:r>
        <w:rPr>
          <w:rFonts w:ascii="Arial" w:cs="Arial" w:eastAsia="Arial" w:hAnsi="Arial"/>
          <w:sz w:val="22"/>
          <w:szCs w:val="22"/>
        </w:rPr>
        <w:t xml:space="preserve"> (p = 1.15×10</w:t>
      </w:r>
      <w:r>
        <w:rPr>
          <w:rFonts w:ascii="Arial" w:cs="Arial" w:eastAsia="Arial" w:hAnsi="Arial"/>
          <w:sz w:val="16"/>
          <w:szCs w:val="16"/>
          <w:vertAlign w:val="superscript"/>
        </w:rPr>
        <w:t xml:space="preserve">-25</w:t>
      </w:r>
      <w:r>
        <w:rPr>
          <w:rFonts w:ascii="Arial" w:cs="Arial" w:eastAsia="Arial" w:hAnsi="Arial"/>
          <w:sz w:val="22"/>
          <w:szCs w:val="22"/>
        </w:rPr>
        <w:t xml:space="preserve">, 53 significant supertypes), both SPF-UP in the hypothalamus. Cmss1 encodes a mitochondrial tRNA 2-thiouridylase essential for wobble-position modification of mitochondrial tRNAs, directly regulating the fidelity and efficiency of mitochondrial translation. Lars2 encodes mitochondrial leucyl-tRNA synthetase, which charges tRNA</w:t>
      </w:r>
      <w:r>
        <w:rPr>
          <w:rFonts w:ascii="Arial" w:cs="Arial" w:eastAsia="Arial" w:hAnsi="Arial"/>
          <w:sz w:val="16"/>
          <w:szCs w:val="16"/>
          <w:vertAlign w:val="superscript"/>
        </w:rPr>
        <w:t xml:space="preserve">Leu</w:t>
      </w:r>
      <w:r>
        <w:rPr>
          <w:rFonts w:ascii="Arial" w:cs="Arial" w:eastAsia="Arial" w:hAnsi="Arial"/>
          <w:sz w:val="22"/>
          <w:szCs w:val="22"/>
        </w:rPr>
        <w:t xml:space="preserve"> for mitochondrial protein synthesis.</w:t>
      </w:r>
    </w:p>
    <w:p>
      <w:pPr>
        <w:spacing w:after="160" w:line="300"/>
      </w:pPr>
      <w:r>
        <w:rPr>
          <w:rFonts w:ascii="Arial" w:cs="Arial" w:eastAsia="Arial" w:hAnsi="Arial"/>
          <w:sz w:val="22"/>
          <w:szCs w:val="22"/>
        </w:rPr>
        <w:t xml:space="preserve">Together, these two genes define a </w:t>
      </w:r>
      <w:r>
        <w:rPr>
          <w:rFonts w:ascii="Arial" w:cs="Arial" w:eastAsia="Arial" w:hAnsi="Arial"/>
          <w:b/>
          <w:bCs/>
          <w:sz w:val="22"/>
          <w:szCs w:val="22"/>
        </w:rPr>
        <w:t xml:space="preserve">mitochondrial translational hyperactivation program</w:t>
      </w:r>
      <w:r>
        <w:rPr>
          <w:rFonts w:ascii="Arial" w:cs="Arial" w:eastAsia="Arial" w:hAnsi="Arial"/>
          <w:sz w:val="22"/>
          <w:szCs w:val="22"/>
        </w:rPr>
        <w:t xml:space="preserve"> in SPF hypothalamic neurons. The pan-hypothalamic breadth (123 supertypes for Cmss1) indicates this is not cell-type-specific but a fundamental metabolic shift in hypothalamic tissue that depends on microbiome status.</w:t>
      </w:r>
    </w:p>
    <w:p>
      <w:pPr>
        <w:pStyle w:val="Heading3"/>
      </w:pPr>
      <w:r>
        <w:t xml:space="preserve">2.2 Mechanistic Interpretation</w:t>
      </w:r>
    </w:p>
    <w:p>
      <w:pPr>
        <w:spacing w:after="160" w:line="300"/>
      </w:pPr>
      <w:r>
        <w:rPr>
          <w:rFonts w:ascii="Arial" w:cs="Arial" w:eastAsia="Arial" w:hAnsi="Arial"/>
          <w:sz w:val="22"/>
          <w:szCs w:val="22"/>
        </w:rPr>
        <w:t xml:space="preserve">The microbiome produces short-chain fatty acids (SCFAs), particularly butyrate, which serve as both energy substrates and epigenetic modulators. Butyrate is a potent HDAC inhibitor and modulates mTORC1 signaling through AMPK activation. In WildR mice, circulating SCFAs may tonically suppress hypothalamic mTORC1 activity, maintaining a basal translational set-point. In SPF mice lacking this microbial metabolite brake, mTORC1 becomes derepressed, driving compensatory upregulation of mitochondrial translational machinery.</w:t>
      </w:r>
    </w:p>
    <w:p>
      <w:pPr>
        <w:spacing w:after="160" w:line="300"/>
      </w:pPr>
      <w:r>
        <w:rPr>
          <w:rFonts w:ascii="Arial" w:cs="Arial" w:eastAsia="Arial" w:hAnsi="Arial"/>
          <w:sz w:val="22"/>
          <w:szCs w:val="22"/>
        </w:rPr>
        <w:t xml:space="preserve">This model predicts that SPF hypothalamic neurons exist in a state of elevated protein synthesis demand, potentially reflecting altered metabolic sensing, disrupted energy balance signaling, or compensatory responses to absent microbial metabolites. The breadth of the effect suggests SCFAs act systemically on hypothalamic tissue rather than through cell-type-specific receptor mechanisms.</w:t>
      </w:r>
    </w:p>
    <w:p>
      <w:pPr>
        <w:pStyle w:val="Heading3"/>
      </w:pPr>
      <w:r>
        <w:t xml:space="preserve">2.3 Functional Consequences</w:t>
      </w:r>
    </w:p>
    <w:p>
      <w:pPr>
        <w:spacing w:after="160" w:line="300"/>
      </w:pPr>
      <w:r>
        <w:rPr>
          <w:rFonts w:ascii="Arial" w:cs="Arial" w:eastAsia="Arial" w:hAnsi="Arial"/>
          <w:sz w:val="22"/>
          <w:szCs w:val="22"/>
        </w:rPr>
        <w:t xml:space="preserve">Hypothalamic neurons integrate peripheral energy signals (leptin, ghrelin, insulin, glucose) to coordinate feeding behavior, autonomic output, and neuroendocrine function. Translational capacity gates activity-dependent plasticity in these circuits. Enhanced mitochondrial translation in SPF mice may alter neuropeptide synthesis in arcuate (ARH) neurons, stress-responsive peptide production in paraventricular (PVH) neurons, or metabolic sensing in ventromedial hypothalamic (VMH) Nr5a1+ neurons—the exact population previously identified as a key target of microbiome influence.</w:t>
      </w:r>
    </w:p>
    <w:p>
      <w:r>
        <w:br w:type="page"/>
      </w:r>
    </w:p>
    <w:p>
      <w:pPr>
        <w:pStyle w:val="Heading1"/>
      </w:pPr>
      <w:r>
        <w:t xml:space="preserve">3. Amygdalar Circuit Architecture and Synaptic Remodeling</w:t>
      </w:r>
    </w:p>
    <w:p>
      <w:pPr>
        <w:pStyle w:val="Heading2"/>
      </w:pPr>
      <w:r>
        <w:t xml:space="preserve">3.1 Contactins and Cell Adhesion Molecules</w:t>
      </w:r>
    </w:p>
    <w:p>
      <w:pPr>
        <w:spacing w:after="160" w:line="300"/>
      </w:pPr>
      <w:r>
        <w:rPr>
          <w:rFonts w:ascii="Arial" w:cs="Arial" w:eastAsia="Arial" w:hAnsi="Arial"/>
          <w:sz w:val="22"/>
          <w:szCs w:val="22"/>
        </w:rPr>
        <w:t xml:space="preserve">A cluster of cell adhesion molecules dominates the amygdalar DEG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000"/>
        <w:gridCol w:w="4760"/>
        <w:gridCol w:w="1000"/>
      </w:tblGrid>
      <w:tr>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Gene</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Direction</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Tissue</w:t>
            </w:r>
          </w:p>
        </w:tc>
        <w:tc>
          <w:tcPr>
            <w:tcW w:type="dxa" w:w="4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Function</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n_sig</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Cntn6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WildR-UP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HYP</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Contactin-6; axon guidance, GABAergic synapse specificity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Cntn4</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SPF-UP</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AMY</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Contactin-4; axon fasciculation, olfactory/visual circuit wiring</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Pcdh7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WildR-UP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AMY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Protocadherin-7; dendritic self-avoidance, combinatorial identity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Cdh12</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WildR-UP</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AMY</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Cadherin-12; homophilic adhesion, synaptic specificity</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Ncam1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SPF-UP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AMY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NCAM1; synaptic plasticity, LTP, polysialic acid signaling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Negr1</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SPF-UP</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AMY</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Neuronal growth regulator 1; GWAS hit for depression and obesity</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Slit2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SPF-UP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AMY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Slit guidance ligand 2; axon repulsion via Robo receptors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Cttnbp2</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WildR-UP</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AMY</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Cortactin-binding protein 2; spine morphogenesis, ASD-associated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w:t>
            </w:r>
          </w:p>
        </w:tc>
      </w:tr>
    </w:tbl>
    <w:p>
      <w:pPr>
        <w:spacing w:after="160"/>
      </w:pPr>
    </w:p>
    <w:p>
      <w:pPr>
        <w:spacing w:after="160" w:line="300"/>
      </w:pPr>
      <w:r>
        <w:rPr>
          <w:rFonts w:ascii="Arial" w:cs="Arial" w:eastAsia="Arial" w:hAnsi="Arial"/>
          <w:b/>
          <w:bCs/>
          <w:sz w:val="22"/>
          <w:szCs w:val="22"/>
        </w:rPr>
        <w:t xml:space="preserve">Cttnbp2</w:t>
      </w:r>
      <w:r>
        <w:rPr>
          <w:rFonts w:ascii="Arial" w:cs="Arial" w:eastAsia="Arial" w:hAnsi="Arial"/>
          <w:sz w:val="22"/>
          <w:szCs w:val="22"/>
        </w:rPr>
        <w:t xml:space="preserve"> is particularly noteworthy: upregulated in WildR across </w:t>
      </w:r>
      <w:r>
        <w:rPr>
          <w:rFonts w:ascii="Arial" w:cs="Arial" w:eastAsia="Arial" w:hAnsi="Arial"/>
          <w:b/>
          <w:bCs/>
          <w:sz w:val="22"/>
          <w:szCs w:val="22"/>
        </w:rPr>
        <w:t xml:space="preserve">10 amygdalar supertypes</w:t>
      </w:r>
      <w:r>
        <w:rPr>
          <w:rFonts w:ascii="Arial" w:cs="Arial" w:eastAsia="Arial" w:hAnsi="Arial"/>
          <w:sz w:val="22"/>
          <w:szCs w:val="22"/>
        </w:rPr>
        <w:t xml:space="preserve">, it encodes a key regulator of dendritic spine morphogenesis through cortactin–actin interactions. Mutations in CTTNBP2 are associated with autism spectrum disorder in humans, directly linking microbiome-dependent spine remodeling to social behavior circuits.</w:t>
      </w:r>
    </w:p>
    <w:p>
      <w:pPr>
        <w:pStyle w:val="Heading2"/>
      </w:pPr>
      <w:r>
        <w:t xml:space="preserve">3.2 Behavioral Systems Interpretation</w:t>
      </w:r>
    </w:p>
    <w:p>
      <w:pPr>
        <w:spacing w:after="160" w:line="300"/>
      </w:pPr>
      <w:r>
        <w:rPr>
          <w:rFonts w:ascii="Arial" w:cs="Arial" w:eastAsia="Arial" w:hAnsi="Arial"/>
          <w:sz w:val="22"/>
          <w:szCs w:val="22"/>
        </w:rPr>
        <w:t xml:space="preserve">The amygdala is the central hub for threat detection, fear learning, and social valence assignment. The lateral amygdala (LA) gates fear conditioning; the basolateral complex (BLA) integrates contextual and emotional information; the central amygdala (CeA) generates behavioral fear responses; and the medial amygdala (MEA) processes pheromonal and social information.</w:t>
      </w:r>
    </w:p>
    <w:p>
      <w:pPr>
        <w:spacing w:after="160" w:line="300"/>
      </w:pPr>
      <w:r>
        <w:rPr>
          <w:rFonts w:ascii="Arial" w:cs="Arial" w:eastAsia="Arial" w:hAnsi="Arial"/>
          <w:sz w:val="22"/>
          <w:szCs w:val="22"/>
        </w:rPr>
        <w:t xml:space="preserve">Differential expression of synaptic adhesion molecules across these supertypes suggests the microbiome influences which synaptic connections form, stabilize, or are pruned. In WildR mice, upregulation of Cttnbp2 (spine morphogenesis), Pcdh7 (dendritic self-avoidance), and Cdh12 (homophilic adhesion) points toward an actively remodeling synaptic landscape shaped by microbial signals. In SPF mice, compensatory upregulation of Ncam1 and Cntn4 may represent alternative connectivity programs engaged in the absence of microbiome-derived guidance cues.</w:t>
      </w:r>
    </w:p>
    <w:p>
      <w:pPr>
        <w:spacing w:after="160" w:line="300"/>
      </w:pPr>
      <w:r>
        <w:rPr>
          <w:rFonts w:ascii="Arial" w:cs="Arial" w:eastAsia="Arial" w:hAnsi="Arial"/>
          <w:sz w:val="22"/>
          <w:szCs w:val="22"/>
        </w:rPr>
        <w:t xml:space="preserve">This aligns with established literature showing that germ-free and SPF mice exhibit altered anxiety-like behavior, exaggerated stress responses, and abnormal social behavior—phenotypes mapping precisely onto amygdalar circuit dysfunction.</w:t>
      </w:r>
    </w:p>
    <w:p>
      <w:r>
        <w:br w:type="page"/>
      </w:r>
    </w:p>
    <w:p>
      <w:pPr>
        <w:pStyle w:val="Heading1"/>
      </w:pPr>
      <w:r>
        <w:t xml:space="preserve">4. Calcium Signaling and Neuronal Excitability</w:t>
      </w:r>
    </w:p>
    <w:p>
      <w:pPr>
        <w:spacing w:after="160" w:line="300"/>
      </w:pPr>
      <w:r>
        <w:rPr>
          <w:rFonts w:ascii="Arial" w:cs="Arial" w:eastAsia="Arial" w:hAnsi="Arial"/>
          <w:sz w:val="22"/>
          <w:szCs w:val="22"/>
        </w:rPr>
        <w:t xml:space="preserve">Multiple calcium signaling components are differentially expressed in amygdalar supertypes, suggesting the microbiome tunes the excitability set-point of amygdalar neurons:</w:t>
      </w:r>
    </w:p>
    <w:p>
      <w:pPr>
        <w:spacing w:after="160" w:line="300"/>
      </w:pPr>
      <w:r>
        <w:rPr>
          <w:rFonts w:ascii="Arial" w:cs="Arial" w:eastAsia="Arial" w:hAnsi="Arial"/>
          <w:b/>
          <w:bCs/>
          <w:sz w:val="22"/>
          <w:szCs w:val="22"/>
        </w:rPr>
        <w:t xml:space="preserve">Calm1</w:t>
      </w:r>
      <w:r>
        <w:rPr>
          <w:rFonts w:ascii="Arial" w:cs="Arial" w:eastAsia="Arial" w:hAnsi="Arial"/>
          <w:sz w:val="22"/>
          <w:szCs w:val="22"/>
        </w:rPr>
        <w:t xml:space="preserve"> (WildR-UP, AMY, n_signif=3): Calmodulin is the master calcium sensor. Its upregulation in WildR amygdalar neurons suggests enhanced calcium-dependent signaling through CaMKII, calcineurin, and other downstream effectors, positioning WildR neurons for stronger calcium-dependent plasticity (LTP/LTD).</w:t>
      </w:r>
    </w:p>
    <w:p>
      <w:pPr>
        <w:spacing w:after="160" w:line="300"/>
      </w:pPr>
      <w:r>
        <w:rPr>
          <w:rFonts w:ascii="Arial" w:cs="Arial" w:eastAsia="Arial" w:hAnsi="Arial"/>
          <w:b/>
          <w:bCs/>
          <w:sz w:val="22"/>
          <w:szCs w:val="22"/>
        </w:rPr>
        <w:t xml:space="preserve">Ryr3</w:t>
      </w:r>
      <w:r>
        <w:rPr>
          <w:rFonts w:ascii="Arial" w:cs="Arial" w:eastAsia="Arial" w:hAnsi="Arial"/>
          <w:sz w:val="22"/>
          <w:szCs w:val="22"/>
        </w:rPr>
        <w:t xml:space="preserve"> (WildR-UP, AMY): Ryanodine receptor 3 mediates calcium-induced calcium release (CICR) from ER stores. Its upregulation amplifies intracellular calcium transients, particularly relevant for fear conditioning where CICR is required for LTP induction at thalamo-amygdalar synapses.</w:t>
      </w:r>
    </w:p>
    <w:p>
      <w:pPr>
        <w:spacing w:after="160" w:line="300"/>
      </w:pPr>
      <w:r>
        <w:rPr>
          <w:rFonts w:ascii="Arial" w:cs="Arial" w:eastAsia="Arial" w:hAnsi="Arial"/>
          <w:b/>
          <w:bCs/>
          <w:sz w:val="22"/>
          <w:szCs w:val="22"/>
        </w:rPr>
        <w:t xml:space="preserve">Trpm3</w:t>
      </w:r>
      <w:r>
        <w:rPr>
          <w:rFonts w:ascii="Arial" w:cs="Arial" w:eastAsia="Arial" w:hAnsi="Arial"/>
          <w:sz w:val="22"/>
          <w:szCs w:val="22"/>
        </w:rPr>
        <w:t xml:space="preserve"> (SPF-UP, AMY): A calcium-permeable cation channel activated by neurosteroids (pregnenolone sulfate). Its SPF-specific upregulation raises the intriguing possibility that SPF amygdalar neurons compensate for reduced intracellular calcium dynamics by increasing calcium influx through non-synaptic channels—and that neurosteroid sensitivity is microbiome-dependent.</w:t>
      </w:r>
    </w:p>
    <w:p>
      <w:pPr>
        <w:spacing w:after="160" w:line="300"/>
      </w:pPr>
      <w:r>
        <w:rPr>
          <w:rFonts w:ascii="Arial" w:cs="Arial" w:eastAsia="Arial" w:hAnsi="Arial"/>
          <w:b/>
          <w:bCs/>
          <w:sz w:val="22"/>
          <w:szCs w:val="22"/>
        </w:rPr>
        <w:t xml:space="preserve">Camk1d</w:t>
      </w:r>
      <w:r>
        <w:rPr>
          <w:rFonts w:ascii="Arial" w:cs="Arial" w:eastAsia="Arial" w:hAnsi="Arial"/>
          <w:sz w:val="22"/>
          <w:szCs w:val="22"/>
        </w:rPr>
        <w:t xml:space="preserve"> (SPF-UP, AMY, n_signif=4) and </w:t>
      </w:r>
      <w:r>
        <w:rPr>
          <w:rFonts w:ascii="Arial" w:cs="Arial" w:eastAsia="Arial" w:hAnsi="Arial"/>
          <w:b/>
          <w:bCs/>
          <w:sz w:val="22"/>
          <w:szCs w:val="22"/>
        </w:rPr>
        <w:t xml:space="preserve">Itpkb</w:t>
      </w:r>
      <w:r>
        <w:rPr>
          <w:rFonts w:ascii="Arial" w:cs="Arial" w:eastAsia="Arial" w:hAnsi="Arial"/>
          <w:sz w:val="22"/>
          <w:szCs w:val="22"/>
        </w:rPr>
        <w:t xml:space="preserve"> (SPF-UP, AMY, n_signif=3): CaM kinase Iδ regulates CREB-dependent transcription; IP3 kinase B modulates IP3 receptor-mediated calcium release and Akt signaling. Both are SPF-UP, suggesting compensatory kinase upregulation in the absence of robust ER-mediated calcium signaling.</w:t>
      </w:r>
    </w:p>
    <w:p>
      <w:pPr>
        <w:spacing w:after="160" w:line="300"/>
      </w:pPr>
      <w:r>
        <w:rPr>
          <w:rFonts w:ascii="Arial" w:cs="Arial" w:eastAsia="Arial" w:hAnsi="Arial"/>
          <w:sz w:val="22"/>
          <w:szCs w:val="22"/>
        </w:rPr>
        <w:t xml:space="preserve">Taken together: </w:t>
      </w:r>
      <w:r>
        <w:rPr>
          <w:rFonts w:ascii="Arial" w:cs="Arial" w:eastAsia="Arial" w:hAnsi="Arial"/>
          <w:b/>
          <w:bCs/>
          <w:sz w:val="22"/>
          <w:szCs w:val="22"/>
        </w:rPr>
        <w:t xml:space="preserve">WildR amygdalar neurons are primed for robust ER-mediated calcium signaling (Calm1 + Ryr3), while SPF neurons shift toward alternative calcium entry (Trpm3) and compensatory kinase activity (Camk1d, Itpkb).</w:t>
      </w:r>
      <w:r>
        <w:rPr>
          <w:rFonts w:ascii="Arial" w:cs="Arial" w:eastAsia="Arial" w:hAnsi="Arial"/>
          <w:sz w:val="22"/>
          <w:szCs w:val="22"/>
        </w:rPr>
        <w:t xml:space="preserve"> This has direct implications for fear learning, extinction, and anxiety-related behaviors.</w:t>
      </w:r>
    </w:p>
    <w:p>
      <w:pPr>
        <w:pStyle w:val="Heading1"/>
      </w:pPr>
      <w:r>
        <w:t xml:space="preserve">5. Hypothalamic Homeostatic Circuits: Hap1</w:t>
      </w:r>
    </w:p>
    <w:p>
      <w:pPr>
        <w:spacing w:after="160" w:line="300"/>
      </w:pPr>
      <w:r>
        <w:rPr>
          <w:rFonts w:ascii="Arial" w:cs="Arial" w:eastAsia="Arial" w:hAnsi="Arial"/>
          <w:b/>
          <w:bCs/>
          <w:sz w:val="22"/>
          <w:szCs w:val="22"/>
        </w:rPr>
        <w:t xml:space="preserve">Hap1</w:t>
      </w:r>
      <w:r>
        <w:rPr>
          <w:rFonts w:ascii="Arial" w:cs="Arial" w:eastAsia="Arial" w:hAnsi="Arial"/>
          <w:sz w:val="22"/>
          <w:szCs w:val="22"/>
        </w:rPr>
        <w:t xml:space="preserve"> (SPF-UP, HYP, p = 4.42×10</w:t>
      </w:r>
      <w:r>
        <w:rPr>
          <w:rFonts w:ascii="Arial" w:cs="Arial" w:eastAsia="Arial" w:hAnsi="Arial"/>
          <w:sz w:val="16"/>
          <w:szCs w:val="16"/>
          <w:vertAlign w:val="superscript"/>
        </w:rPr>
        <w:t xml:space="preserve">-14</w:t>
      </w:r>
      <w:r>
        <w:rPr>
          <w:rFonts w:ascii="Arial" w:cs="Arial" w:eastAsia="Arial" w:hAnsi="Arial"/>
          <w:sz w:val="22"/>
          <w:szCs w:val="22"/>
        </w:rPr>
        <w:t xml:space="preserve">, n_signif=17) encodes huntingtin-associated protein 1, a critical intracellular trafficking molecule. Hap1 mediates vesicular trafficking of GABA</w:t>
      </w:r>
      <w:r>
        <w:rPr>
          <w:rFonts w:ascii="Arial" w:cs="Arial" w:eastAsia="Arial" w:hAnsi="Arial"/>
          <w:sz w:val="16"/>
          <w:szCs w:val="16"/>
          <w:vertAlign w:val="subscript"/>
        </w:rPr>
        <w:t xml:space="preserve">A</w:t>
      </w:r>
      <w:r>
        <w:rPr>
          <w:rFonts w:ascii="Arial" w:cs="Arial" w:eastAsia="Arial" w:hAnsi="Arial"/>
          <w:sz w:val="22"/>
          <w:szCs w:val="22"/>
        </w:rPr>
        <w:t xml:space="preserve"> receptors to the neuronal surface (regulating inhibitory tone), TrkB receptor trafficking to dendrites (modulating BDNF signaling), and endosomal sorting of feeding-related receptors in hypothalamic neurons.</w:t>
      </w:r>
    </w:p>
    <w:p>
      <w:pPr>
        <w:spacing w:after="160" w:line="300"/>
      </w:pPr>
      <w:r>
        <w:rPr>
          <w:rFonts w:ascii="Arial" w:cs="Arial" w:eastAsia="Arial" w:hAnsi="Arial"/>
          <w:sz w:val="22"/>
          <w:szCs w:val="22"/>
        </w:rPr>
        <w:t xml:space="preserve">Hap1 knockout mice are postnatal lethal with severe feeding deficits due to hypothalamic dysfunction. Its upregulation across </w:t>
      </w:r>
      <w:r>
        <w:rPr>
          <w:rFonts w:ascii="Arial" w:cs="Arial" w:eastAsia="Arial" w:hAnsi="Arial"/>
          <w:b/>
          <w:bCs/>
          <w:sz w:val="22"/>
          <w:szCs w:val="22"/>
        </w:rPr>
        <w:t xml:space="preserve">17 hypothalamic supertypes</w:t>
      </w:r>
      <w:r>
        <w:rPr>
          <w:rFonts w:ascii="Arial" w:cs="Arial" w:eastAsia="Arial" w:hAnsi="Arial"/>
          <w:sz w:val="22"/>
          <w:szCs w:val="22"/>
        </w:rPr>
        <w:t xml:space="preserve"> in SPF mice is one of the most cell-type-widespread effects in this dataset. Combined with translational machinery upregulation (Cmss1/Lars2), the Hap1 finding suggests SPF hypothalamic neurons are simultaneously making more protein and trafficking more aggressively—a state reflecting metabolic dysregulation or compensatory hyperactivation in the absence of microbiome-derived satiety signals.</w:t>
      </w:r>
    </w:p>
    <w:p>
      <w:r>
        <w:br w:type="page"/>
      </w:r>
    </w:p>
    <w:p>
      <w:pPr>
        <w:pStyle w:val="Heading1"/>
      </w:pPr>
      <w:r>
        <w:t xml:space="preserve">6. Epigenetic and Transcriptional Reprogramming</w:t>
      </w:r>
    </w:p>
    <w:p>
      <w:pPr>
        <w:spacing w:after="160" w:line="300"/>
      </w:pPr>
      <w:r>
        <w:rPr>
          <w:rFonts w:ascii="Arial" w:cs="Arial" w:eastAsia="Arial" w:hAnsi="Arial"/>
          <w:b/>
          <w:bCs/>
          <w:sz w:val="22"/>
          <w:szCs w:val="22"/>
        </w:rPr>
        <w:t xml:space="preserve">Zbtb16/PLZF</w:t>
      </w:r>
      <w:r>
        <w:rPr>
          <w:rFonts w:ascii="Arial" w:cs="Arial" w:eastAsia="Arial" w:hAnsi="Arial"/>
          <w:sz w:val="22"/>
          <w:szCs w:val="22"/>
        </w:rPr>
        <w:t xml:space="preserve"> (WildR-UP, AMY, p = 7.67×10</w:t>
      </w:r>
      <w:r>
        <w:rPr>
          <w:rFonts w:ascii="Arial" w:cs="Arial" w:eastAsia="Arial" w:hAnsi="Arial"/>
          <w:sz w:val="16"/>
          <w:szCs w:val="16"/>
          <w:vertAlign w:val="superscript"/>
        </w:rPr>
        <w:t xml:space="preserve">-20</w:t>
      </w:r>
      <w:r>
        <w:rPr>
          <w:rFonts w:ascii="Arial" w:cs="Arial" w:eastAsia="Arial" w:hAnsi="Arial"/>
          <w:sz w:val="22"/>
          <w:szCs w:val="22"/>
        </w:rPr>
        <w:t xml:space="preserve">, n_signif=7): A BTB/POZ-zinc finger transcription factor that recruits chromatin remodeling complexes (NCoR/SMRT, HDACs) to repress target genes. In the brain, PLZF regulates neurogenesis and neuronal differentiation. Its WildR-specific upregulation in 7 amygdalar supertypes suggests microbiome-derived signals maintain a PLZF-dependent transcriptional repression program. PLZF is also retinoic acid-responsive, raising the possibility that microbial vitamin A metabolism influences amygdalar transcription.</w:t>
      </w:r>
    </w:p>
    <w:p>
      <w:pPr>
        <w:spacing w:after="160" w:line="300"/>
      </w:pPr>
      <w:r>
        <w:rPr>
          <w:rFonts w:ascii="Arial" w:cs="Arial" w:eastAsia="Arial" w:hAnsi="Arial"/>
          <w:b/>
          <w:bCs/>
          <w:sz w:val="22"/>
          <w:szCs w:val="22"/>
        </w:rPr>
        <w:t xml:space="preserve">Hdac9</w:t>
      </w:r>
      <w:r>
        <w:rPr>
          <w:rFonts w:ascii="Arial" w:cs="Arial" w:eastAsia="Arial" w:hAnsi="Arial"/>
          <w:sz w:val="22"/>
          <w:szCs w:val="22"/>
        </w:rPr>
        <w:t xml:space="preserve"> (SPF-UP, AMY): A class IIa HDAC that shuttles between nucleus and cytoplasm in response to CaMKII-mediated phosphorylation. Its SPF upregulation may reflect altered calcium-to-chromatin signaling, leading to aberrant histone acetylation at activity-regulated enhancers.</w:t>
      </w:r>
    </w:p>
    <w:p>
      <w:pPr>
        <w:spacing w:after="160" w:line="300"/>
      </w:pPr>
      <w:r>
        <w:rPr>
          <w:rFonts w:ascii="Arial" w:cs="Arial" w:eastAsia="Arial" w:hAnsi="Arial"/>
          <w:b/>
          <w:bCs/>
          <w:sz w:val="22"/>
          <w:szCs w:val="22"/>
        </w:rPr>
        <w:t xml:space="preserve">Bhlhe40/Dec1</w:t>
      </w:r>
      <w:r>
        <w:rPr>
          <w:rFonts w:ascii="Arial" w:cs="Arial" w:eastAsia="Arial" w:hAnsi="Arial"/>
          <w:sz w:val="22"/>
          <w:szCs w:val="22"/>
        </w:rPr>
        <w:t xml:space="preserve"> (WildR-UP, AMY, n_signif=4): A circadian clock component that represses Clock/Bmal1-driven transcription. Its WildR-specific expression suggests the microbiome entrains circadian gene expression in the amygdala, consistent with evidence that microbial metabolites influence central circadian rhythms.</w:t>
      </w:r>
    </w:p>
    <w:p>
      <w:pPr>
        <w:spacing w:after="160" w:line="300"/>
      </w:pPr>
      <w:r>
        <w:rPr>
          <w:rFonts w:ascii="Arial" w:cs="Arial" w:eastAsia="Arial" w:hAnsi="Arial"/>
          <w:b/>
          <w:bCs/>
          <w:sz w:val="22"/>
          <w:szCs w:val="22"/>
        </w:rPr>
        <w:t xml:space="preserve">Srrm2</w:t>
      </w:r>
      <w:r>
        <w:rPr>
          <w:rFonts w:ascii="Arial" w:cs="Arial" w:eastAsia="Arial" w:hAnsi="Arial"/>
          <w:sz w:val="22"/>
          <w:szCs w:val="22"/>
        </w:rPr>
        <w:t xml:space="preserve"> (WildR-UP, AMY, n_signif=11): A splicing coactivator and nuclear speckle marker linked to neurodevelopmental disorders. Its upregulation across 11 amygdalar supertypes implies a general shift in RNA processing machinery dependent on microbiome status.</w:t>
      </w:r>
    </w:p>
    <w:p>
      <w:pPr>
        <w:pStyle w:val="Heading1"/>
      </w:pPr>
      <w:r>
        <w:t xml:space="preserve">7. Enigmatic and High-Impact Genes</w:t>
      </w:r>
    </w:p>
    <w:p>
      <w:pPr>
        <w:pStyle w:val="Heading2"/>
      </w:pPr>
      <w:r>
        <w:t xml:space="preserve">7.1 ENSMUSG00000095041</w:t>
      </w:r>
    </w:p>
    <w:p>
      <w:pPr>
        <w:spacing w:after="160" w:line="300"/>
      </w:pPr>
      <w:r>
        <w:rPr>
          <w:rFonts w:ascii="Arial" w:cs="Arial" w:eastAsia="Arial" w:hAnsi="Arial"/>
          <w:sz w:val="22"/>
          <w:szCs w:val="22"/>
        </w:rPr>
        <w:t xml:space="preserve">The second most significant gene in the entire dataset (p = 1.33×10</w:t>
      </w:r>
      <w:r>
        <w:rPr>
          <w:rFonts w:ascii="Arial" w:cs="Arial" w:eastAsia="Arial" w:hAnsi="Arial"/>
          <w:sz w:val="16"/>
          <w:szCs w:val="16"/>
          <w:vertAlign w:val="superscript"/>
        </w:rPr>
        <w:t xml:space="preserve">-27</w:t>
      </w:r>
      <w:r>
        <w:rPr>
          <w:rFonts w:ascii="Arial" w:cs="Arial" w:eastAsia="Arial" w:hAnsi="Arial"/>
          <w:sz w:val="22"/>
          <w:szCs w:val="22"/>
        </w:rPr>
        <w:t xml:space="preserve">, </w:t>
      </w:r>
      <w:r>
        <w:rPr>
          <w:rFonts w:ascii="Arial" w:cs="Arial" w:eastAsia="Arial" w:hAnsi="Arial"/>
          <w:b/>
          <w:bCs/>
          <w:sz w:val="22"/>
          <w:szCs w:val="22"/>
        </w:rPr>
        <w:t xml:space="preserve">37 significant supertypes</w:t>
      </w:r>
      <w:r>
        <w:rPr>
          <w:rFonts w:ascii="Arial" w:cs="Arial" w:eastAsia="Arial" w:hAnsi="Arial"/>
          <w:sz w:val="22"/>
          <w:szCs w:val="22"/>
        </w:rPr>
        <w:t xml:space="preserve">) is an unannotated Ensembl gene, WildR-UP in the amygdala. Its effect spans 37 amygdalar supertypes—the most widespread amygdalar change in the dataset—yet its function is entirely unknown. This gene warrants immediate bioinformatic characterization: genomic context, conservation analysis, predicted domains, and potential lncRNA or antisense function. If this is a non-coding RNA, it could represent a novel microbiome-responsive regulatory element orchestrating amygdalar gene expression programs.</w:t>
      </w:r>
    </w:p>
    <w:p>
      <w:pPr>
        <w:pStyle w:val="Heading2"/>
      </w:pPr>
      <w:r>
        <w:t xml:space="preserve">7.2 Mid1: X-Linked Ubiquitin Ligase</w:t>
      </w:r>
    </w:p>
    <w:p>
      <w:pPr>
        <w:spacing w:after="160" w:line="300"/>
      </w:pPr>
      <w:r>
        <w:rPr>
          <w:rFonts w:ascii="Arial" w:cs="Arial" w:eastAsia="Arial" w:hAnsi="Arial"/>
          <w:sz w:val="22"/>
          <w:szCs w:val="22"/>
        </w:rPr>
        <w:t xml:space="preserve">Mid1 (WildR-UP, AMY n_signif=21; HYP n_signif=15) encodes an E3 ubiquitin ligase targeting the catalytic subunit of PP2A for proteasomal degradation. The Mid1–PP2A axis regulates mTORC1: PP2A dephosphorylates and inactivates mTOR pathway components, while Mid1-mediated PP2A degradation derepresses mTOR. This creates a </w:t>
      </w:r>
      <w:r>
        <w:rPr>
          <w:rFonts w:ascii="Arial" w:cs="Arial" w:eastAsia="Arial" w:hAnsi="Arial"/>
          <w:b/>
          <w:bCs/>
          <w:sz w:val="22"/>
          <w:szCs w:val="22"/>
        </w:rPr>
        <w:t xml:space="preserve">direct mechanistic link to the Cmss1/Lars2 translational story</w:t>
      </w:r>
      <w:r>
        <w:rPr>
          <w:rFonts w:ascii="Arial" w:cs="Arial" w:eastAsia="Arial" w:hAnsi="Arial"/>
          <w:sz w:val="22"/>
          <w:szCs w:val="22"/>
        </w:rPr>
        <w:t xml:space="preserve">—WildR neurons may use Mid1 to fine-tune mTORC1 activity through PP2A regulation.</w:t>
      </w:r>
    </w:p>
    <w:p>
      <w:pPr>
        <w:pStyle w:val="Heading2"/>
      </w:pPr>
      <w:r>
        <w:t xml:space="preserve">7.3 Eps8l1</w:t>
      </w:r>
    </w:p>
    <w:p>
      <w:pPr>
        <w:spacing w:after="160" w:line="300"/>
      </w:pPr>
      <w:r>
        <w:rPr>
          <w:rFonts w:ascii="Arial" w:cs="Arial" w:eastAsia="Arial" w:hAnsi="Arial"/>
          <w:sz w:val="22"/>
          <w:szCs w:val="22"/>
        </w:rPr>
        <w:t xml:space="preserve">Eps8l1 (WildR-UP, AMY, n_signif=16) is an EGFR pathway substrate-like protein involved in actin dynamics and receptor trafficking. Its upregulation across 16 amygdalar supertypes, combined with Cttnbp2 (also actin-related, also WildR-UP), points toward a </w:t>
      </w:r>
      <w:r>
        <w:rPr>
          <w:rFonts w:ascii="Arial" w:cs="Arial" w:eastAsia="Arial" w:hAnsi="Arial"/>
          <w:b/>
          <w:bCs/>
          <w:sz w:val="22"/>
          <w:szCs w:val="22"/>
        </w:rPr>
        <w:t xml:space="preserve">WildR-specific actin remodeling program</w:t>
      </w:r>
      <w:r>
        <w:rPr>
          <w:rFonts w:ascii="Arial" w:cs="Arial" w:eastAsia="Arial" w:hAnsi="Arial"/>
          <w:sz w:val="22"/>
          <w:szCs w:val="22"/>
        </w:rPr>
        <w:t xml:space="preserve"> driving dendritic spine plasticity in amygdalar neurons.</w:t>
      </w:r>
    </w:p>
    <w:p>
      <w:pPr>
        <w:pStyle w:val="Heading1"/>
      </w:pPr>
      <w:r>
        <w:t xml:space="preserve">8. Ion Channel Modulation</w:t>
      </w:r>
    </w:p>
    <w:p>
      <w:pPr>
        <w:spacing w:after="160" w:line="300"/>
      </w:pPr>
      <w:r>
        <w:rPr>
          <w:rFonts w:ascii="Arial" w:cs="Arial" w:eastAsia="Arial" w:hAnsi="Arial"/>
          <w:b/>
          <w:bCs/>
          <w:sz w:val="22"/>
          <w:szCs w:val="22"/>
        </w:rPr>
        <w:t xml:space="preserve">Kcnb2/Kv2.2</w:t>
      </w:r>
      <w:r>
        <w:rPr>
          <w:rFonts w:ascii="Arial" w:cs="Arial" w:eastAsia="Arial" w:hAnsi="Arial"/>
          <w:sz w:val="22"/>
          <w:szCs w:val="22"/>
        </w:rPr>
        <w:t xml:space="preserve"> (WildR-UP, HYP): Delayed rectifier K</w:t>
      </w:r>
      <w:r>
        <w:rPr>
          <w:rFonts w:ascii="Arial" w:cs="Arial" w:eastAsia="Arial" w:hAnsi="Arial"/>
          <w:sz w:val="16"/>
          <w:szCs w:val="16"/>
          <w:vertAlign w:val="superscript"/>
        </w:rPr>
        <w:t xml:space="preserve">+</w:t>
      </w:r>
      <w:r>
        <w:rPr>
          <w:rFonts w:ascii="Arial" w:cs="Arial" w:eastAsia="Arial" w:hAnsi="Arial"/>
          <w:sz w:val="22"/>
          <w:szCs w:val="22"/>
        </w:rPr>
        <w:t xml:space="preserve"> channel critical for sustained high-frequency firing. Kv2.2 clusters at the axon initial segment, regulating spike frequency adaptation. WildR-specific expression suggests microbial signals support high-fidelity repetitive firing in hypothalamic neurons.</w:t>
      </w:r>
    </w:p>
    <w:p>
      <w:pPr>
        <w:spacing w:after="160" w:line="300"/>
      </w:pPr>
      <w:r>
        <w:rPr>
          <w:rFonts w:ascii="Arial" w:cs="Arial" w:eastAsia="Arial" w:hAnsi="Arial"/>
          <w:b/>
          <w:bCs/>
          <w:sz w:val="22"/>
          <w:szCs w:val="22"/>
        </w:rPr>
        <w:t xml:space="preserve">Kcnn2/SK2</w:t>
      </w:r>
      <w:r>
        <w:rPr>
          <w:rFonts w:ascii="Arial" w:cs="Arial" w:eastAsia="Arial" w:hAnsi="Arial"/>
          <w:sz w:val="22"/>
          <w:szCs w:val="22"/>
        </w:rPr>
        <w:t xml:space="preserve"> (WildR-UP, HYP): Small-conductance Ca</w:t>
      </w:r>
      <w:r>
        <w:rPr>
          <w:rFonts w:ascii="Arial" w:cs="Arial" w:eastAsia="Arial" w:hAnsi="Arial"/>
          <w:sz w:val="16"/>
          <w:szCs w:val="16"/>
          <w:vertAlign w:val="superscript"/>
        </w:rPr>
        <w:t xml:space="preserve">2+</w:t>
      </w:r>
      <w:r>
        <w:rPr>
          <w:rFonts w:ascii="Arial" w:cs="Arial" w:eastAsia="Arial" w:hAnsi="Arial"/>
          <w:sz w:val="22"/>
          <w:szCs w:val="22"/>
        </w:rPr>
        <w:t xml:space="preserve">-activated K</w:t>
      </w:r>
      <w:r>
        <w:rPr>
          <w:rFonts w:ascii="Arial" w:cs="Arial" w:eastAsia="Arial" w:hAnsi="Arial"/>
          <w:sz w:val="16"/>
          <w:szCs w:val="16"/>
          <w:vertAlign w:val="superscript"/>
        </w:rPr>
        <w:t xml:space="preserve">+</w:t>
      </w:r>
      <w:r>
        <w:rPr>
          <w:rFonts w:ascii="Arial" w:cs="Arial" w:eastAsia="Arial" w:hAnsi="Arial"/>
          <w:sz w:val="22"/>
          <w:szCs w:val="22"/>
        </w:rPr>
        <w:t xml:space="preserve"> channels generating the medium afterhyperpolarization (mAHP) that controls inter-spike intervals. SK2 upregulation sharpens spike timing—particularly relevant for parvocellular neuroendocrine neurons in PVH that release CRH and TRH in pulsatile patterns.</w:t>
      </w:r>
    </w:p>
    <w:p>
      <w:pPr>
        <w:spacing w:after="160" w:line="300"/>
      </w:pPr>
      <w:r>
        <w:rPr>
          <w:rFonts w:ascii="Arial" w:cs="Arial" w:eastAsia="Arial" w:hAnsi="Arial"/>
          <w:sz w:val="22"/>
          <w:szCs w:val="22"/>
        </w:rPr>
        <w:t xml:space="preserve">Together: </w:t>
      </w:r>
      <w:r>
        <w:rPr>
          <w:rFonts w:ascii="Arial" w:cs="Arial" w:eastAsia="Arial" w:hAnsi="Arial"/>
          <w:b/>
          <w:bCs/>
          <w:sz w:val="22"/>
          <w:szCs w:val="22"/>
        </w:rPr>
        <w:t xml:space="preserve">WildR hypothalamic neurons are tuned for precise, high-frequency patterned firing, while SPF neurons may exhibit broader, less temporally precise activity.</w:t>
      </w:r>
      <w:r>
        <w:rPr>
          <w:rFonts w:ascii="Arial" w:cs="Arial" w:eastAsia="Arial" w:hAnsi="Arial"/>
          <w:sz w:val="22"/>
          <w:szCs w:val="22"/>
        </w:rPr>
        <w:t xml:space="preserve"> This has direct implications for neuroendocrine pulsatility and circadian signaling.</w:t>
      </w:r>
    </w:p>
    <w:p>
      <w:r>
        <w:br w:type="page"/>
      </w:r>
    </w:p>
    <w:p>
      <w:pPr>
        <w:pStyle w:val="Heading1"/>
      </w:pPr>
      <w:r>
        <w:t xml:space="preserve">9. Ras/MAPK and PI3K Signaling</w:t>
      </w:r>
    </w:p>
    <w:p>
      <w:pPr>
        <w:spacing w:after="160" w:line="300"/>
      </w:pPr>
      <w:r>
        <w:rPr>
          <w:rFonts w:ascii="Arial" w:cs="Arial" w:eastAsia="Arial" w:hAnsi="Arial"/>
          <w:sz w:val="22"/>
          <w:szCs w:val="22"/>
        </w:rPr>
        <w:t xml:space="preserve">The opposing regulation of Ras pathway components is notable: </w:t>
      </w:r>
      <w:r>
        <w:rPr>
          <w:rFonts w:ascii="Arial" w:cs="Arial" w:eastAsia="Arial" w:hAnsi="Arial"/>
          <w:b/>
          <w:bCs/>
          <w:sz w:val="22"/>
          <w:szCs w:val="22"/>
        </w:rPr>
        <w:t xml:space="preserve">Rasgef1a</w:t>
      </w:r>
      <w:r>
        <w:rPr>
          <w:rFonts w:ascii="Arial" w:cs="Arial" w:eastAsia="Arial" w:hAnsi="Arial"/>
          <w:sz w:val="22"/>
          <w:szCs w:val="22"/>
        </w:rPr>
        <w:t xml:space="preserve"> (SPF-UP, AMY, n_signif=5) activates Ras via GTP loading, while </w:t>
      </w:r>
      <w:r>
        <w:rPr>
          <w:rFonts w:ascii="Arial" w:cs="Arial" w:eastAsia="Arial" w:hAnsi="Arial"/>
          <w:b/>
          <w:bCs/>
          <w:sz w:val="22"/>
          <w:szCs w:val="22"/>
        </w:rPr>
        <w:t xml:space="preserve">Rasa1</w:t>
      </w:r>
      <w:r>
        <w:rPr>
          <w:rFonts w:ascii="Arial" w:cs="Arial" w:eastAsia="Arial" w:hAnsi="Arial"/>
          <w:sz w:val="22"/>
          <w:szCs w:val="22"/>
        </w:rPr>
        <w:t xml:space="preserve"> (WildR-UP, AMY, n_signif=4) inactivates Ras via GTPase stimulation. SPF amygdalar neurons therefore likely have higher basal Ras/MAPK pathway activity, feeding into ERK-dependent transcription and synaptic plasticity.</w:t>
      </w:r>
    </w:p>
    <w:p>
      <w:pPr>
        <w:spacing w:after="160" w:line="300"/>
      </w:pPr>
      <w:r>
        <w:rPr>
          <w:rFonts w:ascii="Arial" w:cs="Arial" w:eastAsia="Arial" w:hAnsi="Arial"/>
          <w:b/>
          <w:bCs/>
          <w:sz w:val="22"/>
          <w:szCs w:val="22"/>
        </w:rPr>
        <w:t xml:space="preserve">Prex2</w:t>
      </w:r>
      <w:r>
        <w:rPr>
          <w:rFonts w:ascii="Arial" w:cs="Arial" w:eastAsia="Arial" w:hAnsi="Arial"/>
          <w:sz w:val="22"/>
          <w:szCs w:val="22"/>
        </w:rPr>
        <w:t xml:space="preserve"> (SPF-UP, HYP, p = 4.92×10</w:t>
      </w:r>
      <w:r>
        <w:rPr>
          <w:rFonts w:ascii="Arial" w:cs="Arial" w:eastAsia="Arial" w:hAnsi="Arial"/>
          <w:sz w:val="16"/>
          <w:szCs w:val="16"/>
          <w:vertAlign w:val="superscript"/>
        </w:rPr>
        <w:t xml:space="preserve">-20</w:t>
      </w:r>
      <w:r>
        <w:rPr>
          <w:rFonts w:ascii="Arial" w:cs="Arial" w:eastAsia="Arial" w:hAnsi="Arial"/>
          <w:sz w:val="22"/>
          <w:szCs w:val="22"/>
        </w:rPr>
        <w:t xml:space="preserve">) is a Rac-GEF and negative regulator of PTEN, amplifying PI3K/Akt signaling. Its SPF upregulation connects to mTORC1: Prex2 suppresses PTEN → removes PI3K brake → activates Akt → activates mTORC1. Combined with Mid1–PP2A and Cmss1/Lars2, </w:t>
      </w:r>
      <w:r>
        <w:rPr>
          <w:rFonts w:ascii="Arial" w:cs="Arial" w:eastAsia="Arial" w:hAnsi="Arial"/>
          <w:b/>
          <w:bCs/>
          <w:sz w:val="22"/>
          <w:szCs w:val="22"/>
        </w:rPr>
        <w:t xml:space="preserve">multiple independent pathways converge on mTORC1 regulation through different mechanisms in different microbiome conditions.</w:t>
      </w:r>
    </w:p>
    <w:p>
      <w:pPr>
        <w:pStyle w:val="Heading1"/>
      </w:pPr>
      <w:r>
        <w:t xml:space="preserve">10. Integrated Model: The Microbiome as Limbic Systems Modulator</w:t>
      </w:r>
    </w:p>
    <w:p>
      <w:pPr>
        <w:pStyle w:val="Heading2"/>
      </w:pPr>
      <w:r>
        <w:t xml:space="preserve">10.1 The Hypothalamic Metabolic Program</w:t>
      </w:r>
    </w:p>
    <w:p>
      <w:pPr>
        <w:spacing w:after="160" w:line="300"/>
      </w:pPr>
      <w:r>
        <w:rPr>
          <w:rFonts w:ascii="Arial" w:cs="Arial" w:eastAsia="Arial" w:hAnsi="Arial"/>
          <w:sz w:val="22"/>
          <w:szCs w:val="22"/>
        </w:rPr>
        <w:t xml:space="preserve">In the hypothalamus, the microbiome restrains a translational/metabolic program. WildR mice maintain lower basal mitochondrial translation (Cmss1, Lars2 lower), active PP2A-mediated mTOR tuning (Mid1), precise neuroendocrine firing (Kv2.2, SK2), and moderate vesicular trafficking (Hap1 lower). SPF mice, lacking microbial metabolites, lose this metabolic restraint: mitochondrial translation surges pan-hypothalamically, Hap1 drives aggressive vesicular trafficking, and Prex2 disinhibits PI3K/Akt. This is consistent with documented metabolic phenotypes of germ-free mice, including altered body composition, insulin sensitivity, and feeding behavior.</w:t>
      </w:r>
    </w:p>
    <w:p>
      <w:pPr>
        <w:pStyle w:val="Heading2"/>
      </w:pPr>
      <w:r>
        <w:t xml:space="preserve">10.2 The Amygdalar Connectivity Program</w:t>
      </w:r>
    </w:p>
    <w:p>
      <w:pPr>
        <w:spacing w:after="160" w:line="300"/>
      </w:pPr>
      <w:r>
        <w:rPr>
          <w:rFonts w:ascii="Arial" w:cs="Arial" w:eastAsia="Arial" w:hAnsi="Arial"/>
          <w:sz w:val="22"/>
          <w:szCs w:val="22"/>
        </w:rPr>
        <w:t xml:space="preserve">In the amygdala, the microbiome shapes synaptic connectivity and excitability. WildR mice maintain active dendritic remodeling (Cttnbp2, Eps8l1), robust ER calcium signaling (Calm1, Ryr3), PLZF-dependent transcriptional repression (Zbtb16), and active RNA processing (Srrm2). SPF mice shift toward alternative adhesion programs (Ncam1, Cntn4), non-synaptic calcium entry (Trpm3), and altered chromatin state (Hdac9). The net effect is a fundamentally different synaptic landscape—manifesting as altered fear conditioning, anxiety, and social interaction.</w:t>
      </w:r>
    </w:p>
    <w:p>
      <w:pPr>
        <w:pStyle w:val="Heading2"/>
      </w:pPr>
      <w:r>
        <w:t xml:space="preserve">10.3 Convergence on mTORC1</w:t>
      </w:r>
    </w:p>
    <w:p>
      <w:pPr>
        <w:spacing w:after="160" w:line="300"/>
      </w:pPr>
      <w:r>
        <w:rPr>
          <w:rFonts w:ascii="Arial" w:cs="Arial" w:eastAsia="Arial" w:hAnsi="Arial"/>
          <w:sz w:val="22"/>
          <w:szCs w:val="22"/>
        </w:rPr>
        <w:t xml:space="preserve">The most elegant finding is convergence of multiple independent pathways on mTORC1. In the hypothalamus: Cmss1/Lars2 (translational output), Prex2 (PI3K/Akt input), Hap1 (trafficking). In the amygdala: Mid1 (PP2A–mTOR axis). mTORC1 is the master integrator of metabolic state and translational capacity; its microbiome-dependent regulation across both limbic regions positions it as a </w:t>
      </w:r>
      <w:r>
        <w:rPr>
          <w:rFonts w:ascii="Arial" w:cs="Arial" w:eastAsia="Arial" w:hAnsi="Arial"/>
          <w:b/>
          <w:bCs/>
          <w:sz w:val="22"/>
          <w:szCs w:val="22"/>
        </w:rPr>
        <w:t xml:space="preserve">central node through which gut-derived signals shape brain function.</w:t>
      </w:r>
    </w:p>
    <w:p>
      <w:r>
        <w:br w:type="page"/>
      </w:r>
    </w:p>
    <w:p>
      <w:pPr>
        <w:pStyle w:val="Heading1"/>
      </w:pPr>
      <w:r>
        <w:t xml:space="preserve">11. Proposed Follow-Up Experiments</w:t>
      </w:r>
    </w:p>
    <w:p>
      <w:pPr>
        <w:spacing w:after="160" w:line="300"/>
      </w:pPr>
      <w:r>
        <w:rPr>
          <w:rFonts w:ascii="Arial" w:cs="Arial" w:eastAsia="Arial" w:hAnsi="Arial"/>
          <w:b/>
          <w:bCs/>
          <w:sz w:val="22"/>
          <w:szCs w:val="22"/>
        </w:rPr>
        <w:t xml:space="preserve">1. SCFA rescue: </w:t>
      </w:r>
      <w:r>
        <w:rPr>
          <w:rFonts w:ascii="Arial" w:cs="Arial" w:eastAsia="Arial" w:hAnsi="Arial"/>
          <w:sz w:val="22"/>
          <w:szCs w:val="22"/>
        </w:rPr>
        <w:t xml:space="preserve">Administer butyrate to SPF mice and assess whether Cmss1/Lars2 expression normalizes across hypothalamic supertypes. Tests whether microbial metabolites are sufficient to restore the translational set-point.</w:t>
      </w:r>
    </w:p>
    <w:p>
      <w:pPr>
        <w:spacing w:after="160" w:line="300"/>
      </w:pPr>
      <w:r>
        <w:rPr>
          <w:rFonts w:ascii="Arial" w:cs="Arial" w:eastAsia="Arial" w:hAnsi="Arial"/>
          <w:b/>
          <w:bCs/>
          <w:sz w:val="22"/>
          <w:szCs w:val="22"/>
        </w:rPr>
        <w:t xml:space="preserve">2. mTORC1 pathway interrogation: </w:t>
      </w:r>
      <w:r>
        <w:rPr>
          <w:rFonts w:ascii="Arial" w:cs="Arial" w:eastAsia="Arial" w:hAnsi="Arial"/>
          <w:sz w:val="22"/>
          <w:szCs w:val="22"/>
        </w:rPr>
        <w:t xml:space="preserve">Phospho-S6K1 and phospho-4E-BP1 immunohistochemistry in WildR vs. SPF hypothalamic sections. Co-stain with Nr5a1 (VMH), AgRP/POMC (ARH), and CRH (PVH) markers to identify populations with the largest mTOR activity shifts.</w:t>
      </w:r>
    </w:p>
    <w:p>
      <w:pPr>
        <w:spacing w:after="160" w:line="300"/>
      </w:pPr>
      <w:r>
        <w:rPr>
          <w:rFonts w:ascii="Arial" w:cs="Arial" w:eastAsia="Arial" w:hAnsi="Arial"/>
          <w:b/>
          <w:bCs/>
          <w:sz w:val="22"/>
          <w:szCs w:val="22"/>
        </w:rPr>
        <w:t xml:space="preserve">3. ENSMUSG00000095041 characterization: </w:t>
      </w:r>
      <w:r>
        <w:rPr>
          <w:rFonts w:ascii="Arial" w:cs="Arial" w:eastAsia="Arial" w:hAnsi="Arial"/>
          <w:sz w:val="22"/>
          <w:szCs w:val="22"/>
        </w:rPr>
        <w:t xml:space="preserve">BLAST against ncRNA databases, assess chromatin accessibility (ATAC-seq), check correlation with neighboring genes. Its 37-supertype breadth makes it a high-priority target.</w:t>
      </w:r>
    </w:p>
    <w:p>
      <w:pPr>
        <w:spacing w:after="160" w:line="300"/>
      </w:pPr>
      <w:r>
        <w:rPr>
          <w:rFonts w:ascii="Arial" w:cs="Arial" w:eastAsia="Arial" w:hAnsi="Arial"/>
          <w:b/>
          <w:bCs/>
          <w:sz w:val="22"/>
          <w:szCs w:val="22"/>
        </w:rPr>
        <w:t xml:space="preserve">4. Cttnbp2 spine analysis: </w:t>
      </w:r>
      <w:r>
        <w:rPr>
          <w:rFonts w:ascii="Arial" w:cs="Arial" w:eastAsia="Arial" w:hAnsi="Arial"/>
          <w:sz w:val="22"/>
          <w:szCs w:val="22"/>
        </w:rPr>
        <w:t xml:space="preserve">Golgi staining or diolistic labeling in BLA and CeA neurons from WildR vs. SPF mice to quantify spine density and morphology. If Cttnbp2 upregulation translates to altered spine structure, this provides a structural substrate for behavioral differences.</w:t>
      </w:r>
    </w:p>
    <w:p>
      <w:pPr>
        <w:spacing w:after="160" w:line="300"/>
      </w:pPr>
      <w:r>
        <w:rPr>
          <w:rFonts w:ascii="Arial" w:cs="Arial" w:eastAsia="Arial" w:hAnsi="Arial"/>
          <w:b/>
          <w:bCs/>
          <w:sz w:val="22"/>
          <w:szCs w:val="22"/>
        </w:rPr>
        <w:t xml:space="preserve">5. Electrophysiology: </w:t>
      </w:r>
      <w:r>
        <w:rPr>
          <w:rFonts w:ascii="Arial" w:cs="Arial" w:eastAsia="Arial" w:hAnsi="Arial"/>
          <w:sz w:val="22"/>
          <w:szCs w:val="22"/>
        </w:rPr>
        <w:t xml:space="preserve">Record from identified hypothalamic neuron types (VMH Nr5a1+, ARH AgRP+) in acute slices. Assess firing frequency, spike adaptation (Kv2.2), mAHP amplitude (SK2), and spontaneous synaptic currents.</w:t>
      </w:r>
    </w:p>
    <w:p>
      <w:pPr>
        <w:spacing w:after="160" w:line="300"/>
      </w:pPr>
      <w:r>
        <w:rPr>
          <w:rFonts w:ascii="Arial" w:cs="Arial" w:eastAsia="Arial" w:hAnsi="Arial"/>
          <w:b/>
          <w:bCs/>
          <w:sz w:val="22"/>
          <w:szCs w:val="22"/>
        </w:rPr>
        <w:t xml:space="preserve">6. Hap1 conditional knockout: </w:t>
      </w:r>
      <w:r>
        <w:rPr>
          <w:rFonts w:ascii="Arial" w:cs="Arial" w:eastAsia="Arial" w:hAnsi="Arial"/>
          <w:sz w:val="22"/>
          <w:szCs w:val="22"/>
        </w:rPr>
        <w:t xml:space="preserve">Cross Hap1 floxed mice with hypothalamic Cre drivers (Nr5a1-Cre, AgRP-Cre) in WildR and SPF backgrounds. If Hap1 upregulation is compensatory, its deletion should exacerbate SPF metabolic phenotypes.</w:t>
      </w:r>
    </w:p>
    <w:p>
      <w:pPr>
        <w:spacing w:after="160" w:line="300"/>
      </w:pPr>
      <w:r>
        <w:rPr>
          <w:rFonts w:ascii="Arial" w:cs="Arial" w:eastAsia="Arial" w:hAnsi="Arial"/>
          <w:b/>
          <w:bCs/>
          <w:sz w:val="22"/>
          <w:szCs w:val="22"/>
        </w:rPr>
        <w:t xml:space="preserve">7. Circadian profiling: </w:t>
      </w:r>
      <w:r>
        <w:rPr>
          <w:rFonts w:ascii="Arial" w:cs="Arial" w:eastAsia="Arial" w:hAnsi="Arial"/>
          <w:sz w:val="22"/>
          <w:szCs w:val="22"/>
        </w:rPr>
        <w:t xml:space="preserve">Given Bhlhe40 DE, collect tissue at multiple Zeitgeber times from WildR vs. SPF mice for time-resolved RNA-seq to test whether microbiome status alters circadian gene expression in limbic regions.</w:t>
      </w:r>
    </w:p>
    <w:p>
      <w:pPr>
        <w:pStyle w:val="Heading1"/>
      </w:pPr>
      <w:r>
        <w:t xml:space="preserve">12. Conclusions</w:t>
      </w:r>
    </w:p>
    <w:p>
      <w:pPr>
        <w:spacing w:after="160" w:line="300"/>
      </w:pPr>
      <w:r>
        <w:rPr>
          <w:rFonts w:ascii="Arial" w:cs="Arial" w:eastAsia="Arial" w:hAnsi="Arial"/>
          <w:sz w:val="22"/>
          <w:szCs w:val="22"/>
        </w:rPr>
        <w:t xml:space="preserve">This cell-type-resolved analysis reveals the gut microbiome as an active sculptor of limbic circuit gene expression. The data support a model in which microbial metabolites maintain a hypothalamic metabolic set-point (through translational restraint and mTORC1 regulation) while simultaneously shaping amygdalar synaptic architecture (through cell adhesion molecule expression and calcium signaling). The remarkable breadth of effects—spanning 123 hypothalamic supertypes for Cmss1 alone—argues against narrow receptor-mediated mechanisms and instead suggests systemic modulation of neuronal transcriptional programs by microbiome-derived metabolites.</w:t>
      </w:r>
    </w:p>
    <w:p>
      <w:pPr>
        <w:spacing w:after="160" w:line="300"/>
      </w:pPr>
      <w:r>
        <w:rPr>
          <w:rFonts w:ascii="Arial" w:cs="Arial" w:eastAsia="Arial" w:hAnsi="Arial"/>
          <w:sz w:val="22"/>
          <w:szCs w:val="22"/>
        </w:rPr>
        <w:t xml:space="preserve">The convergence of multiple independent pathways on mTORC1 provides a mechanistic anchor for integrating diverse gene-level findings. The identification of ENSMUSG00000095041 as the second most significant hit—entirely unannotated with pan-amygdalar effects—highlights the discovery potential of this dataset. These findings establish a molecular foundation for the behavioral phenotypes of germ-free and SPF mice and position cell-type-specific transcriptomics as a powerful tool for dissecting microbiome–brain communication.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4"/>
        <w:szCs w:val="14"/>
      </w:rPr>
      <w:t xml:space="preserve">Confidential — Mazmanian/Thomson Labs, Caltech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6"/>
        <w:szCs w:val="16"/>
      </w:rPr>
      <w:t xml:space="preserve">WildR vs. SPF DEG Analysis — AMY &amp; HYP Cell Supertypes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4823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2026-03-24T22:01:25.263Z</dcterms:created>
  <dcterms:modified xsi:type="dcterms:W3CDTF">2026-03-24T22:01:25.264Z</dcterms:modified>
</cp:coreProperties>
</file>

<file path=docProps/custom.xml><?xml version="1.0" encoding="utf-8"?>
<Properties xmlns="http://schemas.openxmlformats.org/officeDocument/2006/custom-properties" xmlns:vt="http://schemas.openxmlformats.org/officeDocument/2006/docPropsVTypes"/>
</file>