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e2e2e"/>
        </w:rPr>
      </w:pPr>
      <w:r w:rsidDel="00000000" w:rsidR="00000000" w:rsidRPr="00000000">
        <w:rPr>
          <w:rFonts w:ascii="Arial Unicode MS" w:cs="Arial Unicode MS" w:eastAsia="Arial Unicode MS" w:hAnsi="Arial Unicode MS"/>
          <w:color w:val="2e2e2e"/>
          <w:rtl w:val="0"/>
        </w:rPr>
        <w:t xml:space="preserve">The risk of peritonitis was lower for CAPD than for CCPD (relative risk, 0.939; 95% confidence interval, 0.883 to 0.998). Other significant risk factors included age ≤44 years, black race, </w:t>
      </w:r>
      <w:hyperlink r:id="rId6">
        <w:r w:rsidDel="00000000" w:rsidR="00000000" w:rsidRPr="00000000">
          <w:rPr>
            <w:color w:val="0c7dbb"/>
            <w:rtl w:val="0"/>
          </w:rPr>
          <w:t xml:space="preserve">diabetes</w:t>
        </w:r>
      </w:hyperlink>
      <w:r w:rsidDel="00000000" w:rsidR="00000000" w:rsidRPr="00000000">
        <w:rPr>
          <w:color w:val="2e2e2e"/>
          <w:rtl w:val="0"/>
        </w:rPr>
        <w:t xml:space="preserve"> as primary </w:t>
      </w:r>
      <w:hyperlink r:id="rId7">
        <w:r w:rsidDel="00000000" w:rsidR="00000000" w:rsidRPr="00000000">
          <w:rPr>
            <w:color w:val="0c7dbb"/>
            <w:rtl w:val="0"/>
          </w:rPr>
          <w:t xml:space="preserve">ESRD</w:t>
        </w:r>
      </w:hyperlink>
      <w:r w:rsidDel="00000000" w:rsidR="00000000" w:rsidRPr="00000000">
        <w:rPr>
          <w:color w:val="2e2e2e"/>
          <w:rtl w:val="0"/>
        </w:rPr>
        <w:t xml:space="preserve"> diagnosis, peritonitis during the entry period, greater than 4 entry-period hospital days, and congestive heart failure. </w:t>
      </w:r>
    </w:p>
    <w:p w:rsidR="00000000" w:rsidDel="00000000" w:rsidP="00000000" w:rsidRDefault="00000000" w:rsidRPr="00000000" w14:paraId="00000002">
      <w:pPr>
        <w:rPr>
          <w:color w:val="2e2e2e"/>
        </w:rPr>
      </w:pPr>
      <w:r w:rsidDel="00000000" w:rsidR="00000000" w:rsidRPr="00000000">
        <w:rPr>
          <w:rFonts w:ascii="Arial Unicode MS" w:cs="Arial Unicode MS" w:eastAsia="Arial Unicode MS" w:hAnsi="Arial Unicode MS"/>
          <w:color w:val="2e2e2e"/>
          <w:rtl w:val="0"/>
        </w:rPr>
        <w:t xml:space="preserve">Risk of first peritonitis was 26% higher in blacks than in whites; 13% higher in patients with than in those without diabetes as their primary ESRD diagnosis; 18% and 16% higher, respectively, in those with 5 to 10 and ≥11 than in those with no entry-period hospital days; 2.15 times higher in patients with than in those without peritonitis during the entry period; and 10% higher in patients with than in those without congestive heart failure. </w:t>
      </w:r>
    </w:p>
    <w:p w:rsidR="00000000" w:rsidDel="00000000" w:rsidP="00000000" w:rsidRDefault="00000000" w:rsidRPr="00000000" w14:paraId="00000003">
      <w:pPr>
        <w:rPr>
          <w:color w:val="2e2e2e"/>
        </w:rPr>
      </w:pPr>
      <w:r w:rsidDel="00000000" w:rsidR="00000000" w:rsidRPr="00000000">
        <w:rPr>
          <w:color w:val="2e2e2e"/>
          <w:rtl w:val="0"/>
        </w:rPr>
        <w:t xml:space="preserve">On average, the first peritonitis episode occurred 3.5 months earlier for black than for white patients (14.2 and 17.7 months until first peritonitis, adjusted, respectively)</w:t>
      </w:r>
    </w:p>
    <w:p w:rsidR="00000000" w:rsidDel="00000000" w:rsidP="00000000" w:rsidRDefault="00000000" w:rsidRPr="00000000" w14:paraId="00000004">
      <w:pPr>
        <w:rPr>
          <w:color w:val="2e2e2e"/>
        </w:rPr>
      </w:pPr>
      <w:r w:rsidDel="00000000" w:rsidR="00000000" w:rsidRPr="00000000">
        <w:rPr>
          <w:color w:val="2e2e2e"/>
          <w:rtl w:val="0"/>
        </w:rPr>
        <w:t xml:space="preserve">Despite higher rates of peritonitis in blacks and diabetics, the percentages of patients receiving CCPD in these groups were similar to the percentages in other groups. Patients receiving CCPD were more likely to be men and younger than patients receiving CAPD; these findings are consistent with those of another study</w:t>
      </w:r>
    </w:p>
    <w:p w:rsidR="00000000" w:rsidDel="00000000" w:rsidP="00000000" w:rsidRDefault="00000000" w:rsidRPr="00000000" w14:paraId="00000005">
      <w:pPr>
        <w:rPr>
          <w:color w:val="2e2e2e"/>
        </w:rPr>
      </w:pPr>
      <w:hyperlink r:id="rId8">
        <w:r w:rsidDel="00000000" w:rsidR="00000000" w:rsidRPr="00000000">
          <w:rPr>
            <w:color w:val="1155cc"/>
            <w:u w:val="single"/>
            <w:rtl w:val="0"/>
          </w:rPr>
          <w:t xml:space="preserve">https://www.sciencedirect.com/science/article/pii/S0272638604014076?via%3Dihub</w:t>
        </w:r>
      </w:hyperlink>
      <w:r w:rsidDel="00000000" w:rsidR="00000000" w:rsidRPr="00000000">
        <w:rPr>
          <w:rtl w:val="0"/>
        </w:rPr>
      </w:r>
    </w:p>
    <w:p w:rsidR="00000000" w:rsidDel="00000000" w:rsidP="00000000" w:rsidRDefault="00000000" w:rsidRPr="00000000" w14:paraId="00000006">
      <w:pPr>
        <w:rPr>
          <w:color w:val="2e2e2e"/>
        </w:rPr>
      </w:pPr>
      <w:r w:rsidDel="00000000" w:rsidR="00000000" w:rsidRPr="00000000">
        <w:rPr>
          <w:rtl w:val="0"/>
        </w:rPr>
      </w:r>
    </w:p>
    <w:p w:rsidR="00000000" w:rsidDel="00000000" w:rsidP="00000000" w:rsidRDefault="00000000" w:rsidRPr="00000000" w14:paraId="00000007">
      <w:pPr>
        <w:rPr>
          <w:color w:val="2e2e2e"/>
          <w:highlight w:val="white"/>
        </w:rPr>
      </w:pPr>
      <w:r w:rsidDel="00000000" w:rsidR="00000000" w:rsidRPr="00000000">
        <w:rPr>
          <w:color w:val="2e2e2e"/>
          <w:highlight w:val="white"/>
          <w:rtl w:val="0"/>
        </w:rPr>
        <w:t xml:space="preserve">Eleven studies found differences between ethnicities such as a higher risk in aboriginal ethnicity (IRR 1.93; 1.63–2.28) [</w:t>
      </w:r>
      <w:hyperlink r:id="rId9">
        <w:r w:rsidDel="00000000" w:rsidR="00000000" w:rsidRPr="00000000">
          <w:rPr>
            <w:color w:val="642a8f"/>
            <w:highlight w:val="white"/>
            <w:u w:val="single"/>
            <w:rtl w:val="0"/>
          </w:rPr>
          <w:t xml:space="preserve">13</w:t>
        </w:r>
      </w:hyperlink>
      <w:r w:rsidDel="00000000" w:rsidR="00000000" w:rsidRPr="00000000">
        <w:rPr>
          <w:color w:val="2e2e2e"/>
          <w:highlight w:val="white"/>
          <w:rtl w:val="0"/>
        </w:rPr>
        <w:t xml:space="preserve">] and HR 1.78; 1.45–2.19 [</w:t>
      </w:r>
      <w:hyperlink r:id="rId10">
        <w:r w:rsidDel="00000000" w:rsidR="00000000" w:rsidRPr="00000000">
          <w:rPr>
            <w:color w:val="642a8f"/>
            <w:highlight w:val="white"/>
            <w:u w:val="single"/>
            <w:rtl w:val="0"/>
          </w:rPr>
          <w:t xml:space="preserve">39</w:t>
        </w:r>
      </w:hyperlink>
      <w:r w:rsidDel="00000000" w:rsidR="00000000" w:rsidRPr="00000000">
        <w:rPr>
          <w:color w:val="2e2e2e"/>
          <w:highlight w:val="white"/>
          <w:rtl w:val="0"/>
        </w:rPr>
        <w:t xml:space="preserve">], Maoris (OR 1.64; 1.43–1.87) [</w:t>
      </w:r>
      <w:hyperlink r:id="rId11">
        <w:r w:rsidDel="00000000" w:rsidR="00000000" w:rsidRPr="00000000">
          <w:rPr>
            <w:color w:val="642a8f"/>
            <w:highlight w:val="white"/>
            <w:u w:val="single"/>
            <w:rtl w:val="0"/>
          </w:rPr>
          <w:t xml:space="preserve">13</w:t>
        </w:r>
      </w:hyperlink>
      <w:r w:rsidDel="00000000" w:rsidR="00000000" w:rsidRPr="00000000">
        <w:rPr>
          <w:color w:val="2e2e2e"/>
          <w:highlight w:val="white"/>
          <w:rtl w:val="0"/>
        </w:rPr>
        <w:t xml:space="preserve">], First Nation Canadians (</w:t>
      </w:r>
      <w:r w:rsidDel="00000000" w:rsidR="00000000" w:rsidRPr="00000000">
        <w:rPr>
          <w:i w:val="1"/>
          <w:color w:val="2e2e2e"/>
          <w:highlight w:val="white"/>
          <w:rtl w:val="0"/>
        </w:rPr>
        <w:t xml:space="preserve">P</w:t>
      </w:r>
      <w:r w:rsidDel="00000000" w:rsidR="00000000" w:rsidRPr="00000000">
        <w:rPr>
          <w:color w:val="2e2e2e"/>
          <w:highlight w:val="white"/>
          <w:rtl w:val="0"/>
        </w:rPr>
        <w:t xml:space="preserve"> = 0.012) [</w:t>
      </w:r>
      <w:hyperlink r:id="rId12">
        <w:r w:rsidDel="00000000" w:rsidR="00000000" w:rsidRPr="00000000">
          <w:rPr>
            <w:color w:val="642a8f"/>
            <w:highlight w:val="white"/>
            <w:u w:val="single"/>
            <w:rtl w:val="0"/>
          </w:rPr>
          <w:t xml:space="preserve">16</w:t>
        </w:r>
      </w:hyperlink>
      <w:r w:rsidDel="00000000" w:rsidR="00000000" w:rsidRPr="00000000">
        <w:rPr>
          <w:color w:val="2e2e2e"/>
          <w:highlight w:val="white"/>
          <w:rtl w:val="0"/>
        </w:rPr>
        <w:t xml:space="preserve">], and black ethnicity in comparison to Caucasians (HR 1.255; 1.178–1.338, IRR 2.2; </w:t>
      </w:r>
      <w:r w:rsidDel="00000000" w:rsidR="00000000" w:rsidRPr="00000000">
        <w:rPr>
          <w:i w:val="1"/>
          <w:color w:val="2e2e2e"/>
          <w:highlight w:val="white"/>
          <w:rtl w:val="0"/>
        </w:rPr>
        <w:t xml:space="preserve">P</w:t>
      </w:r>
      <w:r w:rsidDel="00000000" w:rsidR="00000000" w:rsidRPr="00000000">
        <w:rPr>
          <w:color w:val="2e2e2e"/>
          <w:highlight w:val="white"/>
          <w:rtl w:val="0"/>
        </w:rPr>
        <w:t xml:space="preserve"> &lt; 0.01; HR 1.5; 1.2–1.8; IRR 1.629; </w:t>
      </w:r>
      <w:r w:rsidDel="00000000" w:rsidR="00000000" w:rsidRPr="00000000">
        <w:rPr>
          <w:i w:val="1"/>
          <w:color w:val="2e2e2e"/>
          <w:highlight w:val="white"/>
          <w:rtl w:val="0"/>
        </w:rPr>
        <w:t xml:space="preserve">P</w:t>
      </w:r>
      <w:r w:rsidDel="00000000" w:rsidR="00000000" w:rsidRPr="00000000">
        <w:rPr>
          <w:color w:val="2e2e2e"/>
          <w:highlight w:val="white"/>
          <w:rtl w:val="0"/>
        </w:rPr>
        <w:t xml:space="preserve"> = 0.004; and IRR 1.37; 1.00–1.88) [</w:t>
      </w:r>
      <w:hyperlink r:id="rId13">
        <w:r w:rsidDel="00000000" w:rsidR="00000000" w:rsidRPr="00000000">
          <w:rPr>
            <w:color w:val="642a8f"/>
            <w:highlight w:val="white"/>
            <w:u w:val="single"/>
            <w:rtl w:val="0"/>
          </w:rPr>
          <w:t xml:space="preserve">14</w:t>
        </w:r>
      </w:hyperlink>
      <w:r w:rsidDel="00000000" w:rsidR="00000000" w:rsidRPr="00000000">
        <w:rPr>
          <w:color w:val="2e2e2e"/>
          <w:highlight w:val="white"/>
          <w:rtl w:val="0"/>
        </w:rPr>
        <w:t xml:space="preserve">, </w:t>
      </w:r>
      <w:hyperlink r:id="rId14">
        <w:r w:rsidDel="00000000" w:rsidR="00000000" w:rsidRPr="00000000">
          <w:rPr>
            <w:color w:val="642a8f"/>
            <w:highlight w:val="white"/>
            <w:u w:val="single"/>
            <w:rtl w:val="0"/>
          </w:rPr>
          <w:t xml:space="preserve">28</w:t>
        </w:r>
      </w:hyperlink>
      <w:r w:rsidDel="00000000" w:rsidR="00000000" w:rsidRPr="00000000">
        <w:rPr>
          <w:color w:val="2e2e2e"/>
          <w:highlight w:val="white"/>
          <w:rtl w:val="0"/>
        </w:rPr>
        <w:t xml:space="preserve">, </w:t>
      </w:r>
      <w:hyperlink r:id="rId15">
        <w:r w:rsidDel="00000000" w:rsidR="00000000" w:rsidRPr="00000000">
          <w:rPr>
            <w:color w:val="642a8f"/>
            <w:highlight w:val="white"/>
            <w:u w:val="single"/>
            <w:rtl w:val="0"/>
          </w:rPr>
          <w:t xml:space="preserve">30</w:t>
        </w:r>
      </w:hyperlink>
      <w:r w:rsidDel="00000000" w:rsidR="00000000" w:rsidRPr="00000000">
        <w:rPr>
          <w:color w:val="2e2e2e"/>
          <w:highlight w:val="white"/>
          <w:rtl w:val="0"/>
        </w:rPr>
        <w:t xml:space="preserve">, </w:t>
      </w:r>
      <w:hyperlink r:id="rId16">
        <w:r w:rsidDel="00000000" w:rsidR="00000000" w:rsidRPr="00000000">
          <w:rPr>
            <w:color w:val="642a8f"/>
            <w:highlight w:val="white"/>
            <w:u w:val="single"/>
            <w:rtl w:val="0"/>
          </w:rPr>
          <w:t xml:space="preserve">37</w:t>
        </w:r>
      </w:hyperlink>
      <w:r w:rsidDel="00000000" w:rsidR="00000000" w:rsidRPr="00000000">
        <w:rPr>
          <w:color w:val="2e2e2e"/>
          <w:highlight w:val="white"/>
          <w:rtl w:val="0"/>
        </w:rPr>
        <w:t xml:space="preserve">, </w:t>
      </w:r>
      <w:hyperlink r:id="rId17">
        <w:r w:rsidDel="00000000" w:rsidR="00000000" w:rsidRPr="00000000">
          <w:rPr>
            <w:color w:val="642a8f"/>
            <w:highlight w:val="white"/>
            <w:u w:val="single"/>
            <w:rtl w:val="0"/>
          </w:rPr>
          <w:t xml:space="preserve">40</w:t>
        </w:r>
      </w:hyperlink>
      <w:r w:rsidDel="00000000" w:rsidR="00000000" w:rsidRPr="00000000">
        <w:rPr>
          <w:color w:val="2e2e2e"/>
          <w:highlight w:val="white"/>
          <w:rtl w:val="0"/>
        </w:rPr>
        <w:t xml:space="preserve">]. Lim et al. [</w:t>
      </w:r>
      <w:hyperlink r:id="rId18">
        <w:r w:rsidDel="00000000" w:rsidR="00000000" w:rsidRPr="00000000">
          <w:rPr>
            <w:color w:val="642a8f"/>
            <w:highlight w:val="white"/>
            <w:u w:val="single"/>
            <w:rtl w:val="0"/>
          </w:rPr>
          <w:t xml:space="preserve">15</w:t>
        </w:r>
      </w:hyperlink>
      <w:r w:rsidDel="00000000" w:rsidR="00000000" w:rsidRPr="00000000">
        <w:rPr>
          <w:color w:val="2e2e2e"/>
          <w:highlight w:val="white"/>
          <w:rtl w:val="0"/>
        </w:rPr>
        <w:t xml:space="preserve">] reported not only an increased risk for peritonitis in indigenous people who lived far away from their treatment center (“remote”), but also a higher risk for technique failure, all-cause and peritonitis-related mortality. African Americans also had a higher risk for peritonitis (IRR 1.36; 1.04–1.77) [</w:t>
      </w:r>
      <w:hyperlink r:id="rId19">
        <w:r w:rsidDel="00000000" w:rsidR="00000000" w:rsidRPr="00000000">
          <w:rPr>
            <w:color w:val="642a8f"/>
            <w:highlight w:val="white"/>
            <w:u w:val="single"/>
            <w:rtl w:val="0"/>
          </w:rPr>
          <w:t xml:space="preserve">20</w:t>
        </w:r>
      </w:hyperlink>
      <w:r w:rsidDel="00000000" w:rsidR="00000000" w:rsidRPr="00000000">
        <w:rPr>
          <w:color w:val="2e2e2e"/>
          <w:highlight w:val="white"/>
          <w:rtl w:val="0"/>
        </w:rPr>
        <w:t xml:space="preserve">]. </w:t>
      </w:r>
    </w:p>
    <w:p w:rsidR="00000000" w:rsidDel="00000000" w:rsidP="00000000" w:rsidRDefault="00000000" w:rsidRPr="00000000" w14:paraId="00000008">
      <w:pPr>
        <w:rPr>
          <w:color w:val="2e2e2e"/>
          <w:highlight w:val="white"/>
        </w:rPr>
      </w:pPr>
      <w:hyperlink r:id="rId20">
        <w:r w:rsidDel="00000000" w:rsidR="00000000" w:rsidRPr="00000000">
          <w:rPr>
            <w:color w:val="1155cc"/>
            <w:highlight w:val="white"/>
            <w:u w:val="single"/>
            <w:rtl w:val="0"/>
          </w:rPr>
          <w:t xml:space="preserve">https://www.ncbi.nlm.nih.gov/pmc/articles/PMC3539329/</w:t>
        </w:r>
      </w:hyperlink>
      <w:r w:rsidDel="00000000" w:rsidR="00000000" w:rsidRPr="00000000">
        <w:rPr>
          <w:rtl w:val="0"/>
        </w:rPr>
      </w:r>
    </w:p>
    <w:p w:rsidR="00000000" w:rsidDel="00000000" w:rsidP="00000000" w:rsidRDefault="00000000" w:rsidRPr="00000000" w14:paraId="00000009">
      <w:pPr>
        <w:rPr>
          <w:color w:val="2e2e2e"/>
          <w:highlight w:val="white"/>
        </w:rPr>
      </w:pPr>
      <w:r w:rsidDel="00000000" w:rsidR="00000000" w:rsidRPr="00000000">
        <w:rPr>
          <w:rtl w:val="0"/>
        </w:rPr>
      </w:r>
    </w:p>
    <w:p w:rsidR="00000000" w:rsidDel="00000000" w:rsidP="00000000" w:rsidRDefault="00000000" w:rsidRPr="00000000" w14:paraId="0000000A">
      <w:pPr>
        <w:rPr>
          <w:color w:val="2e2e2e"/>
          <w:highlight w:val="white"/>
        </w:rPr>
      </w:pPr>
      <w:r w:rsidDel="00000000" w:rsidR="00000000" w:rsidRPr="00000000">
        <w:rPr>
          <w:rtl w:val="0"/>
        </w:rPr>
      </w:r>
    </w:p>
    <w:p w:rsidR="00000000" w:rsidDel="00000000" w:rsidP="00000000" w:rsidRDefault="00000000" w:rsidRPr="00000000" w14:paraId="0000000B">
      <w:pPr>
        <w:rPr>
          <w:color w:val="2e2e2e"/>
          <w:highlight w:val="white"/>
        </w:rPr>
      </w:pPr>
      <w:r w:rsidDel="00000000" w:rsidR="00000000" w:rsidRPr="00000000">
        <w:rPr>
          <w:color w:val="2e2e2e"/>
          <w:highlight w:val="white"/>
          <w:rtl w:val="0"/>
        </w:rPr>
        <w:t xml:space="preserve">The time to the initial</w:t>
      </w:r>
    </w:p>
    <w:p w:rsidR="00000000" w:rsidDel="00000000" w:rsidP="00000000" w:rsidRDefault="00000000" w:rsidRPr="00000000" w14:paraId="0000000C">
      <w:pPr>
        <w:rPr>
          <w:color w:val="2e2e2e"/>
          <w:highlight w:val="white"/>
        </w:rPr>
      </w:pPr>
      <w:r w:rsidDel="00000000" w:rsidR="00000000" w:rsidRPr="00000000">
        <w:rPr>
          <w:color w:val="2e2e2e"/>
          <w:highlight w:val="white"/>
          <w:rtl w:val="0"/>
        </w:rPr>
        <w:t xml:space="preserve">episode was 21 months for African Americans versus 32 months for whites</w:t>
      </w:r>
    </w:p>
    <w:p w:rsidR="00000000" w:rsidDel="00000000" w:rsidP="00000000" w:rsidRDefault="00000000" w:rsidRPr="00000000" w14:paraId="0000000D">
      <w:pPr>
        <w:rPr>
          <w:color w:val="2e2e2e"/>
          <w:highlight w:val="white"/>
        </w:rPr>
      </w:pPr>
      <w:r w:rsidDel="00000000" w:rsidR="00000000" w:rsidRPr="00000000">
        <w:rPr>
          <w:color w:val="2e2e2e"/>
          <w:highlight w:val="white"/>
          <w:rtl w:val="0"/>
        </w:rPr>
        <w:t xml:space="preserve">(P &lt;</w:t>
      </w:r>
    </w:p>
    <w:p w:rsidR="00000000" w:rsidDel="00000000" w:rsidP="00000000" w:rsidRDefault="00000000" w:rsidRPr="00000000" w14:paraId="0000000E">
      <w:pPr>
        <w:rPr>
          <w:color w:val="2e2e2e"/>
          <w:highlight w:val="white"/>
        </w:rPr>
      </w:pPr>
      <w:r w:rsidDel="00000000" w:rsidR="00000000" w:rsidRPr="00000000">
        <w:rPr>
          <w:color w:val="2e2e2e"/>
          <w:highlight w:val="white"/>
          <w:rtl w:val="0"/>
        </w:rPr>
        <w:t xml:space="preserve">0.001).</w:t>
      </w:r>
    </w:p>
    <w:p w:rsidR="00000000" w:rsidDel="00000000" w:rsidP="00000000" w:rsidRDefault="00000000" w:rsidRPr="00000000" w14:paraId="0000000F">
      <w:pPr>
        <w:rPr>
          <w:color w:val="2e2e2e"/>
          <w:highlight w:val="white"/>
        </w:rPr>
      </w:pPr>
      <w:r w:rsidDel="00000000" w:rsidR="00000000" w:rsidRPr="00000000">
        <w:rPr>
          <w:color w:val="2e2e2e"/>
          <w:highlight w:val="white"/>
          <w:rtl w:val="0"/>
        </w:rPr>
        <w:t xml:space="preserve">Even after adjusting for other factors, African Americans</w:t>
      </w:r>
    </w:p>
    <w:p w:rsidR="00000000" w:rsidDel="00000000" w:rsidP="00000000" w:rsidRDefault="00000000" w:rsidRPr="00000000" w14:paraId="00000010">
      <w:pPr>
        <w:rPr>
          <w:color w:val="2e2e2e"/>
          <w:highlight w:val="white"/>
        </w:rPr>
      </w:pPr>
      <w:r w:rsidDel="00000000" w:rsidR="00000000" w:rsidRPr="00000000">
        <w:rPr>
          <w:color w:val="2e2e2e"/>
          <w:highlight w:val="white"/>
          <w:rtl w:val="0"/>
        </w:rPr>
        <w:t xml:space="preserve">were significantly more likely to develop peritonitis (1.5; 1.2 to 1.8). Thus,</w:t>
      </w:r>
    </w:p>
    <w:p w:rsidR="00000000" w:rsidDel="00000000" w:rsidP="00000000" w:rsidRDefault="00000000" w:rsidRPr="00000000" w14:paraId="00000011">
      <w:pPr>
        <w:rPr>
          <w:color w:val="2e2e2e"/>
          <w:highlight w:val="white"/>
        </w:rPr>
      </w:pPr>
      <w:r w:rsidDel="00000000" w:rsidR="00000000" w:rsidRPr="00000000">
        <w:rPr>
          <w:color w:val="2e2e2e"/>
          <w:highlight w:val="white"/>
          <w:rtl w:val="0"/>
        </w:rPr>
        <w:t xml:space="preserve">the increased risk of peritonitis of African American patients treated by</w:t>
      </w:r>
    </w:p>
    <w:p w:rsidR="00000000" w:rsidDel="00000000" w:rsidP="00000000" w:rsidRDefault="00000000" w:rsidRPr="00000000" w14:paraId="00000012">
      <w:pPr>
        <w:rPr>
          <w:color w:val="2e2e2e"/>
          <w:highlight w:val="white"/>
        </w:rPr>
      </w:pPr>
      <w:r w:rsidDel="00000000" w:rsidR="00000000" w:rsidRPr="00000000">
        <w:rPr>
          <w:color w:val="2e2e2e"/>
          <w:highlight w:val="white"/>
          <w:rtl w:val="0"/>
        </w:rPr>
        <w:t xml:space="preserve">CAPD is independent of other demographic, socioeconomic and comor-</w:t>
      </w:r>
    </w:p>
    <w:p w:rsidR="00000000" w:rsidDel="00000000" w:rsidP="00000000" w:rsidRDefault="00000000" w:rsidRPr="00000000" w14:paraId="00000013">
      <w:pPr>
        <w:rPr>
          <w:color w:val="2e2e2e"/>
          <w:highlight w:val="white"/>
        </w:rPr>
      </w:pPr>
      <w:r w:rsidDel="00000000" w:rsidR="00000000" w:rsidRPr="00000000">
        <w:rPr>
          <w:color w:val="2e2e2e"/>
          <w:highlight w:val="white"/>
          <w:rtl w:val="0"/>
        </w:rPr>
        <w:t xml:space="preserve">bid characteristics.</w:t>
      </w:r>
    </w:p>
    <w:p w:rsidR="00000000" w:rsidDel="00000000" w:rsidP="00000000" w:rsidRDefault="00000000" w:rsidRPr="00000000" w14:paraId="00000014">
      <w:pPr>
        <w:rPr>
          <w:color w:val="2e2e2e"/>
          <w:highlight w:val="white"/>
        </w:rPr>
      </w:pPr>
      <w:r w:rsidDel="00000000" w:rsidR="00000000" w:rsidRPr="00000000">
        <w:rPr>
          <w:color w:val="2e2e2e"/>
          <w:highlight w:val="white"/>
          <w:rtl w:val="0"/>
        </w:rPr>
        <w:t xml:space="preserve">. Afri-</w:t>
      </w:r>
    </w:p>
    <w:p w:rsidR="00000000" w:rsidDel="00000000" w:rsidP="00000000" w:rsidRDefault="00000000" w:rsidRPr="00000000" w14:paraId="00000015">
      <w:pPr>
        <w:rPr>
          <w:color w:val="2e2e2e"/>
          <w:highlight w:val="white"/>
        </w:rPr>
      </w:pPr>
      <w:r w:rsidDel="00000000" w:rsidR="00000000" w:rsidRPr="00000000">
        <w:rPr>
          <w:color w:val="2e2e2e"/>
          <w:highlight w:val="white"/>
          <w:rtl w:val="0"/>
        </w:rPr>
        <w:t xml:space="preserve">can-Americans were 60% (RR =</w:t>
      </w:r>
    </w:p>
    <w:p w:rsidR="00000000" w:rsidDel="00000000" w:rsidP="00000000" w:rsidRDefault="00000000" w:rsidRPr="00000000" w14:paraId="00000016">
      <w:pPr>
        <w:rPr>
          <w:color w:val="2e2e2e"/>
          <w:highlight w:val="white"/>
        </w:rPr>
      </w:pPr>
      <w:r w:rsidDel="00000000" w:rsidR="00000000" w:rsidRPr="00000000">
        <w:rPr>
          <w:color w:val="2e2e2e"/>
          <w:highlight w:val="white"/>
          <w:rtl w:val="0"/>
        </w:rPr>
        <w:t xml:space="preserve">1.6)</w:t>
      </w:r>
    </w:p>
    <w:p w:rsidR="00000000" w:rsidDel="00000000" w:rsidP="00000000" w:rsidRDefault="00000000" w:rsidRPr="00000000" w14:paraId="00000017">
      <w:pPr>
        <w:rPr>
          <w:color w:val="2e2e2e"/>
          <w:highlight w:val="white"/>
        </w:rPr>
      </w:pPr>
      <w:r w:rsidDel="00000000" w:rsidR="00000000" w:rsidRPr="00000000">
        <w:rPr>
          <w:color w:val="2e2e2e"/>
          <w:highlight w:val="white"/>
          <w:rtl w:val="0"/>
        </w:rPr>
        <w:t xml:space="preserve">more likely than whites to</w:t>
      </w:r>
    </w:p>
    <w:p w:rsidR="00000000" w:rsidDel="00000000" w:rsidP="00000000" w:rsidRDefault="00000000" w:rsidRPr="00000000" w14:paraId="00000018">
      <w:pPr>
        <w:rPr>
          <w:color w:val="2e2e2e"/>
          <w:highlight w:val="white"/>
        </w:rPr>
      </w:pPr>
      <w:r w:rsidDel="00000000" w:rsidR="00000000" w:rsidRPr="00000000">
        <w:rPr>
          <w:color w:val="2e2e2e"/>
          <w:highlight w:val="white"/>
          <w:rtl w:val="0"/>
        </w:rPr>
        <w:t xml:space="preserve">develop peritonitis. The time to an initial episode of peritonitis</w:t>
      </w:r>
    </w:p>
    <w:p w:rsidR="00000000" w:rsidDel="00000000" w:rsidP="00000000" w:rsidRDefault="00000000" w:rsidRPr="00000000" w14:paraId="00000019">
      <w:pPr>
        <w:rPr>
          <w:color w:val="2e2e2e"/>
          <w:highlight w:val="white"/>
        </w:rPr>
      </w:pPr>
      <w:r w:rsidDel="00000000" w:rsidR="00000000" w:rsidRPr="00000000">
        <w:rPr>
          <w:color w:val="2e2e2e"/>
          <w:highlight w:val="white"/>
          <w:rtl w:val="0"/>
        </w:rPr>
        <w:t xml:space="preserve">was 21 months for African-American and 32 months for white</w:t>
      </w:r>
    </w:p>
    <w:p w:rsidR="00000000" w:rsidDel="00000000" w:rsidP="00000000" w:rsidRDefault="00000000" w:rsidRPr="00000000" w14:paraId="0000001A">
      <w:pPr>
        <w:rPr>
          <w:color w:val="2e2e2e"/>
          <w:highlight w:val="white"/>
        </w:rPr>
      </w:pPr>
      <w:r w:rsidDel="00000000" w:rsidR="00000000" w:rsidRPr="00000000">
        <w:rPr>
          <w:color w:val="2e2e2e"/>
          <w:highlight w:val="white"/>
          <w:rtl w:val="0"/>
        </w:rPr>
        <w:t xml:space="preserve">patients (P C 0.001).</w:t>
      </w:r>
    </w:p>
    <w:p w:rsidR="00000000" w:rsidDel="00000000" w:rsidP="00000000" w:rsidRDefault="00000000" w:rsidRPr="00000000" w14:paraId="0000001B">
      <w:pPr>
        <w:rPr>
          <w:color w:val="2e2e2e"/>
          <w:highlight w:val="white"/>
        </w:rPr>
      </w:pPr>
      <w:r w:rsidDel="00000000" w:rsidR="00000000" w:rsidRPr="00000000">
        <w:rPr>
          <w:color w:val="2e2e2e"/>
          <w:highlight w:val="white"/>
          <w:rtl w:val="0"/>
        </w:rPr>
        <w:t xml:space="preserve">Most of the pat</w:t>
      </w:r>
    </w:p>
    <w:p w:rsidR="00000000" w:rsidDel="00000000" w:rsidP="00000000" w:rsidRDefault="00000000" w:rsidRPr="00000000" w14:paraId="0000001C">
      <w:pPr>
        <w:rPr>
          <w:color w:val="2e2e2e"/>
          <w:highlight w:val="white"/>
        </w:rPr>
      </w:pPr>
      <w:r w:rsidDel="00000000" w:rsidR="00000000" w:rsidRPr="00000000">
        <w:rPr>
          <w:rtl w:val="0"/>
        </w:rPr>
      </w:r>
    </w:p>
    <w:p w:rsidR="00000000" w:rsidDel="00000000" w:rsidP="00000000" w:rsidRDefault="00000000" w:rsidRPr="00000000" w14:paraId="0000001D">
      <w:pPr>
        <w:rPr>
          <w:color w:val="2e2e2e"/>
          <w:highlight w:val="white"/>
        </w:rPr>
      </w:pPr>
      <w:hyperlink r:id="rId21">
        <w:r w:rsidDel="00000000" w:rsidR="00000000" w:rsidRPr="00000000">
          <w:rPr>
            <w:color w:val="1155cc"/>
            <w:highlight w:val="white"/>
            <w:u w:val="single"/>
            <w:rtl w:val="0"/>
          </w:rPr>
          <w:t xml:space="preserve">https://reader.elsevier.com/reader/sd/pii/S0085253815586912?token=3805DDFA89CB9125C1A82E755016EC3876FC55082B2C76966266DDB8D36D8517F819CE9D6D05875A1C80CE56BD9B6480</w:t>
        </w:r>
      </w:hyperlink>
      <w:r w:rsidDel="00000000" w:rsidR="00000000" w:rsidRPr="00000000">
        <w:rPr>
          <w:rtl w:val="0"/>
        </w:rPr>
      </w:r>
    </w:p>
    <w:p w:rsidR="00000000" w:rsidDel="00000000" w:rsidP="00000000" w:rsidRDefault="00000000" w:rsidRPr="00000000" w14:paraId="0000001E">
      <w:pPr>
        <w:rPr>
          <w:color w:val="2e2e2e"/>
          <w:highlight w:val="white"/>
        </w:rPr>
      </w:pPr>
      <w:r w:rsidDel="00000000" w:rsidR="00000000" w:rsidRPr="00000000">
        <w:rPr>
          <w:rtl w:val="0"/>
        </w:rPr>
      </w:r>
    </w:p>
    <w:p w:rsidR="00000000" w:rsidDel="00000000" w:rsidP="00000000" w:rsidRDefault="00000000" w:rsidRPr="00000000" w14:paraId="0000001F">
      <w:pPr>
        <w:rPr>
          <w:color w:val="2e2e2e"/>
          <w:highlight w:val="white"/>
        </w:rPr>
      </w:pPr>
      <w:r w:rsidDel="00000000" w:rsidR="00000000" w:rsidRPr="00000000">
        <w:rPr>
          <w:color w:val="2e2e2e"/>
          <w:highlight w:val="white"/>
          <w:rtl w:val="0"/>
        </w:rPr>
        <w:t xml:space="preserve">Information from USRDS</w:t>
      </w:r>
    </w:p>
    <w:p w:rsidR="00000000" w:rsidDel="00000000" w:rsidP="00000000" w:rsidRDefault="00000000" w:rsidRPr="00000000" w14:paraId="00000020">
      <w:pPr>
        <w:rPr>
          <w:color w:val="2e2e2e"/>
          <w:sz w:val="21"/>
          <w:szCs w:val="21"/>
          <w:highlight w:val="white"/>
        </w:rPr>
      </w:pPr>
      <w:r w:rsidDel="00000000" w:rsidR="00000000" w:rsidRPr="00000000">
        <w:rPr>
          <w:color w:val="2e2e2e"/>
          <w:sz w:val="21"/>
          <w:szCs w:val="21"/>
          <w:highlight w:val="white"/>
          <w:rtl w:val="0"/>
        </w:rPr>
        <w:t xml:space="preserve">In 2016, there were 124,675 newly reported cases of ESRD; the unadjusted (crude) incidence rate was 373.4 per million/year</w:t>
      </w:r>
    </w:p>
    <w:p w:rsidR="00000000" w:rsidDel="00000000" w:rsidP="00000000" w:rsidRDefault="00000000" w:rsidRPr="00000000" w14:paraId="00000021">
      <w:pPr>
        <w:rPr>
          <w:color w:val="2e2e2e"/>
          <w:sz w:val="21"/>
          <w:szCs w:val="21"/>
          <w:highlight w:val="white"/>
        </w:rPr>
      </w:pPr>
      <w:r w:rsidDel="00000000" w:rsidR="00000000" w:rsidRPr="00000000">
        <w:rPr>
          <w:color w:val="2e2e2e"/>
          <w:sz w:val="21"/>
          <w:szCs w:val="21"/>
          <w:highlight w:val="white"/>
          <w:rtl w:val="0"/>
        </w:rPr>
        <w:t xml:space="preserve">On December 31, 2016, there were 726,331 prevalent cases of ESRD; the crude prevalence was 2,160.7 per million in the U.S. population</w:t>
      </w:r>
    </w:p>
    <w:p w:rsidR="00000000" w:rsidDel="00000000" w:rsidP="00000000" w:rsidRDefault="00000000" w:rsidRPr="00000000" w14:paraId="00000022">
      <w:pPr>
        <w:rPr>
          <w:color w:val="2e2e2e"/>
          <w:sz w:val="21"/>
          <w:szCs w:val="21"/>
          <w:highlight w:val="white"/>
        </w:rPr>
      </w:pPr>
      <w:r w:rsidDel="00000000" w:rsidR="00000000" w:rsidRPr="00000000">
        <w:rPr>
          <w:color w:val="2e2e2e"/>
          <w:sz w:val="21"/>
          <w:szCs w:val="21"/>
          <w:highlight w:val="white"/>
          <w:rtl w:val="0"/>
        </w:rPr>
        <w:t xml:space="preserve">The number of prevalent ESRD cases has continued to rise by about 20,000 cases per year, but this is mostly due to people living longer -- only a small percentage is due to the increase in diagnosis of ESRD</w:t>
      </w:r>
    </w:p>
    <w:p w:rsidR="00000000" w:rsidDel="00000000" w:rsidP="00000000" w:rsidRDefault="00000000" w:rsidRPr="00000000" w14:paraId="00000023">
      <w:pPr>
        <w:rPr>
          <w:color w:val="2e2e2e"/>
          <w:sz w:val="21"/>
          <w:szCs w:val="21"/>
          <w:highlight w:val="white"/>
        </w:rPr>
      </w:pPr>
      <w:r w:rsidDel="00000000" w:rsidR="00000000" w:rsidRPr="00000000">
        <w:rPr>
          <w:color w:val="2e2e2e"/>
          <w:sz w:val="21"/>
          <w:szCs w:val="21"/>
          <w:highlight w:val="white"/>
          <w:rtl w:val="0"/>
        </w:rPr>
        <w:t xml:space="preserve">In 2016, 87.3% of incident individuals began renal replacement therapy with hemodialysis (HD), 9.7% started with peritoneal dialysis (PD), and 2.8% received a preemptive kidney transplant</w:t>
      </w:r>
    </w:p>
    <w:p w:rsidR="00000000" w:rsidDel="00000000" w:rsidP="00000000" w:rsidRDefault="00000000" w:rsidRPr="00000000" w14:paraId="00000024">
      <w:pPr>
        <w:rPr>
          <w:color w:val="2e2e2e"/>
          <w:sz w:val="21"/>
          <w:szCs w:val="21"/>
          <w:highlight w:val="white"/>
        </w:rPr>
      </w:pPr>
      <w:r w:rsidDel="00000000" w:rsidR="00000000" w:rsidRPr="00000000">
        <w:rPr>
          <w:color w:val="2e2e2e"/>
          <w:sz w:val="21"/>
          <w:szCs w:val="21"/>
          <w:highlight w:val="white"/>
          <w:rtl w:val="0"/>
        </w:rPr>
        <w:tab/>
        <w:t xml:space="preserve">Note - HHD was about 2-3%</w:t>
      </w:r>
    </w:p>
    <w:p w:rsidR="00000000" w:rsidDel="00000000" w:rsidP="00000000" w:rsidRDefault="00000000" w:rsidRPr="00000000" w14:paraId="00000025">
      <w:pPr>
        <w:rPr>
          <w:color w:val="2e2e2e"/>
          <w:sz w:val="21"/>
          <w:szCs w:val="21"/>
          <w:highlight w:val="white"/>
        </w:rPr>
      </w:pPr>
      <w:r w:rsidDel="00000000" w:rsidR="00000000" w:rsidRPr="00000000">
        <w:rPr>
          <w:rtl w:val="0"/>
        </w:rPr>
      </w:r>
    </w:p>
    <w:p w:rsidR="00000000" w:rsidDel="00000000" w:rsidP="00000000" w:rsidRDefault="00000000" w:rsidRPr="00000000" w14:paraId="00000026">
      <w:pPr>
        <w:rPr>
          <w:color w:val="2e2e2e"/>
          <w:sz w:val="21"/>
          <w:szCs w:val="21"/>
          <w:highlight w:val="white"/>
        </w:rPr>
      </w:pPr>
      <w:r w:rsidDel="00000000" w:rsidR="00000000" w:rsidRPr="00000000">
        <w:rPr>
          <w:color w:val="2e2e2e"/>
          <w:sz w:val="21"/>
          <w:szCs w:val="21"/>
          <w:highlight w:val="white"/>
          <w:rtl w:val="0"/>
        </w:rPr>
        <w:t xml:space="preserve">According to the executive order, the goal is to have 80% of new ESRD patients receiving home dialysis is 2025</w:t>
      </w:r>
    </w:p>
    <w:p w:rsidR="00000000" w:rsidDel="00000000" w:rsidP="00000000" w:rsidRDefault="00000000" w:rsidRPr="00000000" w14:paraId="00000027">
      <w:pPr>
        <w:rPr>
          <w:color w:val="2e2e2e"/>
          <w:sz w:val="21"/>
          <w:szCs w:val="21"/>
          <w:highlight w:val="white"/>
        </w:rPr>
      </w:pPr>
      <w:r w:rsidDel="00000000" w:rsidR="00000000" w:rsidRPr="00000000">
        <w:rPr>
          <w:color w:val="2e2e2e"/>
          <w:sz w:val="21"/>
          <w:szCs w:val="21"/>
          <w:highlight w:val="white"/>
          <w:rtl w:val="0"/>
        </w:rPr>
        <w:tab/>
        <w:t xml:space="preserve">Assuming our new yearly ESRD population in 2025 is 125K</w:t>
      </w:r>
    </w:p>
    <w:p w:rsidR="00000000" w:rsidDel="00000000" w:rsidP="00000000" w:rsidRDefault="00000000" w:rsidRPr="00000000" w14:paraId="00000028">
      <w:pPr>
        <w:ind w:left="720" w:firstLine="720"/>
        <w:rPr>
          <w:color w:val="2e2e2e"/>
          <w:sz w:val="21"/>
          <w:szCs w:val="21"/>
          <w:highlight w:val="white"/>
        </w:rPr>
      </w:pPr>
      <w:r w:rsidDel="00000000" w:rsidR="00000000" w:rsidRPr="00000000">
        <w:rPr>
          <w:color w:val="2e2e2e"/>
          <w:sz w:val="21"/>
          <w:szCs w:val="21"/>
          <w:highlight w:val="white"/>
          <w:rtl w:val="0"/>
        </w:rPr>
        <w:t xml:space="preserve">100K of these patients will be receiving some type of home dialysis.  </w:t>
      </w:r>
    </w:p>
    <w:p w:rsidR="00000000" w:rsidDel="00000000" w:rsidP="00000000" w:rsidRDefault="00000000" w:rsidRPr="00000000" w14:paraId="00000029">
      <w:pPr>
        <w:ind w:left="720" w:firstLine="720"/>
        <w:rPr>
          <w:color w:val="2e2e2e"/>
          <w:sz w:val="21"/>
          <w:szCs w:val="21"/>
          <w:highlight w:val="white"/>
        </w:rPr>
      </w:pPr>
      <w:r w:rsidDel="00000000" w:rsidR="00000000" w:rsidRPr="00000000">
        <w:rPr>
          <w:color w:val="2e2e2e"/>
          <w:sz w:val="21"/>
          <w:szCs w:val="21"/>
          <w:highlight w:val="white"/>
          <w:rtl w:val="0"/>
        </w:rPr>
        <w:t xml:space="preserve">A PD-assimilated population</w:t>
      </w:r>
    </w:p>
    <w:p w:rsidR="00000000" w:rsidDel="00000000" w:rsidP="00000000" w:rsidRDefault="00000000" w:rsidRPr="00000000" w14:paraId="0000002A">
      <w:pPr>
        <w:rPr>
          <w:color w:val="2e2e2e"/>
          <w:sz w:val="21"/>
          <w:szCs w:val="21"/>
          <w:highlight w:val="white"/>
        </w:rPr>
      </w:pPr>
      <w:r w:rsidDel="00000000" w:rsidR="00000000" w:rsidRPr="00000000">
        <w:rPr>
          <w:color w:val="2e2e2e"/>
          <w:sz w:val="21"/>
          <w:szCs w:val="21"/>
          <w:highlight w:val="white"/>
          <w:rtl w:val="0"/>
        </w:rPr>
        <w:tab/>
        <w:t xml:space="preserve">PD is the dominant form of home dialysis, </w:t>
      </w:r>
    </w:p>
    <w:p w:rsidR="00000000" w:rsidDel="00000000" w:rsidP="00000000" w:rsidRDefault="00000000" w:rsidRPr="00000000" w14:paraId="0000002B">
      <w:pPr>
        <w:ind w:firstLine="720"/>
        <w:rPr>
          <w:color w:val="2e2e2e"/>
          <w:sz w:val="21"/>
          <w:szCs w:val="21"/>
          <w:highlight w:val="white"/>
        </w:rPr>
      </w:pPr>
      <w:r w:rsidDel="00000000" w:rsidR="00000000" w:rsidRPr="00000000">
        <w:rPr>
          <w:color w:val="2e2e2e"/>
          <w:sz w:val="21"/>
          <w:szCs w:val="21"/>
          <w:highlight w:val="white"/>
          <w:rtl w:val="0"/>
        </w:rPr>
        <w:t xml:space="preserve">Only about 2-3% of new patients choose HHD.</w:t>
      </w:r>
    </w:p>
    <w:p w:rsidR="00000000" w:rsidDel="00000000" w:rsidP="00000000" w:rsidRDefault="00000000" w:rsidRPr="00000000" w14:paraId="0000002C">
      <w:pPr>
        <w:rPr>
          <w:color w:val="2e2e2e"/>
          <w:sz w:val="21"/>
          <w:szCs w:val="21"/>
          <w:highlight w:val="white"/>
        </w:rPr>
      </w:pPr>
      <w:r w:rsidDel="00000000" w:rsidR="00000000" w:rsidRPr="00000000">
        <w:rPr>
          <w:color w:val="2e2e2e"/>
          <w:sz w:val="21"/>
          <w:szCs w:val="21"/>
          <w:highlight w:val="white"/>
          <w:rtl w:val="0"/>
        </w:rPr>
        <w:tab/>
        <w:t xml:space="preserve">Let us assume that approximately 90% of home dialysis patients choose PD</w:t>
      </w:r>
    </w:p>
    <w:p w:rsidR="00000000" w:rsidDel="00000000" w:rsidP="00000000" w:rsidRDefault="00000000" w:rsidRPr="00000000" w14:paraId="0000002D">
      <w:pPr>
        <w:rPr>
          <w:color w:val="2e2e2e"/>
          <w:sz w:val="21"/>
          <w:szCs w:val="21"/>
          <w:highlight w:val="white"/>
        </w:rPr>
      </w:pPr>
      <w:r w:rsidDel="00000000" w:rsidR="00000000" w:rsidRPr="00000000">
        <w:rPr>
          <w:color w:val="2e2e2e"/>
          <w:sz w:val="21"/>
          <w:szCs w:val="21"/>
          <w:highlight w:val="white"/>
          <w:rtl w:val="0"/>
        </w:rPr>
        <w:tab/>
        <w:t xml:space="preserve">Final patient populating choosing PD as their first RRT is </w:t>
      </w:r>
      <w:r w:rsidDel="00000000" w:rsidR="00000000" w:rsidRPr="00000000">
        <w:rPr>
          <w:b w:val="1"/>
          <w:color w:val="2e2e2e"/>
          <w:sz w:val="21"/>
          <w:szCs w:val="21"/>
          <w:highlight w:val="white"/>
          <w:rtl w:val="0"/>
        </w:rPr>
        <w:t xml:space="preserve">~90K</w:t>
      </w:r>
      <w:r w:rsidDel="00000000" w:rsidR="00000000" w:rsidRPr="00000000">
        <w:rPr>
          <w:color w:val="2e2e2e"/>
          <w:sz w:val="21"/>
          <w:szCs w:val="21"/>
          <w:highlight w:val="white"/>
          <w:rtl w:val="0"/>
        </w:rPr>
        <w:t xml:space="preserve"> assuming ESRD rates are constant</w:t>
      </w:r>
    </w:p>
    <w:p w:rsidR="00000000" w:rsidDel="00000000" w:rsidP="00000000" w:rsidRDefault="00000000" w:rsidRPr="00000000" w14:paraId="0000002E">
      <w:pPr>
        <w:rPr>
          <w:color w:val="2e2e2e"/>
          <w:sz w:val="21"/>
          <w:szCs w:val="21"/>
          <w:highlight w:val="white"/>
        </w:rPr>
      </w:pPr>
      <w:r w:rsidDel="00000000" w:rsidR="00000000" w:rsidRPr="00000000">
        <w:rPr>
          <w:color w:val="2e2e2e"/>
          <w:sz w:val="21"/>
          <w:szCs w:val="21"/>
          <w:highlight w:val="white"/>
          <w:rtl w:val="0"/>
        </w:rPr>
        <w:tab/>
        <w:t xml:space="preserve">In a PD-assimilated population, there may be more than 500K using PD</w:t>
      </w:r>
    </w:p>
    <w:p w:rsidR="00000000" w:rsidDel="00000000" w:rsidP="00000000" w:rsidRDefault="00000000" w:rsidRPr="00000000" w14:paraId="0000002F">
      <w:pPr>
        <w:rPr>
          <w:color w:val="2e2e2e"/>
          <w:sz w:val="21"/>
          <w:szCs w:val="21"/>
          <w:highlight w:val="white"/>
        </w:rPr>
      </w:pPr>
      <w:r w:rsidDel="00000000" w:rsidR="00000000" w:rsidRPr="00000000">
        <w:rPr>
          <w:color w:val="2e2e2e"/>
          <w:sz w:val="21"/>
          <w:szCs w:val="21"/>
          <w:highlight w:val="white"/>
          <w:rtl w:val="0"/>
        </w:rPr>
        <w:tab/>
        <w:t xml:space="preserve">Versus the current number of PD patients @ 50K</w:t>
      </w:r>
    </w:p>
    <w:p w:rsidR="00000000" w:rsidDel="00000000" w:rsidP="00000000" w:rsidRDefault="00000000" w:rsidRPr="00000000" w14:paraId="00000030">
      <w:pPr>
        <w:rPr>
          <w:color w:val="2e2e2e"/>
          <w:sz w:val="21"/>
          <w:szCs w:val="21"/>
          <w:highlight w:val="white"/>
        </w:rPr>
      </w:pPr>
      <w:r w:rsidDel="00000000" w:rsidR="00000000" w:rsidRPr="00000000">
        <w:rPr>
          <w:rtl w:val="0"/>
        </w:rPr>
      </w:r>
    </w:p>
    <w:p w:rsidR="00000000" w:rsidDel="00000000" w:rsidP="00000000" w:rsidRDefault="00000000" w:rsidRPr="00000000" w14:paraId="00000031">
      <w:pPr>
        <w:rPr>
          <w:color w:val="2e2e2e"/>
          <w:sz w:val="21"/>
          <w:szCs w:val="21"/>
          <w:highlight w:val="white"/>
        </w:rPr>
      </w:pPr>
      <w:r w:rsidDel="00000000" w:rsidR="00000000" w:rsidRPr="00000000">
        <w:rPr>
          <w:color w:val="2e2e2e"/>
          <w:sz w:val="21"/>
          <w:szCs w:val="21"/>
          <w:highlight w:val="white"/>
          <w:rtl w:val="0"/>
        </w:rPr>
        <w:t xml:space="preserve">Peritonitis rates</w:t>
      </w:r>
    </w:p>
    <w:p w:rsidR="00000000" w:rsidDel="00000000" w:rsidP="00000000" w:rsidRDefault="00000000" w:rsidRPr="00000000" w14:paraId="00000032">
      <w:pPr>
        <w:rPr>
          <w:color w:val="2e2e2e"/>
          <w:sz w:val="21"/>
          <w:szCs w:val="21"/>
          <w:highlight w:val="white"/>
        </w:rPr>
      </w:pPr>
      <w:r w:rsidDel="00000000" w:rsidR="00000000" w:rsidRPr="00000000">
        <w:rPr>
          <w:color w:val="2e2e2e"/>
          <w:sz w:val="21"/>
          <w:szCs w:val="21"/>
          <w:highlight w:val="white"/>
          <w:rtl w:val="0"/>
        </w:rPr>
        <w:tab/>
        <w:t xml:space="preserve">0.4 to 0.7 occurrences of peritonitis per patient per year, or only every 17-30 months</w:t>
      </w:r>
    </w:p>
    <w:p w:rsidR="00000000" w:rsidDel="00000000" w:rsidP="00000000" w:rsidRDefault="00000000" w:rsidRPr="00000000" w14:paraId="00000033">
      <w:pPr>
        <w:rPr>
          <w:color w:val="2e2e2e"/>
          <w:sz w:val="21"/>
          <w:szCs w:val="21"/>
          <w:highlight w:val="white"/>
        </w:rPr>
      </w:pPr>
      <w:r w:rsidDel="00000000" w:rsidR="00000000" w:rsidRPr="00000000">
        <w:rPr>
          <w:color w:val="2e2e2e"/>
          <w:sz w:val="21"/>
          <w:szCs w:val="21"/>
          <w:highlight w:val="white"/>
          <w:rtl w:val="0"/>
        </w:rPr>
        <w:tab/>
        <w:t xml:space="preserve">As the PD patient population grows, so will the number of patients that experience Peritonitis</w:t>
      </w:r>
    </w:p>
    <w:p w:rsidR="00000000" w:rsidDel="00000000" w:rsidP="00000000" w:rsidRDefault="00000000" w:rsidRPr="00000000" w14:paraId="00000034">
      <w:pPr>
        <w:rPr>
          <w:color w:val="2e2e2e"/>
          <w:sz w:val="21"/>
          <w:szCs w:val="21"/>
          <w:highlight w:val="white"/>
        </w:rPr>
      </w:pPr>
      <w:r w:rsidDel="00000000" w:rsidR="00000000" w:rsidRPr="00000000">
        <w:rPr>
          <w:color w:val="2e2e2e"/>
          <w:sz w:val="21"/>
          <w:szCs w:val="21"/>
          <w:highlight w:val="white"/>
          <w:rtl w:val="0"/>
        </w:rPr>
        <w:tab/>
        <w:t xml:space="preserve">In a PD-assimilated population, there may be as many as 200K-350K prospective cases of Peritonitis every year</w:t>
      </w:r>
    </w:p>
    <w:p w:rsidR="00000000" w:rsidDel="00000000" w:rsidP="00000000" w:rsidRDefault="00000000" w:rsidRPr="00000000" w14:paraId="00000035">
      <w:pPr>
        <w:rPr>
          <w:color w:val="2e2e2e"/>
          <w:sz w:val="21"/>
          <w:szCs w:val="21"/>
          <w:highlight w:val="white"/>
        </w:rPr>
      </w:pPr>
      <w:r w:rsidDel="00000000" w:rsidR="00000000" w:rsidRPr="00000000">
        <w:rPr>
          <w:color w:val="2e2e2e"/>
          <w:sz w:val="21"/>
          <w:szCs w:val="21"/>
          <w:highlight w:val="white"/>
          <w:rtl w:val="0"/>
        </w:rPr>
        <w:tab/>
        <w:t xml:space="preserve">Versus the current number of peritonitis occurrences at 20K-35K</w:t>
      </w:r>
    </w:p>
    <w:p w:rsidR="00000000" w:rsidDel="00000000" w:rsidP="00000000" w:rsidRDefault="00000000" w:rsidRPr="00000000" w14:paraId="00000036">
      <w:pPr>
        <w:rPr>
          <w:color w:val="2e2e2e"/>
          <w:sz w:val="21"/>
          <w:szCs w:val="21"/>
          <w:highlight w:val="white"/>
        </w:rPr>
      </w:pPr>
      <w:r w:rsidDel="00000000" w:rsidR="00000000" w:rsidRPr="00000000">
        <w:rPr>
          <w:color w:val="2e2e2e"/>
          <w:sz w:val="21"/>
          <w:szCs w:val="21"/>
          <w:highlight w:val="white"/>
          <w:rtl w:val="0"/>
        </w:rPr>
        <w:tab/>
        <w:t xml:space="preserve">Represents a 10-fold possible increase</w:t>
      </w:r>
    </w:p>
    <w:p w:rsidR="00000000" w:rsidDel="00000000" w:rsidP="00000000" w:rsidRDefault="00000000" w:rsidRPr="00000000" w14:paraId="00000037">
      <w:pPr>
        <w:rPr>
          <w:color w:val="2e2e2e"/>
          <w:sz w:val="21"/>
          <w:szCs w:val="21"/>
          <w:highlight w:val="white"/>
        </w:rPr>
      </w:pPr>
      <w:r w:rsidDel="00000000" w:rsidR="00000000" w:rsidRPr="00000000">
        <w:rPr>
          <w:rtl w:val="0"/>
        </w:rPr>
      </w:r>
    </w:p>
    <w:p w:rsidR="00000000" w:rsidDel="00000000" w:rsidP="00000000" w:rsidRDefault="00000000" w:rsidRPr="00000000" w14:paraId="00000038">
      <w:pPr>
        <w:rPr>
          <w:color w:val="2e2e2e"/>
          <w:sz w:val="21"/>
          <w:szCs w:val="21"/>
          <w:highlight w:val="white"/>
        </w:rPr>
      </w:pPr>
      <w:r w:rsidDel="00000000" w:rsidR="00000000" w:rsidRPr="00000000">
        <w:rPr>
          <w:rtl w:val="0"/>
        </w:rPr>
      </w:r>
    </w:p>
    <w:p w:rsidR="00000000" w:rsidDel="00000000" w:rsidP="00000000" w:rsidRDefault="00000000" w:rsidRPr="00000000" w14:paraId="00000039">
      <w:pPr>
        <w:rPr>
          <w:color w:val="212121"/>
          <w:sz w:val="21"/>
          <w:szCs w:val="21"/>
          <w:highlight w:val="white"/>
        </w:rPr>
      </w:pPr>
      <w:r w:rsidDel="00000000" w:rsidR="00000000" w:rsidRPr="00000000">
        <w:rPr>
          <w:rtl w:val="0"/>
        </w:rPr>
      </w:r>
    </w:p>
    <w:p w:rsidR="00000000" w:rsidDel="00000000" w:rsidP="00000000" w:rsidRDefault="00000000" w:rsidRPr="00000000" w14:paraId="0000003A">
      <w:pPr>
        <w:rPr>
          <w:color w:val="212121"/>
          <w:sz w:val="21"/>
          <w:szCs w:val="21"/>
          <w:highlight w:val="white"/>
        </w:rPr>
      </w:pPr>
      <w:r w:rsidDel="00000000" w:rsidR="00000000" w:rsidRPr="00000000">
        <w:rPr>
          <w:rtl w:val="0"/>
        </w:rPr>
      </w:r>
    </w:p>
    <w:p w:rsidR="00000000" w:rsidDel="00000000" w:rsidP="00000000" w:rsidRDefault="00000000" w:rsidRPr="00000000" w14:paraId="0000003B">
      <w:pPr>
        <w:rPr>
          <w:color w:val="212121"/>
          <w:sz w:val="21"/>
          <w:szCs w:val="21"/>
          <w:highlight w:val="white"/>
        </w:rPr>
      </w:pPr>
      <w:r w:rsidDel="00000000" w:rsidR="00000000" w:rsidRPr="00000000">
        <w:rPr>
          <w:rtl w:val="0"/>
        </w:rPr>
      </w:r>
    </w:p>
    <w:p w:rsidR="00000000" w:rsidDel="00000000" w:rsidP="00000000" w:rsidRDefault="00000000" w:rsidRPr="00000000" w14:paraId="0000003C">
      <w:pPr>
        <w:rPr>
          <w:color w:val="212121"/>
          <w:sz w:val="21"/>
          <w:szCs w:val="21"/>
          <w:highlight w:val="white"/>
        </w:rPr>
      </w:pPr>
      <w:r w:rsidDel="00000000" w:rsidR="00000000" w:rsidRPr="00000000">
        <w:rPr>
          <w:color w:val="212121"/>
          <w:sz w:val="21"/>
          <w:szCs w:val="21"/>
          <w:highlight w:val="white"/>
          <w:rtl w:val="0"/>
        </w:rPr>
        <w:t xml:space="preserve">This is a team assignment.  This should be submitted as a set of PowerPoint slides starting with the slide you prepared for the session with Jody Reyes.  Based on your preliminary literature search, your discussions and interviews with practitioners, and specifically in response to comments made in class this week, expand on your initial indications of incidence and prevalence of the clinical concerns that justify your project selection.  I am looking for further refinement using any relevant variables that will help you more precisely target your solution technology.  This could be demographic, cultural, economic, history, regional, or even international (ie lower incidence of PD infections in Taiwan).  Please add at least one slide that lists specific questions you want to ask our UVA data systems.  Also, indicate your primary or secondary sources for each set of data.  I am hoping there will be at least 5-10 citations.  I hate pie charts, but pie charts actually work pretty well here.  Be sure to include clear legends and citations on each chart.  Include a UVA logo or footer on each slide.  Also, include a full title slide with the course, the team, and the Project Title (new).  Something like, "Reduced Peritonitis in Peritoneal Dialysis Patients".   No minimum or maximum on the number of slides.  Let's see what you can do here!  </w:t>
      </w:r>
    </w:p>
    <w:p w:rsidR="00000000" w:rsidDel="00000000" w:rsidP="00000000" w:rsidRDefault="00000000" w:rsidRPr="00000000" w14:paraId="0000003D">
      <w:pPr>
        <w:rPr>
          <w:color w:val="212121"/>
          <w:sz w:val="21"/>
          <w:szCs w:val="21"/>
          <w:highlight w:val="white"/>
        </w:rPr>
      </w:pPr>
      <w:r w:rsidDel="00000000" w:rsidR="00000000" w:rsidRPr="00000000">
        <w:rPr>
          <w:rtl w:val="0"/>
        </w:rPr>
      </w:r>
    </w:p>
    <w:p w:rsidR="00000000" w:rsidDel="00000000" w:rsidP="00000000" w:rsidRDefault="00000000" w:rsidRPr="00000000" w14:paraId="0000003E">
      <w:pPr>
        <w:numPr>
          <w:ilvl w:val="0"/>
          <w:numId w:val="1"/>
        </w:numPr>
        <w:ind w:left="720" w:hanging="360"/>
        <w:rPr>
          <w:color w:val="212121"/>
          <w:sz w:val="21"/>
          <w:szCs w:val="21"/>
          <w:highlight w:val="white"/>
        </w:rPr>
      </w:pPr>
      <w:r w:rsidDel="00000000" w:rsidR="00000000" w:rsidRPr="00000000">
        <w:rPr>
          <w:color w:val="212121"/>
          <w:sz w:val="21"/>
          <w:szCs w:val="21"/>
          <w:highlight w:val="white"/>
          <w:rtl w:val="0"/>
        </w:rPr>
        <w:t xml:space="preserve">full title slide with the course, the team, and the Project Title (new)</w:t>
      </w:r>
    </w:p>
    <w:p w:rsidR="00000000" w:rsidDel="00000000" w:rsidP="00000000" w:rsidRDefault="00000000" w:rsidRPr="00000000" w14:paraId="0000003F">
      <w:pPr>
        <w:numPr>
          <w:ilvl w:val="1"/>
          <w:numId w:val="1"/>
        </w:numPr>
        <w:ind w:left="1440" w:hanging="360"/>
        <w:rPr>
          <w:color w:val="212121"/>
          <w:sz w:val="21"/>
          <w:szCs w:val="21"/>
          <w:highlight w:val="white"/>
        </w:rPr>
      </w:pPr>
      <w:r w:rsidDel="00000000" w:rsidR="00000000" w:rsidRPr="00000000">
        <w:rPr>
          <w:color w:val="212121"/>
          <w:sz w:val="21"/>
          <w:szCs w:val="21"/>
          <w:highlight w:val="white"/>
          <w:rtl w:val="0"/>
        </w:rPr>
        <w:t xml:space="preserve">Something like, "Reduced Peritonitis in Peritoneal Dialysis Patients"</w:t>
      </w:r>
    </w:p>
    <w:p w:rsidR="00000000" w:rsidDel="00000000" w:rsidP="00000000" w:rsidRDefault="00000000" w:rsidRPr="00000000" w14:paraId="00000040">
      <w:pPr>
        <w:numPr>
          <w:ilvl w:val="0"/>
          <w:numId w:val="1"/>
        </w:numPr>
        <w:ind w:left="720" w:hanging="360"/>
        <w:rPr>
          <w:color w:val="212121"/>
          <w:sz w:val="21"/>
          <w:szCs w:val="21"/>
          <w:highlight w:val="white"/>
        </w:rPr>
      </w:pPr>
      <w:r w:rsidDel="00000000" w:rsidR="00000000" w:rsidRPr="00000000">
        <w:rPr>
          <w:color w:val="212121"/>
          <w:sz w:val="21"/>
          <w:szCs w:val="21"/>
          <w:highlight w:val="white"/>
          <w:rtl w:val="0"/>
        </w:rPr>
        <w:t xml:space="preserve">UVA logo or footer on each slide</w:t>
      </w:r>
    </w:p>
    <w:p w:rsidR="00000000" w:rsidDel="00000000" w:rsidP="00000000" w:rsidRDefault="00000000" w:rsidRPr="00000000" w14:paraId="00000041">
      <w:pPr>
        <w:numPr>
          <w:ilvl w:val="0"/>
          <w:numId w:val="1"/>
        </w:numPr>
        <w:ind w:left="720" w:hanging="360"/>
        <w:rPr>
          <w:color w:val="212121"/>
          <w:sz w:val="21"/>
          <w:szCs w:val="21"/>
          <w:highlight w:val="white"/>
        </w:rPr>
      </w:pPr>
      <w:r w:rsidDel="00000000" w:rsidR="00000000" w:rsidRPr="00000000">
        <w:rPr>
          <w:color w:val="212121"/>
          <w:sz w:val="21"/>
          <w:szCs w:val="21"/>
          <w:highlight w:val="white"/>
          <w:rtl w:val="0"/>
        </w:rPr>
        <w:t xml:space="preserve">start with the slide you prepared for the session with Jody Reyes</w:t>
      </w:r>
    </w:p>
    <w:p w:rsidR="00000000" w:rsidDel="00000000" w:rsidP="00000000" w:rsidRDefault="00000000" w:rsidRPr="00000000" w14:paraId="00000042">
      <w:pPr>
        <w:numPr>
          <w:ilvl w:val="0"/>
          <w:numId w:val="1"/>
        </w:numPr>
        <w:ind w:left="720" w:hanging="360"/>
        <w:rPr>
          <w:color w:val="212121"/>
          <w:sz w:val="21"/>
          <w:szCs w:val="21"/>
          <w:highlight w:val="white"/>
        </w:rPr>
      </w:pPr>
      <w:r w:rsidDel="00000000" w:rsidR="00000000" w:rsidRPr="00000000">
        <w:rPr>
          <w:color w:val="212121"/>
          <w:sz w:val="21"/>
          <w:szCs w:val="21"/>
          <w:highlight w:val="white"/>
          <w:rtl w:val="0"/>
        </w:rPr>
        <w:t xml:space="preserve">expand on your initial indications of incidence and prevalence of the clinical concerns that justify your project selection</w:t>
      </w:r>
    </w:p>
    <w:p w:rsidR="00000000" w:rsidDel="00000000" w:rsidP="00000000" w:rsidRDefault="00000000" w:rsidRPr="00000000" w14:paraId="00000043">
      <w:pPr>
        <w:numPr>
          <w:ilvl w:val="0"/>
          <w:numId w:val="1"/>
        </w:numPr>
        <w:ind w:left="720" w:hanging="360"/>
        <w:rPr>
          <w:color w:val="212121"/>
          <w:sz w:val="21"/>
          <w:szCs w:val="21"/>
          <w:highlight w:val="white"/>
        </w:rPr>
      </w:pPr>
      <w:r w:rsidDel="00000000" w:rsidR="00000000" w:rsidRPr="00000000">
        <w:rPr>
          <w:color w:val="212121"/>
          <w:sz w:val="21"/>
          <w:szCs w:val="21"/>
          <w:highlight w:val="white"/>
          <w:rtl w:val="0"/>
        </w:rPr>
        <w:t xml:space="preserve">demographic, cultural, economic, history, regional, or even international (ie lower incidence of PD infections in Taiwan)</w:t>
      </w:r>
    </w:p>
    <w:p w:rsidR="00000000" w:rsidDel="00000000" w:rsidP="00000000" w:rsidRDefault="00000000" w:rsidRPr="00000000" w14:paraId="00000044">
      <w:pPr>
        <w:numPr>
          <w:ilvl w:val="0"/>
          <w:numId w:val="1"/>
        </w:numPr>
        <w:ind w:left="720" w:hanging="360"/>
        <w:rPr>
          <w:color w:val="212121"/>
          <w:sz w:val="21"/>
          <w:szCs w:val="21"/>
          <w:highlight w:val="white"/>
        </w:rPr>
      </w:pPr>
      <w:r w:rsidDel="00000000" w:rsidR="00000000" w:rsidRPr="00000000">
        <w:rPr>
          <w:color w:val="212121"/>
          <w:sz w:val="21"/>
          <w:szCs w:val="21"/>
          <w:highlight w:val="white"/>
          <w:rtl w:val="0"/>
        </w:rPr>
        <w:t xml:space="preserve">At least one slide that lists specific questions you want to ask our UVA data systems.</w:t>
      </w:r>
    </w:p>
    <w:p w:rsidR="00000000" w:rsidDel="00000000" w:rsidP="00000000" w:rsidRDefault="00000000" w:rsidRPr="00000000" w14:paraId="00000045">
      <w:pPr>
        <w:numPr>
          <w:ilvl w:val="0"/>
          <w:numId w:val="1"/>
        </w:numPr>
        <w:ind w:left="720" w:hanging="360"/>
        <w:rPr>
          <w:color w:val="212121"/>
          <w:sz w:val="21"/>
          <w:szCs w:val="21"/>
          <w:highlight w:val="white"/>
        </w:rPr>
      </w:pPr>
      <w:r w:rsidDel="00000000" w:rsidR="00000000" w:rsidRPr="00000000">
        <w:rPr>
          <w:color w:val="212121"/>
          <w:sz w:val="21"/>
          <w:szCs w:val="21"/>
          <w:highlight w:val="white"/>
          <w:rtl w:val="0"/>
        </w:rPr>
        <w:t xml:space="preserve">indicate your primary or secondary sources for each set of data.</w:t>
      </w:r>
    </w:p>
    <w:p w:rsidR="00000000" w:rsidDel="00000000" w:rsidP="00000000" w:rsidRDefault="00000000" w:rsidRPr="00000000" w14:paraId="00000046">
      <w:pPr>
        <w:numPr>
          <w:ilvl w:val="1"/>
          <w:numId w:val="1"/>
        </w:numPr>
        <w:ind w:left="1440" w:hanging="360"/>
        <w:rPr>
          <w:color w:val="212121"/>
          <w:sz w:val="21"/>
          <w:szCs w:val="21"/>
          <w:highlight w:val="white"/>
          <w:u w:val="none"/>
        </w:rPr>
      </w:pPr>
      <w:r w:rsidDel="00000000" w:rsidR="00000000" w:rsidRPr="00000000">
        <w:rPr>
          <w:color w:val="212121"/>
          <w:sz w:val="21"/>
          <w:szCs w:val="21"/>
          <w:highlight w:val="white"/>
          <w:rtl w:val="0"/>
        </w:rPr>
        <w:t xml:space="preserve">5-10 citations</w:t>
      </w:r>
    </w:p>
    <w:p w:rsidR="00000000" w:rsidDel="00000000" w:rsidP="00000000" w:rsidRDefault="00000000" w:rsidRPr="00000000" w14:paraId="00000047">
      <w:pPr>
        <w:rPr>
          <w:color w:val="212121"/>
          <w:sz w:val="21"/>
          <w:szCs w:val="21"/>
          <w:highlight w:val="white"/>
        </w:rPr>
      </w:pPr>
      <w:r w:rsidDel="00000000" w:rsidR="00000000" w:rsidRPr="00000000">
        <w:rPr>
          <w:rtl w:val="0"/>
        </w:rPr>
      </w:r>
    </w:p>
    <w:p w:rsidR="00000000" w:rsidDel="00000000" w:rsidP="00000000" w:rsidRDefault="00000000" w:rsidRPr="00000000" w14:paraId="00000048">
      <w:pPr>
        <w:rPr>
          <w:color w:val="212121"/>
          <w:sz w:val="21"/>
          <w:szCs w:val="21"/>
          <w:highlight w:val="white"/>
        </w:rPr>
      </w:pPr>
      <w:r w:rsidDel="00000000" w:rsidR="00000000" w:rsidRPr="00000000">
        <w:rPr>
          <w:rtl w:val="0"/>
        </w:rPr>
      </w:r>
    </w:p>
    <w:p w:rsidR="00000000" w:rsidDel="00000000" w:rsidP="00000000" w:rsidRDefault="00000000" w:rsidRPr="00000000" w14:paraId="00000049">
      <w:pPr>
        <w:rPr>
          <w:color w:val="212121"/>
          <w:sz w:val="21"/>
          <w:szCs w:val="21"/>
          <w:highlight w:val="white"/>
        </w:rPr>
      </w:pPr>
      <w:r w:rsidDel="00000000" w:rsidR="00000000" w:rsidRPr="00000000">
        <w:rPr>
          <w:color w:val="212121"/>
          <w:sz w:val="21"/>
          <w:szCs w:val="21"/>
          <w:highlight w:val="white"/>
          <w:rtl w:val="0"/>
        </w:rPr>
        <w:t xml:space="preserve">Slides</w:t>
      </w:r>
    </w:p>
    <w:p w:rsidR="00000000" w:rsidDel="00000000" w:rsidP="00000000" w:rsidRDefault="00000000" w:rsidRPr="00000000" w14:paraId="0000004A">
      <w:pPr>
        <w:rPr>
          <w:color w:val="212121"/>
          <w:sz w:val="21"/>
          <w:szCs w:val="21"/>
          <w:highlight w:val="white"/>
        </w:rPr>
      </w:pPr>
      <w:r w:rsidDel="00000000" w:rsidR="00000000" w:rsidRPr="00000000">
        <w:rPr>
          <w:color w:val="212121"/>
          <w:sz w:val="21"/>
          <w:szCs w:val="21"/>
          <w:highlight w:val="white"/>
          <w:rtl w:val="0"/>
        </w:rPr>
        <w:t xml:space="preserve">Title</w:t>
      </w:r>
    </w:p>
    <w:p w:rsidR="00000000" w:rsidDel="00000000" w:rsidP="00000000" w:rsidRDefault="00000000" w:rsidRPr="00000000" w14:paraId="0000004B">
      <w:pPr>
        <w:rPr>
          <w:color w:val="212121"/>
          <w:sz w:val="21"/>
          <w:szCs w:val="21"/>
          <w:highlight w:val="white"/>
        </w:rPr>
      </w:pPr>
      <w:r w:rsidDel="00000000" w:rsidR="00000000" w:rsidRPr="00000000">
        <w:rPr>
          <w:color w:val="212121"/>
          <w:sz w:val="21"/>
          <w:szCs w:val="21"/>
          <w:highlight w:val="white"/>
          <w:rtl w:val="0"/>
        </w:rPr>
        <w:t xml:space="preserve">Original Slide</w:t>
      </w:r>
    </w:p>
    <w:p w:rsidR="00000000" w:rsidDel="00000000" w:rsidP="00000000" w:rsidRDefault="00000000" w:rsidRPr="00000000" w14:paraId="0000004C">
      <w:pPr>
        <w:rPr>
          <w:color w:val="212121"/>
          <w:sz w:val="21"/>
          <w:szCs w:val="21"/>
          <w:highlight w:val="white"/>
        </w:rPr>
      </w:pPr>
      <w:r w:rsidDel="00000000" w:rsidR="00000000" w:rsidRPr="00000000">
        <w:rPr>
          <w:color w:val="212121"/>
          <w:sz w:val="21"/>
          <w:szCs w:val="21"/>
          <w:highlight w:val="white"/>
          <w:rtl w:val="0"/>
        </w:rPr>
        <w:t xml:space="preserve">ESRD Incidence and Prevalence </w:t>
      </w:r>
    </w:p>
    <w:p w:rsidR="00000000" w:rsidDel="00000000" w:rsidP="00000000" w:rsidRDefault="00000000" w:rsidRPr="00000000" w14:paraId="0000004D">
      <w:pPr>
        <w:rPr>
          <w:color w:val="212121"/>
          <w:sz w:val="21"/>
          <w:szCs w:val="21"/>
          <w:highlight w:val="white"/>
        </w:rPr>
      </w:pPr>
      <w:r w:rsidDel="00000000" w:rsidR="00000000" w:rsidRPr="00000000">
        <w:rPr>
          <w:color w:val="212121"/>
          <w:sz w:val="21"/>
          <w:szCs w:val="21"/>
          <w:highlight w:val="white"/>
          <w:rtl w:val="0"/>
        </w:rPr>
        <w:t xml:space="preserve">PD Prevalence over the last decades</w:t>
      </w:r>
    </w:p>
    <w:p w:rsidR="00000000" w:rsidDel="00000000" w:rsidP="00000000" w:rsidRDefault="00000000" w:rsidRPr="00000000" w14:paraId="0000004E">
      <w:pPr>
        <w:rPr>
          <w:color w:val="212121"/>
          <w:sz w:val="21"/>
          <w:szCs w:val="21"/>
          <w:highlight w:val="white"/>
        </w:rPr>
      </w:pPr>
      <w:r w:rsidDel="00000000" w:rsidR="00000000" w:rsidRPr="00000000">
        <w:rPr>
          <w:color w:val="212121"/>
          <w:sz w:val="21"/>
          <w:szCs w:val="21"/>
          <w:highlight w:val="white"/>
        </w:rPr>
        <w:drawing>
          <wp:inline distB="114300" distT="114300" distL="114300" distR="114300">
            <wp:extent cx="5943600" cy="3746500"/>
            <wp:effectExtent b="0" l="0" r="0" t="0"/>
            <wp:docPr id="6"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color w:val="212121"/>
          <w:sz w:val="21"/>
          <w:szCs w:val="21"/>
          <w:highlight w:val="white"/>
        </w:rPr>
      </w:pPr>
      <w:r w:rsidDel="00000000" w:rsidR="00000000" w:rsidRPr="00000000">
        <w:rPr>
          <w:color w:val="212121"/>
          <w:sz w:val="21"/>
          <w:szCs w:val="21"/>
          <w:highlight w:val="white"/>
        </w:rPr>
        <w:drawing>
          <wp:inline distB="114300" distT="114300" distL="114300" distR="114300">
            <wp:extent cx="5943600" cy="3543300"/>
            <wp:effectExtent b="0" l="0" r="0" t="0"/>
            <wp:docPr id="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color w:val="212121"/>
          <w:sz w:val="21"/>
          <w:szCs w:val="21"/>
          <w:highlight w:val="white"/>
        </w:rPr>
      </w:pPr>
      <w:r w:rsidDel="00000000" w:rsidR="00000000" w:rsidRPr="00000000">
        <w:rPr>
          <w:color w:val="212121"/>
          <w:sz w:val="21"/>
          <w:szCs w:val="21"/>
          <w:highlight w:val="white"/>
        </w:rPr>
        <w:drawing>
          <wp:inline distB="114300" distT="114300" distL="114300" distR="114300">
            <wp:extent cx="5943600" cy="3581400"/>
            <wp:effectExtent b="0" l="0" r="0" t="0"/>
            <wp:docPr id="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color w:val="212121"/>
          <w:sz w:val="21"/>
          <w:szCs w:val="21"/>
          <w:highlight w:val="white"/>
        </w:rPr>
      </w:pPr>
      <w:r w:rsidDel="00000000" w:rsidR="00000000" w:rsidRPr="00000000">
        <w:rPr>
          <w:color w:val="212121"/>
          <w:sz w:val="21"/>
          <w:szCs w:val="21"/>
          <w:highlight w:val="white"/>
        </w:rPr>
        <w:drawing>
          <wp:inline distB="114300" distT="114300" distL="114300" distR="114300">
            <wp:extent cx="5943600" cy="5435600"/>
            <wp:effectExtent b="0" l="0" r="0" t="0"/>
            <wp:docPr id="1"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color w:val="212121"/>
          <w:sz w:val="21"/>
          <w:szCs w:val="21"/>
          <w:highlight w:val="white"/>
        </w:rPr>
      </w:pPr>
      <w:r w:rsidDel="00000000" w:rsidR="00000000" w:rsidRPr="00000000">
        <w:rPr>
          <w:color w:val="212121"/>
          <w:sz w:val="21"/>
          <w:szCs w:val="21"/>
          <w:highlight w:val="white"/>
          <w:rtl w:val="0"/>
        </w:rPr>
        <w:t xml:space="preserve">Peritonitis Prevalence over the last decades</w:t>
      </w:r>
    </w:p>
    <w:p w:rsidR="00000000" w:rsidDel="00000000" w:rsidP="00000000" w:rsidRDefault="00000000" w:rsidRPr="00000000" w14:paraId="00000053">
      <w:pPr>
        <w:rPr>
          <w:color w:val="212121"/>
          <w:sz w:val="21"/>
          <w:szCs w:val="21"/>
          <w:highlight w:val="white"/>
        </w:rPr>
      </w:pPr>
      <w:r w:rsidDel="00000000" w:rsidR="00000000" w:rsidRPr="00000000">
        <w:rPr>
          <w:color w:val="212121"/>
          <w:sz w:val="21"/>
          <w:szCs w:val="21"/>
          <w:highlight w:val="white"/>
        </w:rPr>
        <w:drawing>
          <wp:inline distB="114300" distT="114300" distL="114300" distR="114300">
            <wp:extent cx="5448300" cy="3476625"/>
            <wp:effectExtent b="0" l="0" r="0" t="0"/>
            <wp:docPr id="3"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44830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color w:val="212121"/>
          <w:sz w:val="21"/>
          <w:szCs w:val="21"/>
          <w:highlight w:val="white"/>
        </w:rPr>
      </w:pPr>
      <w:r w:rsidDel="00000000" w:rsidR="00000000" w:rsidRPr="00000000">
        <w:rPr>
          <w:color w:val="212121"/>
          <w:sz w:val="21"/>
          <w:szCs w:val="21"/>
          <w:highlight w:val="white"/>
        </w:rPr>
        <w:drawing>
          <wp:inline distB="114300" distT="114300" distL="114300" distR="114300">
            <wp:extent cx="5410200" cy="3448050"/>
            <wp:effectExtent b="0" l="0" r="0" t="0"/>
            <wp:docPr id="2"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4102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color w:val="212121"/>
          <w:sz w:val="21"/>
          <w:szCs w:val="21"/>
          <w:highlight w:val="white"/>
        </w:rPr>
      </w:pPr>
      <w:r w:rsidDel="00000000" w:rsidR="00000000" w:rsidRPr="00000000">
        <w:rPr>
          <w:color w:val="212121"/>
          <w:sz w:val="21"/>
          <w:szCs w:val="21"/>
          <w:highlight w:val="white"/>
          <w:rtl w:val="0"/>
        </w:rPr>
        <w:t xml:space="preserve">Current PD Prevalence</w:t>
      </w:r>
    </w:p>
    <w:p w:rsidR="00000000" w:rsidDel="00000000" w:rsidP="00000000" w:rsidRDefault="00000000" w:rsidRPr="00000000" w14:paraId="00000056">
      <w:pPr>
        <w:rPr>
          <w:color w:val="212121"/>
          <w:sz w:val="21"/>
          <w:szCs w:val="21"/>
          <w:highlight w:val="white"/>
        </w:rPr>
      </w:pPr>
      <w:r w:rsidDel="00000000" w:rsidR="00000000" w:rsidRPr="00000000">
        <w:rPr>
          <w:color w:val="212121"/>
          <w:sz w:val="21"/>
          <w:szCs w:val="21"/>
          <w:highlight w:val="white"/>
          <w:rtl w:val="0"/>
        </w:rPr>
        <w:t xml:space="preserve">Current Incidence of Peritonitis</w:t>
      </w:r>
    </w:p>
    <w:p w:rsidR="00000000" w:rsidDel="00000000" w:rsidP="00000000" w:rsidRDefault="00000000" w:rsidRPr="00000000" w14:paraId="00000057">
      <w:pPr>
        <w:rPr>
          <w:color w:val="212121"/>
          <w:sz w:val="21"/>
          <w:szCs w:val="21"/>
          <w:highlight w:val="white"/>
        </w:rPr>
      </w:pPr>
      <w:r w:rsidDel="00000000" w:rsidR="00000000" w:rsidRPr="00000000">
        <w:rPr>
          <w:color w:val="212121"/>
          <w:sz w:val="21"/>
          <w:szCs w:val="21"/>
          <w:highlight w:val="white"/>
          <w:rtl w:val="0"/>
        </w:rPr>
        <w:t xml:space="preserve">The “Timeline” of a PD patient throughout their ESRD treatment</w:t>
      </w:r>
    </w:p>
    <w:p w:rsidR="00000000" w:rsidDel="00000000" w:rsidP="00000000" w:rsidRDefault="00000000" w:rsidRPr="00000000" w14:paraId="00000058">
      <w:pPr>
        <w:rPr>
          <w:color w:val="212121"/>
          <w:sz w:val="21"/>
          <w:szCs w:val="21"/>
          <w:highlight w:val="white"/>
        </w:rPr>
      </w:pPr>
      <w:r w:rsidDel="00000000" w:rsidR="00000000" w:rsidRPr="00000000">
        <w:rPr>
          <w:color w:val="212121"/>
          <w:sz w:val="21"/>
          <w:szCs w:val="21"/>
          <w:highlight w:val="white"/>
          <w:rtl w:val="0"/>
        </w:rPr>
        <w:t xml:space="preserve">Bacteria Species Responsible for Peritonitis</w:t>
      </w:r>
    </w:p>
    <w:p w:rsidR="00000000" w:rsidDel="00000000" w:rsidP="00000000" w:rsidRDefault="00000000" w:rsidRPr="00000000" w14:paraId="00000059">
      <w:pPr>
        <w:rPr>
          <w:color w:val="212121"/>
          <w:sz w:val="21"/>
          <w:szCs w:val="21"/>
          <w:highlight w:val="white"/>
        </w:rPr>
      </w:pPr>
      <w:r w:rsidDel="00000000" w:rsidR="00000000" w:rsidRPr="00000000">
        <w:rPr>
          <w:color w:val="212121"/>
          <w:sz w:val="21"/>
          <w:szCs w:val="21"/>
          <w:highlight w:val="white"/>
          <w:rtl w:val="0"/>
        </w:rPr>
        <w:t xml:space="preserve">Forecast of PD in the United States</w:t>
      </w:r>
    </w:p>
    <w:p w:rsidR="00000000" w:rsidDel="00000000" w:rsidP="00000000" w:rsidRDefault="00000000" w:rsidRPr="00000000" w14:paraId="0000005A">
      <w:pPr>
        <w:rPr>
          <w:color w:val="212121"/>
          <w:sz w:val="21"/>
          <w:szCs w:val="21"/>
          <w:highlight w:val="white"/>
        </w:rPr>
      </w:pPr>
      <w:r w:rsidDel="00000000" w:rsidR="00000000" w:rsidRPr="00000000">
        <w:rPr>
          <w:rtl w:val="0"/>
        </w:rPr>
      </w:r>
    </w:p>
    <w:p w:rsidR="00000000" w:rsidDel="00000000" w:rsidP="00000000" w:rsidRDefault="00000000" w:rsidRPr="00000000" w14:paraId="0000005B">
      <w:pPr>
        <w:rPr>
          <w:color w:val="212121"/>
          <w:sz w:val="21"/>
          <w:szCs w:val="21"/>
          <w:highlight w:val="white"/>
        </w:rPr>
      </w:pPr>
      <w:r w:rsidDel="00000000" w:rsidR="00000000" w:rsidRPr="00000000">
        <w:rPr>
          <w:color w:val="212121"/>
          <w:sz w:val="21"/>
          <w:szCs w:val="21"/>
          <w:highlight w:val="white"/>
          <w:rtl w:val="0"/>
        </w:rPr>
        <w:t xml:space="preserve">Peritonitis by bacteria type </w:t>
      </w:r>
      <w:hyperlink r:id="rId28">
        <w:r w:rsidDel="00000000" w:rsidR="00000000" w:rsidRPr="00000000">
          <w:rPr>
            <w:color w:val="1155cc"/>
            <w:sz w:val="21"/>
            <w:szCs w:val="21"/>
            <w:highlight w:val="white"/>
            <w:u w:val="single"/>
            <w:rtl w:val="0"/>
          </w:rPr>
          <w:t xml:space="preserve">https://www.ncbi.nlm.nih.gov/pmc/articles/PMC6001843/</w:t>
        </w:r>
      </w:hyperlink>
      <w:r w:rsidDel="00000000" w:rsidR="00000000" w:rsidRPr="00000000">
        <w:rPr>
          <w:rtl w:val="0"/>
        </w:rPr>
      </w:r>
    </w:p>
    <w:p w:rsidR="00000000" w:rsidDel="00000000" w:rsidP="00000000" w:rsidRDefault="00000000" w:rsidRPr="00000000" w14:paraId="0000005C">
      <w:pPr>
        <w:rPr>
          <w:color w:val="212121"/>
          <w:sz w:val="21"/>
          <w:szCs w:val="21"/>
          <w:highlight w:val="white"/>
        </w:rPr>
      </w:pPr>
      <w:r w:rsidDel="00000000" w:rsidR="00000000" w:rsidRPr="00000000">
        <w:rPr>
          <w:color w:val="212121"/>
          <w:sz w:val="21"/>
          <w:szCs w:val="21"/>
          <w:highlight w:val="white"/>
          <w:rtl w:val="0"/>
        </w:rPr>
        <w:t xml:space="preserve">Current state of PD </w:t>
      </w:r>
      <w:hyperlink r:id="rId29">
        <w:r w:rsidDel="00000000" w:rsidR="00000000" w:rsidRPr="00000000">
          <w:rPr>
            <w:color w:val="1155cc"/>
            <w:sz w:val="21"/>
            <w:szCs w:val="21"/>
            <w:highlight w:val="white"/>
            <w:u w:val="single"/>
            <w:rtl w:val="0"/>
          </w:rPr>
          <w:t xml:space="preserve">https://jasn.asnjournals.org/content/27/11/3238</w:t>
        </w:r>
      </w:hyperlink>
      <w:r w:rsidDel="00000000" w:rsidR="00000000" w:rsidRPr="00000000">
        <w:rPr>
          <w:rtl w:val="0"/>
        </w:rPr>
      </w:r>
    </w:p>
    <w:p w:rsidR="00000000" w:rsidDel="00000000" w:rsidP="00000000" w:rsidRDefault="00000000" w:rsidRPr="00000000" w14:paraId="0000005D">
      <w:pPr>
        <w:rPr>
          <w:color w:val="212121"/>
          <w:sz w:val="21"/>
          <w:szCs w:val="21"/>
          <w:highlight w:val="white"/>
        </w:rPr>
      </w:pPr>
      <w:r w:rsidDel="00000000" w:rsidR="00000000" w:rsidRPr="00000000">
        <w:rPr>
          <w:color w:val="212121"/>
          <w:sz w:val="21"/>
          <w:szCs w:val="21"/>
          <w:highlight w:val="white"/>
          <w:rtl w:val="0"/>
        </w:rPr>
        <w:t xml:space="preserve">USRDS </w:t>
      </w:r>
      <w:hyperlink r:id="rId30">
        <w:r w:rsidDel="00000000" w:rsidR="00000000" w:rsidRPr="00000000">
          <w:rPr>
            <w:color w:val="1155cc"/>
            <w:sz w:val="21"/>
            <w:szCs w:val="21"/>
            <w:highlight w:val="white"/>
            <w:u w:val="single"/>
            <w:rtl w:val="0"/>
          </w:rPr>
          <w:t xml:space="preserve">https://www.usrds.org/2018/view/Default.aspx</w:t>
        </w:r>
      </w:hyperlink>
      <w:r w:rsidDel="00000000" w:rsidR="00000000" w:rsidRPr="00000000">
        <w:rPr>
          <w:rtl w:val="0"/>
        </w:rPr>
      </w:r>
    </w:p>
    <w:p w:rsidR="00000000" w:rsidDel="00000000" w:rsidP="00000000" w:rsidRDefault="00000000" w:rsidRPr="00000000" w14:paraId="0000005E">
      <w:pPr>
        <w:rPr>
          <w:color w:val="212121"/>
          <w:sz w:val="21"/>
          <w:szCs w:val="21"/>
          <w:highlight w:val="white"/>
        </w:rPr>
      </w:pPr>
      <w:r w:rsidDel="00000000" w:rsidR="00000000" w:rsidRPr="00000000">
        <w:rPr>
          <w:rtl w:val="0"/>
        </w:rPr>
      </w:r>
    </w:p>
    <w:p w:rsidR="00000000" w:rsidDel="00000000" w:rsidP="00000000" w:rsidRDefault="00000000" w:rsidRPr="00000000" w14:paraId="0000005F">
      <w:pPr>
        <w:rPr>
          <w:color w:val="212121"/>
          <w:sz w:val="21"/>
          <w:szCs w:val="21"/>
          <w:highlight w:val="white"/>
        </w:rPr>
      </w:pPr>
      <w:r w:rsidDel="00000000" w:rsidR="00000000" w:rsidRPr="00000000">
        <w:rPr>
          <w:rtl w:val="0"/>
        </w:rPr>
      </w:r>
    </w:p>
    <w:p w:rsidR="00000000" w:rsidDel="00000000" w:rsidP="00000000" w:rsidRDefault="00000000" w:rsidRPr="00000000" w14:paraId="00000060">
      <w:pPr>
        <w:rPr>
          <w:color w:val="2e2e2e"/>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cbi.nlm.nih.gov/pmc/articles/PMC3539329/" TargetMode="External"/><Relationship Id="rId22" Type="http://schemas.openxmlformats.org/officeDocument/2006/relationships/image" Target="media/image1.png"/><Relationship Id="rId21" Type="http://schemas.openxmlformats.org/officeDocument/2006/relationships/hyperlink" Target="https://reader.elsevier.com/reader/sd/pii/S0085253815586912?token=3805DDFA89CB9125C1A82E755016EC3876FC55082B2C76966266DDB8D36D8517F819CE9D6D05875A1C80CE56BD9B6480" TargetMode="External"/><Relationship Id="rId24" Type="http://schemas.openxmlformats.org/officeDocument/2006/relationships/image" Target="media/image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3539329/#B7" TargetMode="External"/><Relationship Id="rId26" Type="http://schemas.openxmlformats.org/officeDocument/2006/relationships/image" Target="media/image6.png"/><Relationship Id="rId25" Type="http://schemas.openxmlformats.org/officeDocument/2006/relationships/image" Target="media/image5.png"/><Relationship Id="rId28" Type="http://schemas.openxmlformats.org/officeDocument/2006/relationships/hyperlink" Target="https://www.ncbi.nlm.nih.gov/pmc/articles/PMC6001843/" TargetMode="Externa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sciencedirect.com/topics/medicine-and-dentistry/diabetes-mellitus" TargetMode="External"/><Relationship Id="rId29" Type="http://schemas.openxmlformats.org/officeDocument/2006/relationships/hyperlink" Target="https://jasn.asnjournals.org/content/27/11/3238" TargetMode="External"/><Relationship Id="rId7" Type="http://schemas.openxmlformats.org/officeDocument/2006/relationships/hyperlink" Target="https://www.sciencedirect.com/topics/medicine-and-dentistry/end-stage-renal-disease" TargetMode="External"/><Relationship Id="rId8" Type="http://schemas.openxmlformats.org/officeDocument/2006/relationships/hyperlink" Target="https://www.sciencedirect.com/science/article/pii/S0272638604014076?via%3Dihub" TargetMode="External"/><Relationship Id="rId30" Type="http://schemas.openxmlformats.org/officeDocument/2006/relationships/hyperlink" Target="https://www.usrds.org/2018/view/Default.aspx" TargetMode="External"/><Relationship Id="rId11" Type="http://schemas.openxmlformats.org/officeDocument/2006/relationships/hyperlink" Target="https://www.ncbi.nlm.nih.gov/pmc/articles/PMC3539329/#B7" TargetMode="External"/><Relationship Id="rId10" Type="http://schemas.openxmlformats.org/officeDocument/2006/relationships/hyperlink" Target="https://www.ncbi.nlm.nih.gov/pmc/articles/PMC3539329/#B8" TargetMode="External"/><Relationship Id="rId13" Type="http://schemas.openxmlformats.org/officeDocument/2006/relationships/hyperlink" Target="https://www.ncbi.nlm.nih.gov/pmc/articles/PMC3539329/#B10" TargetMode="External"/><Relationship Id="rId12" Type="http://schemas.openxmlformats.org/officeDocument/2006/relationships/hyperlink" Target="https://www.ncbi.nlm.nih.gov/pmc/articles/PMC3539329/#B9" TargetMode="External"/><Relationship Id="rId15" Type="http://schemas.openxmlformats.org/officeDocument/2006/relationships/hyperlink" Target="https://www.ncbi.nlm.nih.gov/pmc/articles/PMC3539329/#B13" TargetMode="External"/><Relationship Id="rId14" Type="http://schemas.openxmlformats.org/officeDocument/2006/relationships/hyperlink" Target="https://www.ncbi.nlm.nih.gov/pmc/articles/PMC3539329/#B11" TargetMode="External"/><Relationship Id="rId17" Type="http://schemas.openxmlformats.org/officeDocument/2006/relationships/hyperlink" Target="https://www.ncbi.nlm.nih.gov/pmc/articles/PMC3539329/#B14" TargetMode="External"/><Relationship Id="rId16" Type="http://schemas.openxmlformats.org/officeDocument/2006/relationships/hyperlink" Target="https://www.ncbi.nlm.nih.gov/pmc/articles/PMC3539329/#B12" TargetMode="External"/><Relationship Id="rId19" Type="http://schemas.openxmlformats.org/officeDocument/2006/relationships/hyperlink" Target="https://www.ncbi.nlm.nih.gov/pmc/articles/PMC3539329/#B16" TargetMode="External"/><Relationship Id="rId18" Type="http://schemas.openxmlformats.org/officeDocument/2006/relationships/hyperlink" Target="https://www.ncbi.nlm.nih.gov/pmc/articles/PMC3539329/#B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