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074"/>
        <w:gridCol w:w="1442"/>
        <w:gridCol w:w="1503"/>
        <w:gridCol w:w="1560"/>
        <w:gridCol w:w="1400"/>
      </w:tblGrid>
      <w:tr w:rsidR="00D51CBB" w:rsidRPr="00D51CBB" w14:paraId="496EE19C" w14:textId="77777777" w:rsidTr="00D51CBB">
        <w:trPr>
          <w:tblHeader/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AF43524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Model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5A76CA9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Accuracy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3006D48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True Neg (TN)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26D2D7D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False Pos (FP)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176CF15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False Neg (FN)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5F314BA" w14:textId="77777777" w:rsidR="00D51CBB" w:rsidRPr="00D51CBB" w:rsidRDefault="00D51CBB" w:rsidP="00D51CBB">
            <w:pPr>
              <w:jc w:val="center"/>
              <w:rPr>
                <w:b/>
                <w:bCs/>
              </w:rPr>
            </w:pPr>
            <w:r w:rsidRPr="00D51CBB">
              <w:rPr>
                <w:b/>
                <w:bCs/>
              </w:rPr>
              <w:t>True Pos (TP)</w:t>
            </w:r>
          </w:p>
        </w:tc>
      </w:tr>
      <w:tr w:rsidR="00D51CBB" w:rsidRPr="00D51CBB" w14:paraId="5E06C38C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D206CC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D5B93E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0.9532</w:t>
            </w:r>
          </w:p>
        </w:tc>
        <w:tc>
          <w:tcPr>
            <w:tcW w:w="0" w:type="auto"/>
            <w:vAlign w:val="center"/>
            <w:hideMark/>
          </w:tcPr>
          <w:p w14:paraId="7D44FB6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A6E5286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60B4E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A099E3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61</w:t>
            </w:r>
          </w:p>
        </w:tc>
      </w:tr>
      <w:tr w:rsidR="00D51CBB" w:rsidRPr="00D51CBB" w14:paraId="58C9A2BB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488B48A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KNN (k=5)</w:t>
            </w:r>
          </w:p>
        </w:tc>
        <w:tc>
          <w:tcPr>
            <w:tcW w:w="0" w:type="auto"/>
            <w:vAlign w:val="center"/>
            <w:hideMark/>
          </w:tcPr>
          <w:p w14:paraId="4B82F470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0.9474</w:t>
            </w:r>
          </w:p>
        </w:tc>
        <w:tc>
          <w:tcPr>
            <w:tcW w:w="0" w:type="auto"/>
            <w:vAlign w:val="center"/>
            <w:hideMark/>
          </w:tcPr>
          <w:p w14:paraId="79E8528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0B2660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0C687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CCF46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60</w:t>
            </w:r>
          </w:p>
        </w:tc>
      </w:tr>
      <w:tr w:rsidR="00D51CBB" w:rsidRPr="00D51CBB" w14:paraId="0389A5FC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A74D56C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7F2C62E0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0.9532</w:t>
            </w:r>
          </w:p>
        </w:tc>
        <w:tc>
          <w:tcPr>
            <w:tcW w:w="0" w:type="auto"/>
            <w:vAlign w:val="center"/>
            <w:hideMark/>
          </w:tcPr>
          <w:p w14:paraId="64DA38FD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2C9277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FAD240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6609D91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61</w:t>
            </w:r>
          </w:p>
        </w:tc>
      </w:tr>
      <w:tr w:rsidR="00D51CBB" w:rsidRPr="00D51CBB" w14:paraId="270D79C0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2B17403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Kernel SVM (RBF)</w:t>
            </w:r>
          </w:p>
        </w:tc>
        <w:tc>
          <w:tcPr>
            <w:tcW w:w="0" w:type="auto"/>
            <w:vAlign w:val="center"/>
            <w:hideMark/>
          </w:tcPr>
          <w:p w14:paraId="7CBC6B28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0.9474</w:t>
            </w:r>
          </w:p>
        </w:tc>
        <w:tc>
          <w:tcPr>
            <w:tcW w:w="0" w:type="auto"/>
            <w:vAlign w:val="center"/>
            <w:hideMark/>
          </w:tcPr>
          <w:p w14:paraId="6367D617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18D143D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4E2082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C41E57C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61</w:t>
            </w:r>
          </w:p>
        </w:tc>
      </w:tr>
      <w:tr w:rsidR="00D51CBB" w:rsidRPr="00D51CBB" w14:paraId="50BA862B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B047AF7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05EE22C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0.9649</w:t>
            </w:r>
          </w:p>
        </w:tc>
        <w:tc>
          <w:tcPr>
            <w:tcW w:w="0" w:type="auto"/>
            <w:vAlign w:val="center"/>
            <w:hideMark/>
          </w:tcPr>
          <w:p w14:paraId="1BB83BD4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5DBF53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5AA6C7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BD06CB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65</w:t>
            </w:r>
          </w:p>
        </w:tc>
      </w:tr>
      <w:tr w:rsidR="00D51CBB" w:rsidRPr="00D51CBB" w14:paraId="0B1677A5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EB9F318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EAFA088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0.9415</w:t>
            </w:r>
          </w:p>
        </w:tc>
        <w:tc>
          <w:tcPr>
            <w:tcW w:w="0" w:type="auto"/>
            <w:vAlign w:val="center"/>
            <w:hideMark/>
          </w:tcPr>
          <w:p w14:paraId="12AE5FD2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69EA9AB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DFEFAB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FA583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60</w:t>
            </w:r>
          </w:p>
        </w:tc>
      </w:tr>
      <w:tr w:rsidR="00D51CBB" w:rsidRPr="00D51CBB" w14:paraId="779DEF6A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7F8A39E" w14:textId="77777777" w:rsidR="00D51CBB" w:rsidRPr="00D51CBB" w:rsidRDefault="00D51CBB" w:rsidP="00D51CBB">
            <w:pPr>
              <w:rPr>
                <w:b/>
                <w:bCs/>
              </w:rPr>
            </w:pPr>
            <w:r w:rsidRPr="00D51CBB">
              <w:rPr>
                <w:b/>
                <w:bCs/>
              </w:rPr>
              <w:t>Random Forest (n=10)</w:t>
            </w:r>
          </w:p>
        </w:tc>
        <w:tc>
          <w:tcPr>
            <w:tcW w:w="0" w:type="auto"/>
            <w:vAlign w:val="center"/>
            <w:hideMark/>
          </w:tcPr>
          <w:p w14:paraId="18A9EAD3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0.9357</w:t>
            </w:r>
          </w:p>
        </w:tc>
        <w:tc>
          <w:tcPr>
            <w:tcW w:w="0" w:type="auto"/>
            <w:vAlign w:val="center"/>
            <w:hideMark/>
          </w:tcPr>
          <w:p w14:paraId="49A24F08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2BED074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4FD739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B005A89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58</w:t>
            </w:r>
          </w:p>
        </w:tc>
      </w:tr>
      <w:tr w:rsidR="00D51CBB" w:rsidRPr="00D51CBB" w14:paraId="4573A436" w14:textId="77777777" w:rsidTr="00D51CBB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0F6B7D0" w14:textId="77777777" w:rsidR="00D51CBB" w:rsidRPr="00D51CBB" w:rsidRDefault="00D51CBB" w:rsidP="00D51CBB">
            <w:pPr>
              <w:rPr>
                <w:b/>
                <w:bCs/>
              </w:rPr>
            </w:pPr>
            <w:proofErr w:type="spellStart"/>
            <w:r w:rsidRPr="00D51CBB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6553F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0.9474</w:t>
            </w:r>
          </w:p>
        </w:tc>
        <w:tc>
          <w:tcPr>
            <w:tcW w:w="0" w:type="auto"/>
            <w:vAlign w:val="center"/>
            <w:hideMark/>
          </w:tcPr>
          <w:p w14:paraId="6C310B9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096333A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37FD1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F4CD45" w14:textId="77777777" w:rsidR="00D51CBB" w:rsidRPr="00D51CBB" w:rsidRDefault="00D51CBB" w:rsidP="00D51CBB">
            <w:pPr>
              <w:jc w:val="right"/>
              <w:rPr>
                <w:b/>
                <w:bCs/>
              </w:rPr>
            </w:pPr>
            <w:r w:rsidRPr="00D51CBB">
              <w:rPr>
                <w:b/>
                <w:bCs/>
              </w:rPr>
              <w:t>60</w:t>
            </w:r>
          </w:p>
        </w:tc>
      </w:tr>
    </w:tbl>
    <w:p w14:paraId="4CC8EB41" w14:textId="77777777" w:rsidR="000A6320" w:rsidRPr="002F3F86" w:rsidRDefault="000A6320"/>
    <w:p w14:paraId="474A4C0C" w14:textId="439D671C" w:rsidR="002F3F86" w:rsidRPr="002F3F86" w:rsidRDefault="002F3F86" w:rsidP="002F3F86">
      <w:r w:rsidRPr="002F3F86">
        <w:t xml:space="preserve">Overall, all eight models performed well, with accuracy scores ranging from about 93.6% to 96.5%. </w:t>
      </w:r>
      <w:r w:rsidRPr="002F3F86">
        <w:t>T</w:t>
      </w:r>
      <w:r>
        <w:t>h</w:t>
      </w:r>
      <w:r w:rsidRPr="002F3F86">
        <w:t>e</w:t>
      </w:r>
      <w:r w:rsidRPr="002F3F86">
        <w:t xml:space="preserve"> best-performing model was Na</w:t>
      </w:r>
      <w:r>
        <w:t>i</w:t>
      </w:r>
      <w:r w:rsidRPr="002F3F86">
        <w:t xml:space="preserve">ve Bayes, with an accuracy of 96.49% and the lowest number of false negatives (3), which is especially important in a medical setting where </w:t>
      </w:r>
      <w:r>
        <w:t xml:space="preserve">not catching </w:t>
      </w:r>
      <w:r w:rsidRPr="002F3F86">
        <w:t xml:space="preserve">a malignant tumor can be critical. </w:t>
      </w:r>
      <w:r>
        <w:t xml:space="preserve"> </w:t>
      </w:r>
      <w:r w:rsidRPr="002F3F86">
        <w:t>Logistic Regression and Linear SVM followed at 95.32% accuracy, both showing a good balance of high true positives and low false negatives.</w:t>
      </w:r>
    </w:p>
    <w:p w14:paraId="08544067" w14:textId="484FAC65" w:rsidR="002F3F86" w:rsidRPr="002F3F86" w:rsidRDefault="002F3F86" w:rsidP="002F3F86">
      <w:r w:rsidRPr="002F3F86">
        <w:t xml:space="preserve">KNN, Kernel SVM, and </w:t>
      </w:r>
      <w:proofErr w:type="spellStart"/>
      <w:r w:rsidRPr="002F3F86">
        <w:t>XGBoost</w:t>
      </w:r>
      <w:proofErr w:type="spellEnd"/>
      <w:r w:rsidRPr="002F3F86">
        <w:t xml:space="preserve"> </w:t>
      </w:r>
      <w:r>
        <w:t xml:space="preserve">were </w:t>
      </w:r>
      <w:r w:rsidRPr="002F3F86">
        <w:t>around 94.74% accuracy, with similar confusion matrix patterns</w:t>
      </w:r>
      <w:r>
        <w:t>,</w:t>
      </w:r>
      <w:r w:rsidRPr="002F3F86">
        <w:t xml:space="preserve"> each model had 8 false </w:t>
      </w:r>
      <w:r w:rsidRPr="002F3F86">
        <w:t>negatives but</w:t>
      </w:r>
      <w:r w:rsidRPr="002F3F86">
        <w:t xml:space="preserve"> maintained low false positives. Decision Tree and Random Forest models were</w:t>
      </w:r>
      <w:r>
        <w:t xml:space="preserve"> also</w:t>
      </w:r>
      <w:r w:rsidRPr="002F3F86">
        <w:t xml:space="preserve"> slightly behind, with Random Forest misclassifying the most malignant cases (10 false negatives), which makes it less favorable in this case.</w:t>
      </w:r>
    </w:p>
    <w:p w14:paraId="2337734E" w14:textId="063406D9" w:rsidR="002F3F86" w:rsidRPr="002F3F86" w:rsidRDefault="002F3F86" w:rsidP="002F3F86">
      <w:r w:rsidRPr="002F3F86">
        <w:t>In summary, while all models performed reasonably well, Na</w:t>
      </w:r>
      <w:r>
        <w:t>i</w:t>
      </w:r>
      <w:r w:rsidRPr="002F3F86">
        <w:t>ve Bayes stood out with the highest accuracy and the fewest critical errors, making it the most reliable choice</w:t>
      </w:r>
      <w:r>
        <w:t xml:space="preserve">.  </w:t>
      </w:r>
      <w:r w:rsidRPr="002F3F86">
        <w:t>Models like Random Forest, though powerful in</w:t>
      </w:r>
      <w:r>
        <w:t xml:space="preserve"> some potential</w:t>
      </w:r>
      <w:r w:rsidRPr="002F3F86">
        <w:t xml:space="preserve"> other scenarios, may not be ideal when minimizing false negatives is a top priority.</w:t>
      </w:r>
    </w:p>
    <w:p w14:paraId="483DD18D" w14:textId="77777777" w:rsidR="002F3F86" w:rsidRDefault="002F3F86"/>
    <w:sectPr w:rsidR="002F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BB"/>
    <w:rsid w:val="000A6320"/>
    <w:rsid w:val="001442FC"/>
    <w:rsid w:val="002F3F86"/>
    <w:rsid w:val="00622B73"/>
    <w:rsid w:val="00BF4EC0"/>
    <w:rsid w:val="00D51CBB"/>
    <w:rsid w:val="00EA6AEA"/>
    <w:rsid w:val="00F4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DBE3"/>
  <w15:chartTrackingRefBased/>
  <w15:docId w15:val="{7D546847-34B3-4F8B-9FB9-DBE10A7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2</cp:revision>
  <dcterms:created xsi:type="dcterms:W3CDTF">2025-05-08T21:22:00Z</dcterms:created>
  <dcterms:modified xsi:type="dcterms:W3CDTF">2025-05-09T12:10:00Z</dcterms:modified>
</cp:coreProperties>
</file>