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62"/>
        </w:rPr>
        <w:t>SPRING AI + OLLAMA</w:t>
      </w:r>
    </w:p>
    <w:p>
      <w:pPr>
        <w:jc w:val="center"/>
      </w:pPr>
      <w:r>
        <w:rPr>
          <w:b/>
          <w:color w:val="2F5597"/>
          <w:sz w:val="50"/>
        </w:rPr>
        <w:t>Customer Support System</w:t>
      </w:r>
    </w:p>
    <w:p>
      <w:pPr>
        <w:jc w:val="center"/>
      </w:pPr>
      <w:r>
        <w:rPr>
          <w:sz w:val="24"/>
        </w:rPr>
        <w:t>Detailed Concepts • Architecture • Complete Flows • API Guide • Troubleshooting</w:t>
      </w:r>
    </w:p>
    <w:p/>
    <w:p>
      <w:pPr>
        <w:jc w:val="center"/>
      </w:pPr>
      <w:r>
        <w:rPr>
          <w:b/>
          <w:sz w:val="22"/>
        </w:rPr>
        <w:t>Java 21 · Spring Boot 4.1.0 · Spring AI 2.0.1 · Ollama</w:t>
      </w:r>
    </w:p>
    <w:p>
      <w:pPr>
        <w:spacing w:before="400"/>
        <w:jc w:val="center"/>
      </w:pPr>
      <w:r>
        <w:rPr>
          <w:sz w:val="20"/>
        </w:rPr>
        <w:t>Study notes for the in-memory enterprise-style support example</w:t>
      </w:r>
    </w:p>
    <w:p>
      <w:r>
        <w:br w:type="page"/>
      </w:r>
    </w:p>
    <w:p>
      <w:pPr>
        <w:pStyle w:val="Heading1"/>
      </w:pPr>
      <w:r>
        <w:t>How to use these notes</w:t>
      </w:r>
    </w:p>
    <w:p>
      <w:r>
        <w:t>This guide follows the example project and the API calls used in the walkthrough. It explains what each concept does, how requests move through the application, and why the conversationId error occurred.</w:t>
      </w:r>
    </w:p>
    <w:p>
      <w:pPr>
        <w:pStyle w:val="ListBullet"/>
        <w:spacing w:after="40"/>
      </w:pPr>
      <w:r>
        <w:t>Read Sections 1–4 for the architecture and class responsibilities.</w:t>
      </w:r>
    </w:p>
    <w:p>
      <w:pPr>
        <w:pStyle w:val="ListBullet"/>
        <w:spacing w:after="40"/>
      </w:pPr>
      <w:r>
        <w:t>Read Sections 5–12 for Spring AI concepts, RAG, memory, tools, agent patterns, approval, security, and reliability.</w:t>
      </w:r>
    </w:p>
    <w:p>
      <w:pPr>
        <w:pStyle w:val="ListBullet"/>
        <w:spacing w:after="40"/>
      </w:pPr>
      <w:r>
        <w:t>Use Section 13 for Windows CMD commands and the endpoint reference.</w:t>
      </w:r>
    </w:p>
    <w:p>
      <w:pPr>
        <w:pStyle w:val="ListBullet"/>
        <w:spacing w:after="40"/>
      </w:pPr>
      <w:r>
        <w:t>Use Sections 14–16 for end-to-end scenarios, setup, limitations, and troubleshooting.</w:t>
      </w:r>
    </w:p>
    <w:tbl>
      <w:tblPr>
        <w:tblStyle w:val="TableGrid"/>
        <w:tblW w:type="auto" w:w="0"/>
        <w:tblLook w:firstColumn="1" w:firstRow="1" w:lastColumn="0" w:lastRow="0" w:noHBand="0" w:noVBand="1" w:val="04A0"/>
      </w:tblPr>
      <w:tblGrid>
        <w:gridCol w:w="9994"/>
      </w:tblGrid>
      <w:tr>
        <w:tc>
          <w:tcPr>
            <w:tcW w:type="dxa" w:w="9994"/>
            <w:shd w:fill="E2F0D9"/>
          </w:tcPr>
          <w:p>
            <w:pPr>
              <w:spacing w:after="60"/>
            </w:pPr>
            <w:r/>
            <w:r>
              <w:rPr>
                <w:b/>
                <w:sz w:val="18"/>
              </w:rPr>
              <w:t xml:space="preserve">Scope  </w:t>
            </w:r>
            <w:r>
              <w:rPr>
                <w:sz w:val="18"/>
              </w:rPr>
              <w:t>The example uses seeded demo records and in-memory state. It does not connect to a real order database, payment gateway, carrier, or refund executor.</w:t>
            </w:r>
          </w:p>
        </w:tc>
      </w:tr>
    </w:tbl>
    <w:p/>
    <w:p>
      <w:pPr>
        <w:pStyle w:val="Heading1"/>
      </w:pPr>
      <w:r>
        <w:t>Contents</w:t>
      </w:r>
    </w:p>
    <w:p>
      <w:pPr>
        <w:pStyle w:val="ListBullet"/>
        <w:spacing w:after="40"/>
      </w:pPr>
      <w:r>
        <w:t>1. Problem and design principles</w:t>
      </w:r>
    </w:p>
    <w:p>
      <w:pPr>
        <w:pStyle w:val="ListBullet"/>
        <w:spacing w:after="40"/>
      </w:pPr>
      <w:r>
        <w:t>2. Technology stack and project structure</w:t>
      </w:r>
    </w:p>
    <w:p>
      <w:pPr>
        <w:pStyle w:val="ListBullet"/>
        <w:spacing w:after="40"/>
      </w:pPr>
      <w:r>
        <w:t>3. Architecture overview</w:t>
      </w:r>
    </w:p>
    <w:p>
      <w:pPr>
        <w:pStyle w:val="ListBullet"/>
        <w:spacing w:after="40"/>
      </w:pPr>
      <w:r>
        <w:t>4. Request lifecycle</w:t>
      </w:r>
    </w:p>
    <w:p>
      <w:pPr>
        <w:pStyle w:val="ListBullet"/>
        <w:spacing w:after="40"/>
      </w:pPr>
      <w:r>
        <w:t>5. ChatClient, prompts, and Ollama</w:t>
      </w:r>
    </w:p>
    <w:p>
      <w:pPr>
        <w:pStyle w:val="ListBullet"/>
        <w:spacing w:after="40"/>
      </w:pPr>
      <w:r>
        <w:t>6. Tools versus deterministic workflows</w:t>
      </w:r>
    </w:p>
    <w:p>
      <w:pPr>
        <w:pStyle w:val="ListBullet"/>
        <w:spacing w:after="40"/>
      </w:pPr>
      <w:r>
        <w:t>7. RAG and vector search</w:t>
      </w:r>
    </w:p>
    <w:p>
      <w:pPr>
        <w:pStyle w:val="ListBullet"/>
        <w:spacing w:after="40"/>
      </w:pPr>
      <w:r>
        <w:t>8. Chat memory, advisors, conversation IDs</w:t>
      </w:r>
    </w:p>
    <w:p>
      <w:pPr>
        <w:pStyle w:val="ListBullet"/>
        <w:spacing w:after="40"/>
      </w:pPr>
      <w:r>
        <w:t>9. Structured output and verification</w:t>
      </w:r>
    </w:p>
    <w:p>
      <w:pPr>
        <w:pStyle w:val="ListBullet"/>
        <w:spacing w:after="40"/>
      </w:pPr>
      <w:r>
        <w:t>10. Agent patterns</w:t>
      </w:r>
    </w:p>
    <w:p>
      <w:pPr>
        <w:pStyle w:val="ListBullet"/>
        <w:spacing w:after="40"/>
      </w:pPr>
      <w:r>
        <w:t>11. Human approval</w:t>
      </w:r>
    </w:p>
    <w:p>
      <w:pPr>
        <w:pStyle w:val="ListBullet"/>
        <w:spacing w:after="40"/>
      </w:pPr>
      <w:r>
        <w:t>12. Security, audit, resilience, observability</w:t>
      </w:r>
    </w:p>
    <w:p>
      <w:pPr>
        <w:pStyle w:val="ListBullet"/>
        <w:spacing w:after="40"/>
      </w:pPr>
      <w:r>
        <w:t>13. API reference and Windows commands</w:t>
      </w:r>
    </w:p>
    <w:p>
      <w:pPr>
        <w:pStyle w:val="ListBullet"/>
        <w:spacing w:after="40"/>
      </w:pPr>
      <w:r>
        <w:t>14. Complete business flows</w:t>
      </w:r>
    </w:p>
    <w:p>
      <w:pPr>
        <w:pStyle w:val="ListBullet"/>
        <w:spacing w:after="40"/>
      </w:pPr>
      <w:r>
        <w:t>15. Setup and learning sequence</w:t>
      </w:r>
    </w:p>
    <w:p>
      <w:pPr>
        <w:pStyle w:val="ListBullet"/>
        <w:spacing w:after="40"/>
      </w:pPr>
      <w:r>
        <w:t>16. Production hardening</w:t>
      </w:r>
    </w:p>
    <w:p>
      <w:pPr>
        <w:pStyle w:val="ListBullet"/>
        <w:spacing w:after="40"/>
      </w:pPr>
      <w:r>
        <w:t>17. conversationId troubleshooting</w:t>
      </w:r>
    </w:p>
    <w:p>
      <w:pPr>
        <w:pStyle w:val="ListBullet"/>
        <w:spacing w:after="40"/>
      </w:pPr>
      <w:r>
        <w:t>18. Glossary and mental model</w:t>
      </w:r>
    </w:p>
    <w:p>
      <w:r>
        <w:br w:type="page"/>
      </w:r>
    </w:p>
    <w:p>
      <w:pPr>
        <w:pStyle w:val="Heading1"/>
      </w:pPr>
      <w:r>
        <w:t>1. Problem and design principles</w:t>
      </w:r>
    </w:p>
    <w:p>
      <w:r>
        <w:t>The application models an AI-assisted support team. Customers may report a delayed shipment, question a payment, or ask for help with a ticket. The application retrieves reliable facts, explains them in plain language, classifies the issue, and routes risky decisions to a human.</w:t>
      </w:r>
    </w:p>
    <w:p>
      <w:pPr>
        <w:pStyle w:val="Heading2"/>
      </w:pPr>
      <w:r>
        <w:t>Example scenarios</w:t>
      </w:r>
    </w:p>
    <w:p>
      <w:pPr>
        <w:pStyle w:val="ListBullet"/>
        <w:spacing w:after="40"/>
      </w:pPr>
      <w:r>
        <w:t>Shipment delay: investigate ticket TCK-100, order ORD-101, and inventory SKU-101.</w:t>
      </w:r>
    </w:p>
    <w:p>
      <w:pPr>
        <w:pStyle w:val="ListBullet"/>
        <w:spacing w:after="40"/>
      </w:pPr>
      <w:r>
        <w:t>Possible duplicate charge: analyze TCK-200 and flag it for human review.</w:t>
      </w:r>
    </w:p>
    <w:p>
      <w:pPr>
        <w:pStyle w:val="ListBullet"/>
        <w:spacing w:after="40"/>
      </w:pPr>
      <w:r>
        <w:t>Refund review: create a pending approval request, then let an approver record APPROVE or REJECT. The demo does not issue a refund.</w:t>
      </w:r>
    </w:p>
    <w:p>
      <w:pPr>
        <w:pStyle w:val="Heading2"/>
      </w:pPr>
      <w:r>
        <w:t>Core principles</w:t>
      </w:r>
    </w:p>
    <w:tbl>
      <w:tblPr>
        <w:tblStyle w:val="LightShading-Accent1"/>
        <w:tblW w:type="auto" w:w="0"/>
        <w:jc w:val="center"/>
        <w:tblLook w:firstColumn="1" w:firstRow="1" w:lastColumn="0" w:lastRow="0" w:noHBand="0" w:noVBand="1" w:val="04A0"/>
      </w:tblPr>
      <w:tblGrid>
        <w:gridCol w:w="4997"/>
        <w:gridCol w:w="4997"/>
      </w:tblGrid>
      <w:tr>
        <w:tc>
          <w:tcPr>
            <w:tcW w:type="dxa" w:w="4997"/>
            <w:shd w:fill="D9EAF7"/>
          </w:tcPr>
          <w:p>
            <w:r>
              <w:rPr>
                <w:b/>
                <w:sz w:val="17"/>
              </w:rPr>
              <w:t>Principle</w:t>
            </w:r>
          </w:p>
        </w:tc>
        <w:tc>
          <w:tcPr>
            <w:tcW w:type="dxa" w:w="4997"/>
            <w:shd w:fill="D9EAF7"/>
          </w:tcPr>
          <w:p>
            <w:r>
              <w:rPr>
                <w:b/>
                <w:sz w:val="17"/>
              </w:rPr>
              <w:t>Meaning in the example</w:t>
            </w:r>
          </w:p>
        </w:tc>
      </w:tr>
      <w:tr>
        <w:tc>
          <w:tcPr>
            <w:tcW w:type="dxa" w:w="4997"/>
            <w:vAlign w:val="center"/>
          </w:tcPr>
          <w:p>
            <w:pPr>
              <w:spacing w:after="20"/>
            </w:pPr>
            <w:r>
              <w:rPr>
                <w:sz w:val="16"/>
              </w:rPr>
              <w:t>LLM for language work</w:t>
            </w:r>
          </w:p>
        </w:tc>
        <w:tc>
          <w:tcPr>
            <w:tcW w:type="dxa" w:w="4997"/>
            <w:vAlign w:val="center"/>
          </w:tcPr>
          <w:p>
            <w:pPr>
              <w:spacing w:after="20"/>
            </w:pPr>
            <w:r>
              <w:rPr>
                <w:sz w:val="16"/>
              </w:rPr>
              <w:t>Classify, summarize, draft, route, and explain; do not treat model text as authoritative business state.</w:t>
            </w:r>
          </w:p>
        </w:tc>
      </w:tr>
      <w:tr>
        <w:tc>
          <w:tcPr>
            <w:tcW w:type="dxa" w:w="4997"/>
            <w:vAlign w:val="center"/>
          </w:tcPr>
          <w:p>
            <w:pPr>
              <w:spacing w:after="20"/>
            </w:pPr>
            <w:r>
              <w:rPr>
                <w:sz w:val="16"/>
              </w:rPr>
              <w:t>Java for control</w:t>
            </w:r>
          </w:p>
        </w:tc>
        <w:tc>
          <w:tcPr>
            <w:tcW w:type="dxa" w:w="4997"/>
            <w:vAlign w:val="center"/>
          </w:tcPr>
          <w:p>
            <w:pPr>
              <w:spacing w:after="20"/>
            </w:pPr>
            <w:r>
              <w:rPr>
                <w:sz w:val="16"/>
              </w:rPr>
              <w:t>Validation, authorization, fixed workflow steps, approval state, and tool execution remain in application code.</w:t>
            </w:r>
          </w:p>
        </w:tc>
      </w:tr>
      <w:tr>
        <w:tc>
          <w:tcPr>
            <w:tcW w:type="dxa" w:w="4997"/>
            <w:vAlign w:val="center"/>
          </w:tcPr>
          <w:p>
            <w:pPr>
              <w:spacing w:after="20"/>
            </w:pPr>
            <w:r>
              <w:rPr>
                <w:sz w:val="16"/>
              </w:rPr>
              <w:t>Trusted facts first</w:t>
            </w:r>
          </w:p>
        </w:tc>
        <w:tc>
          <w:tcPr>
            <w:tcW w:type="dxa" w:w="4997"/>
            <w:vAlign w:val="center"/>
          </w:tcPr>
          <w:p>
            <w:pPr>
              <w:spacing w:after="20"/>
            </w:pPr>
            <w:r>
              <w:rPr>
                <w:sz w:val="16"/>
              </w:rPr>
              <w:t>Order/payment/ticket facts come from tools or workflow services, not from model memory.</w:t>
            </w:r>
          </w:p>
        </w:tc>
      </w:tr>
      <w:tr>
        <w:tc>
          <w:tcPr>
            <w:tcW w:type="dxa" w:w="4997"/>
            <w:vAlign w:val="center"/>
          </w:tcPr>
          <w:p>
            <w:pPr>
              <w:spacing w:after="20"/>
            </w:pPr>
            <w:r>
              <w:rPr>
                <w:sz w:val="16"/>
              </w:rPr>
              <w:t>Constrained capabilities</w:t>
            </w:r>
          </w:p>
        </w:tc>
        <w:tc>
          <w:tcPr>
            <w:tcW w:type="dxa" w:w="4997"/>
            <w:vAlign w:val="center"/>
          </w:tcPr>
          <w:p>
            <w:pPr>
              <w:spacing w:after="20"/>
            </w:pPr>
            <w:r>
              <w:rPr>
                <w:sz w:val="16"/>
              </w:rPr>
              <w:t>Only read-only tools are exposed; no refund or cancellation write tool is provided.</w:t>
            </w:r>
          </w:p>
        </w:tc>
      </w:tr>
      <w:tr>
        <w:tc>
          <w:tcPr>
            <w:tcW w:type="dxa" w:w="4997"/>
            <w:vAlign w:val="center"/>
          </w:tcPr>
          <w:p>
            <w:pPr>
              <w:spacing w:after="20"/>
            </w:pPr>
            <w:r>
              <w:rPr>
                <w:sz w:val="16"/>
              </w:rPr>
              <w:t>Structured contracts</w:t>
            </w:r>
          </w:p>
        </w:tc>
        <w:tc>
          <w:tcPr>
            <w:tcW w:type="dxa" w:w="4997"/>
            <w:vAlign w:val="center"/>
          </w:tcPr>
          <w:p>
            <w:pPr>
              <w:spacing w:after="20"/>
            </w:pPr>
            <w:r>
              <w:rPr>
                <w:sz w:val="16"/>
              </w:rPr>
              <w:t>Java records define response fields for SupportReply, TicketAnalysis, and InvestigationResult.</w:t>
            </w:r>
          </w:p>
        </w:tc>
      </w:tr>
      <w:tr>
        <w:tc>
          <w:tcPr>
            <w:tcW w:type="dxa" w:w="4997"/>
            <w:vAlign w:val="center"/>
          </w:tcPr>
          <w:p>
            <w:pPr>
              <w:spacing w:after="20"/>
            </w:pPr>
            <w:r>
              <w:rPr>
                <w:sz w:val="16"/>
              </w:rPr>
              <w:t>Human review for risk</w:t>
            </w:r>
          </w:p>
        </w:tc>
        <w:tc>
          <w:tcPr>
            <w:tcW w:type="dxa" w:w="4997"/>
            <w:vAlign w:val="center"/>
          </w:tcPr>
          <w:p>
            <w:pPr>
              <w:spacing w:after="20"/>
            </w:pPr>
            <w:r>
              <w:rPr>
                <w:sz w:val="16"/>
              </w:rPr>
              <w:t>Financial disputes and other high-risk cases can be escalated.</w:t>
            </w:r>
          </w:p>
        </w:tc>
      </w:tr>
      <w:tr>
        <w:tc>
          <w:tcPr>
            <w:tcW w:type="dxa" w:w="4997"/>
            <w:vAlign w:val="center"/>
          </w:tcPr>
          <w:p>
            <w:pPr>
              <w:spacing w:after="20"/>
            </w:pPr>
            <w:r>
              <w:rPr>
                <w:sz w:val="16"/>
              </w:rPr>
              <w:t>Observable behavior</w:t>
            </w:r>
          </w:p>
        </w:tc>
        <w:tc>
          <w:tcPr>
            <w:tcW w:type="dxa" w:w="4997"/>
            <w:vAlign w:val="center"/>
          </w:tcPr>
          <w:p>
            <w:pPr>
              <w:spacing w:after="20"/>
            </w:pPr>
            <w:r>
              <w:rPr>
                <w:sz w:val="16"/>
              </w:rPr>
              <w:t>Audit events and Actuator endpoints support troubleshooting.</w:t>
            </w:r>
          </w:p>
        </w:tc>
      </w:tr>
    </w:tbl>
    <w:p/>
    <w:tbl>
      <w:tblPr>
        <w:tblStyle w:val="TableGrid"/>
        <w:tblW w:type="auto" w:w="0"/>
        <w:tblLook w:firstColumn="1" w:firstRow="1" w:lastColumn="0" w:lastRow="0" w:noHBand="0" w:noVBand="1" w:val="04A0"/>
      </w:tblPr>
      <w:tblGrid>
        <w:gridCol w:w="9994"/>
      </w:tblGrid>
      <w:tr>
        <w:tc>
          <w:tcPr>
            <w:tcW w:type="dxa" w:w="9994"/>
            <w:shd w:fill="FFF2CC"/>
          </w:tcPr>
          <w:p>
            <w:pPr>
              <w:spacing w:after="60"/>
            </w:pPr>
            <w:r/>
            <w:r>
              <w:rPr>
                <w:b/>
                <w:sz w:val="18"/>
              </w:rPr>
              <w:t xml:space="preserve">Important  </w:t>
            </w:r>
            <w:r>
              <w:rPr>
                <w:sz w:val="18"/>
              </w:rPr>
              <w:t>A system prompt is guidance, not a security boundary. Enforce authorization and business rules in Java and trusted backend systems.</w:t>
            </w:r>
          </w:p>
        </w:tc>
      </w:tr>
    </w:tbl>
    <w:p/>
    <w:p>
      <w:pPr>
        <w:pStyle w:val="Heading1"/>
      </w:pPr>
      <w:r>
        <w:t>2. Technology stack and project structure</w:t>
      </w:r>
    </w:p>
    <w:tbl>
      <w:tblPr>
        <w:tblStyle w:val="LightShading-Accent1"/>
        <w:tblW w:type="auto" w:w="0"/>
        <w:jc w:val="center"/>
        <w:tblLook w:firstColumn="1" w:firstRow="1" w:lastColumn="0" w:lastRow="0" w:noHBand="0" w:noVBand="1" w:val="04A0"/>
      </w:tblPr>
      <w:tblGrid>
        <w:gridCol w:w="4997"/>
        <w:gridCol w:w="4997"/>
      </w:tblGrid>
      <w:tr>
        <w:tc>
          <w:tcPr>
            <w:tcW w:type="dxa" w:w="4997"/>
            <w:shd w:fill="D9EAF7"/>
          </w:tcPr>
          <w:p>
            <w:r>
              <w:rPr>
                <w:b/>
                <w:sz w:val="17"/>
              </w:rPr>
              <w:t>Technology</w:t>
            </w:r>
          </w:p>
        </w:tc>
        <w:tc>
          <w:tcPr>
            <w:tcW w:type="dxa" w:w="4997"/>
            <w:shd w:fill="D9EAF7"/>
          </w:tcPr>
          <w:p>
            <w:r>
              <w:rPr>
                <w:b/>
                <w:sz w:val="17"/>
              </w:rPr>
              <w:t>Role</w:t>
            </w:r>
          </w:p>
        </w:tc>
      </w:tr>
      <w:tr>
        <w:tc>
          <w:tcPr>
            <w:tcW w:type="dxa" w:w="4997"/>
            <w:vAlign w:val="center"/>
          </w:tcPr>
          <w:p>
            <w:pPr>
              <w:spacing w:after="20"/>
            </w:pPr>
            <w:r>
              <w:rPr>
                <w:sz w:val="16"/>
              </w:rPr>
              <w:t>Java 21</w:t>
            </w:r>
          </w:p>
        </w:tc>
        <w:tc>
          <w:tcPr>
            <w:tcW w:type="dxa" w:w="4997"/>
            <w:vAlign w:val="center"/>
          </w:tcPr>
          <w:p>
            <w:pPr>
              <w:spacing w:after="20"/>
            </w:pPr>
            <w:r>
              <w:rPr>
                <w:sz w:val="16"/>
              </w:rPr>
              <w:t>Application language and runtime.</w:t>
            </w:r>
          </w:p>
        </w:tc>
      </w:tr>
      <w:tr>
        <w:tc>
          <w:tcPr>
            <w:tcW w:type="dxa" w:w="4997"/>
            <w:vAlign w:val="center"/>
          </w:tcPr>
          <w:p>
            <w:pPr>
              <w:spacing w:after="20"/>
            </w:pPr>
            <w:r>
              <w:rPr>
                <w:sz w:val="16"/>
              </w:rPr>
              <w:t>Spring Boot 4.1.0</w:t>
            </w:r>
          </w:p>
        </w:tc>
        <w:tc>
          <w:tcPr>
            <w:tcW w:type="dxa" w:w="4997"/>
            <w:vAlign w:val="center"/>
          </w:tcPr>
          <w:p>
            <w:pPr>
              <w:spacing w:after="20"/>
            </w:pPr>
            <w:r>
              <w:rPr>
                <w:sz w:val="16"/>
              </w:rPr>
              <w:t>Dependency injection, REST endpoints, configuration, validation, security integration.</w:t>
            </w:r>
          </w:p>
        </w:tc>
      </w:tr>
      <w:tr>
        <w:tc>
          <w:tcPr>
            <w:tcW w:type="dxa" w:w="4997"/>
            <w:vAlign w:val="center"/>
          </w:tcPr>
          <w:p>
            <w:pPr>
              <w:spacing w:after="20"/>
            </w:pPr>
            <w:r>
              <w:rPr>
                <w:sz w:val="16"/>
              </w:rPr>
              <w:t>Spring AI 2.0.1</w:t>
            </w:r>
          </w:p>
        </w:tc>
        <w:tc>
          <w:tcPr>
            <w:tcW w:type="dxa" w:w="4997"/>
            <w:vAlign w:val="center"/>
          </w:tcPr>
          <w:p>
            <w:pPr>
              <w:spacing w:after="20"/>
            </w:pPr>
            <w:r>
              <w:rPr>
                <w:sz w:val="16"/>
              </w:rPr>
              <w:t>ChatClient, Ollama integration, embeddings/vector store abstractions, tool calling, structured output, advisors.</w:t>
            </w:r>
          </w:p>
        </w:tc>
      </w:tr>
      <w:tr>
        <w:tc>
          <w:tcPr>
            <w:tcW w:type="dxa" w:w="4997"/>
            <w:vAlign w:val="center"/>
          </w:tcPr>
          <w:p>
            <w:pPr>
              <w:spacing w:after="20"/>
            </w:pPr>
            <w:r>
              <w:rPr>
                <w:sz w:val="16"/>
              </w:rPr>
              <w:t>Ollama</w:t>
            </w:r>
          </w:p>
        </w:tc>
        <w:tc>
          <w:tcPr>
            <w:tcW w:type="dxa" w:w="4997"/>
            <w:vAlign w:val="center"/>
          </w:tcPr>
          <w:p>
            <w:pPr>
              <w:spacing w:after="20"/>
            </w:pPr>
            <w:r>
              <w:rPr>
                <w:sz w:val="16"/>
              </w:rPr>
              <w:t>Local model runtime; qwen2.5:7b is the configured chat model.</w:t>
            </w:r>
          </w:p>
        </w:tc>
      </w:tr>
      <w:tr>
        <w:tc>
          <w:tcPr>
            <w:tcW w:type="dxa" w:w="4997"/>
            <w:vAlign w:val="center"/>
          </w:tcPr>
          <w:p>
            <w:pPr>
              <w:spacing w:after="20"/>
            </w:pPr>
            <w:r>
              <w:rPr>
                <w:sz w:val="16"/>
              </w:rPr>
              <w:t>nomic-embed-text</w:t>
            </w:r>
          </w:p>
        </w:tc>
        <w:tc>
          <w:tcPr>
            <w:tcW w:type="dxa" w:w="4997"/>
            <w:vAlign w:val="center"/>
          </w:tcPr>
          <w:p>
            <w:pPr>
              <w:spacing w:after="20"/>
            </w:pPr>
            <w:r>
              <w:rPr>
                <w:sz w:val="16"/>
              </w:rPr>
              <w:t>Embedding model for documents and queries.</w:t>
            </w:r>
          </w:p>
        </w:tc>
      </w:tr>
      <w:tr>
        <w:tc>
          <w:tcPr>
            <w:tcW w:type="dxa" w:w="4997"/>
            <w:vAlign w:val="center"/>
          </w:tcPr>
          <w:p>
            <w:pPr>
              <w:spacing w:after="20"/>
            </w:pPr>
            <w:r>
              <w:rPr>
                <w:sz w:val="16"/>
              </w:rPr>
              <w:t>SimpleVectorStore</w:t>
            </w:r>
          </w:p>
        </w:tc>
        <w:tc>
          <w:tcPr>
            <w:tcW w:type="dxa" w:w="4997"/>
            <w:vAlign w:val="center"/>
          </w:tcPr>
          <w:p>
            <w:pPr>
              <w:spacing w:after="20"/>
            </w:pPr>
            <w:r>
              <w:rPr>
                <w:sz w:val="16"/>
              </w:rPr>
              <w:t>In-memory semantic vector store.</w:t>
            </w:r>
          </w:p>
        </w:tc>
      </w:tr>
      <w:tr>
        <w:tc>
          <w:tcPr>
            <w:tcW w:type="dxa" w:w="4997"/>
            <w:vAlign w:val="center"/>
          </w:tcPr>
          <w:p>
            <w:pPr>
              <w:spacing w:after="20"/>
            </w:pPr>
            <w:r>
              <w:rPr>
                <w:sz w:val="16"/>
              </w:rPr>
              <w:t>MessageWindowChatMemory</w:t>
            </w:r>
          </w:p>
        </w:tc>
        <w:tc>
          <w:tcPr>
            <w:tcW w:type="dxa" w:w="4997"/>
            <w:vAlign w:val="center"/>
          </w:tcPr>
          <w:p>
            <w:pPr>
              <w:spacing w:after="20"/>
            </w:pPr>
            <w:r>
              <w:rPr>
                <w:sz w:val="16"/>
              </w:rPr>
              <w:t>Short-term conversation history with a message window.</w:t>
            </w:r>
          </w:p>
        </w:tc>
      </w:tr>
      <w:tr>
        <w:tc>
          <w:tcPr>
            <w:tcW w:type="dxa" w:w="4997"/>
            <w:vAlign w:val="center"/>
          </w:tcPr>
          <w:p>
            <w:pPr>
              <w:spacing w:after="20"/>
            </w:pPr>
            <w:r>
              <w:rPr>
                <w:sz w:val="16"/>
              </w:rPr>
              <w:t>Spring Security</w:t>
            </w:r>
          </w:p>
        </w:tc>
        <w:tc>
          <w:tcPr>
            <w:tcW w:type="dxa" w:w="4997"/>
            <w:vAlign w:val="center"/>
          </w:tcPr>
          <w:p>
            <w:pPr>
              <w:spacing w:after="20"/>
            </w:pPr>
            <w:r>
              <w:rPr>
                <w:sz w:val="16"/>
              </w:rPr>
              <w:t>HTTP Basic demo users and role-based authorization.</w:t>
            </w:r>
          </w:p>
        </w:tc>
      </w:tr>
      <w:tr>
        <w:tc>
          <w:tcPr>
            <w:tcW w:type="dxa" w:w="4997"/>
            <w:vAlign w:val="center"/>
          </w:tcPr>
          <w:p>
            <w:pPr>
              <w:spacing w:after="20"/>
            </w:pPr>
            <w:r>
              <w:rPr>
                <w:sz w:val="16"/>
              </w:rPr>
              <w:t>Actuator/Micrometer</w:t>
            </w:r>
          </w:p>
        </w:tc>
        <w:tc>
          <w:tcPr>
            <w:tcW w:type="dxa" w:w="4997"/>
            <w:vAlign w:val="center"/>
          </w:tcPr>
          <w:p>
            <w:pPr>
              <w:spacing w:after="20"/>
            </w:pPr>
            <w:r>
              <w:rPr>
                <w:sz w:val="16"/>
              </w:rPr>
              <w:t>Health, metrics, and tracing/export configuration.</w:t>
            </w:r>
          </w:p>
        </w:tc>
      </w:tr>
      <w:tr>
        <w:tc>
          <w:tcPr>
            <w:tcW w:type="dxa" w:w="4997"/>
            <w:vAlign w:val="center"/>
          </w:tcPr>
          <w:p>
            <w:pPr>
              <w:spacing w:after="20"/>
            </w:pPr>
            <w:r>
              <w:rPr>
                <w:sz w:val="16"/>
              </w:rPr>
              <w:t>Maven</w:t>
            </w:r>
          </w:p>
        </w:tc>
        <w:tc>
          <w:tcPr>
            <w:tcW w:type="dxa" w:w="4997"/>
            <w:vAlign w:val="center"/>
          </w:tcPr>
          <w:p>
            <w:pPr>
              <w:spacing w:after="20"/>
            </w:pPr>
            <w:r>
              <w:rPr>
                <w:sz w:val="16"/>
              </w:rPr>
              <w:t>Dependency management and build.</w:t>
            </w:r>
          </w:p>
        </w:tc>
      </w:tr>
    </w:tbl>
    <w:p/>
    <w:p>
      <w:pPr>
        <w:pStyle w:val="Heading2"/>
      </w:pPr>
      <w:r>
        <w:t>Important classes</w:t>
      </w:r>
    </w:p>
    <w:tbl>
      <w:tblPr>
        <w:tblStyle w:val="LightShading-Accent1"/>
        <w:tblW w:type="auto" w:w="0"/>
        <w:jc w:val="center"/>
        <w:tblLook w:firstColumn="1" w:firstRow="1" w:lastColumn="0" w:lastRow="0" w:noHBand="0" w:noVBand="1" w:val="04A0"/>
      </w:tblPr>
      <w:tblGrid>
        <w:gridCol w:w="4997"/>
        <w:gridCol w:w="4997"/>
      </w:tblGrid>
      <w:tr>
        <w:tc>
          <w:tcPr>
            <w:tcW w:type="dxa" w:w="4997"/>
            <w:shd w:fill="D9EAF7"/>
          </w:tcPr>
          <w:p>
            <w:r>
              <w:rPr>
                <w:b/>
                <w:sz w:val="17"/>
              </w:rPr>
              <w:t>Class / file</w:t>
            </w:r>
          </w:p>
        </w:tc>
        <w:tc>
          <w:tcPr>
            <w:tcW w:type="dxa" w:w="4997"/>
            <w:shd w:fill="D9EAF7"/>
          </w:tcPr>
          <w:p>
            <w:r>
              <w:rPr>
                <w:b/>
                <w:sz w:val="17"/>
              </w:rPr>
              <w:t>Responsibility</w:t>
            </w:r>
          </w:p>
        </w:tc>
      </w:tr>
      <w:tr>
        <w:tc>
          <w:tcPr>
            <w:tcW w:type="dxa" w:w="4997"/>
            <w:vAlign w:val="center"/>
          </w:tcPr>
          <w:p>
            <w:pPr>
              <w:spacing w:after="20"/>
            </w:pPr>
            <w:r>
              <w:rPr>
                <w:sz w:val="16"/>
              </w:rPr>
              <w:t>SupportApplication</w:t>
            </w:r>
          </w:p>
        </w:tc>
        <w:tc>
          <w:tcPr>
            <w:tcW w:type="dxa" w:w="4997"/>
            <w:vAlign w:val="center"/>
          </w:tcPr>
          <w:p>
            <w:pPr>
              <w:spacing w:after="20"/>
            </w:pPr>
            <w:r>
              <w:rPr>
                <w:sz w:val="16"/>
              </w:rPr>
              <w:t>Spring Boot entry point.</w:t>
            </w:r>
          </w:p>
        </w:tc>
      </w:tr>
      <w:tr>
        <w:tc>
          <w:tcPr>
            <w:tcW w:type="dxa" w:w="4997"/>
            <w:vAlign w:val="center"/>
          </w:tcPr>
          <w:p>
            <w:pPr>
              <w:spacing w:after="20"/>
            </w:pPr>
            <w:r>
              <w:rPr>
                <w:sz w:val="16"/>
              </w:rPr>
              <w:t>AiConfiguration</w:t>
            </w:r>
          </w:p>
        </w:tc>
        <w:tc>
          <w:tcPr>
            <w:tcW w:type="dxa" w:w="4997"/>
            <w:vAlign w:val="center"/>
          </w:tcPr>
          <w:p>
            <w:pPr>
              <w:spacing w:after="20"/>
            </w:pPr>
            <w:r>
              <w:rPr>
                <w:sz w:val="16"/>
              </w:rPr>
              <w:t>Creates ChatMemory, ChatClient, default memory advisor, and SimpleVectorStore.</w:t>
            </w:r>
          </w:p>
        </w:tc>
      </w:tr>
      <w:tr>
        <w:tc>
          <w:tcPr>
            <w:tcW w:type="dxa" w:w="4997"/>
            <w:vAlign w:val="center"/>
          </w:tcPr>
          <w:p>
            <w:pPr>
              <w:spacing w:after="20"/>
            </w:pPr>
            <w:r>
              <w:rPr>
                <w:sz w:val="16"/>
              </w:rPr>
              <w:t>KnowledgeBaseConfiguration</w:t>
            </w:r>
          </w:p>
        </w:tc>
        <w:tc>
          <w:tcPr>
            <w:tcW w:type="dxa" w:w="4997"/>
            <w:vAlign w:val="center"/>
          </w:tcPr>
          <w:p>
            <w:pPr>
              <w:spacing w:after="20"/>
            </w:pPr>
            <w:r>
              <w:rPr>
                <w:sz w:val="16"/>
              </w:rPr>
              <w:t>Seeds sample policy/knowledge documents at startup.</w:t>
            </w:r>
          </w:p>
        </w:tc>
      </w:tr>
      <w:tr>
        <w:tc>
          <w:tcPr>
            <w:tcW w:type="dxa" w:w="4997"/>
            <w:vAlign w:val="center"/>
          </w:tcPr>
          <w:p>
            <w:pPr>
              <w:spacing w:after="20"/>
            </w:pPr>
            <w:r>
              <w:rPr>
                <w:sz w:val="16"/>
              </w:rPr>
              <w:t>SupportController</w:t>
            </w:r>
          </w:p>
        </w:tc>
        <w:tc>
          <w:tcPr>
            <w:tcW w:type="dxa" w:w="4997"/>
            <w:vAlign w:val="center"/>
          </w:tcPr>
          <w:p>
            <w:pPr>
              <w:spacing w:after="20"/>
            </w:pPr>
            <w:r>
              <w:rPr>
                <w:sz w:val="16"/>
              </w:rPr>
              <w:t>Maps routes, validates requests, checks roles, delegates to services.</w:t>
            </w:r>
          </w:p>
        </w:tc>
      </w:tr>
      <w:tr>
        <w:tc>
          <w:tcPr>
            <w:tcW w:type="dxa" w:w="4997"/>
            <w:vAlign w:val="center"/>
          </w:tcPr>
          <w:p>
            <w:pPr>
              <w:spacing w:after="20"/>
            </w:pPr>
            <w:r>
              <w:rPr>
                <w:sz w:val="16"/>
              </w:rPr>
              <w:t>SupportAiService</w:t>
            </w:r>
          </w:p>
        </w:tc>
        <w:tc>
          <w:tcPr>
            <w:tcW w:type="dxa" w:w="4997"/>
            <w:vAlign w:val="center"/>
          </w:tcPr>
          <w:p>
            <w:pPr>
              <w:spacing w:after="20"/>
            </w:pPr>
            <w:r>
              <w:rPr>
                <w:sz w:val="16"/>
              </w:rPr>
              <w:t>RAG-enhanced chat, tool-chat, ticket analysis, streaming.</w:t>
            </w:r>
          </w:p>
        </w:tc>
      </w:tr>
      <w:tr>
        <w:tc>
          <w:tcPr>
            <w:tcW w:type="dxa" w:w="4997"/>
            <w:vAlign w:val="center"/>
          </w:tcPr>
          <w:p>
            <w:pPr>
              <w:spacing w:after="20"/>
            </w:pPr>
            <w:r>
              <w:rPr>
                <w:sz w:val="16"/>
              </w:rPr>
              <w:t>AgentPatternsService</w:t>
            </w:r>
          </w:p>
        </w:tc>
        <w:tc>
          <w:tcPr>
            <w:tcW w:type="dxa" w:w="4997"/>
            <w:vAlign w:val="center"/>
          </w:tcPr>
          <w:p>
            <w:pPr>
              <w:spacing w:after="20"/>
            </w:pPr>
            <w:r>
              <w:rPr>
                <w:sz w:val="16"/>
              </w:rPr>
              <w:t>No-tool, plan–execute–synthesize, reflection, specialist routing.</w:t>
            </w:r>
          </w:p>
        </w:tc>
      </w:tr>
      <w:tr>
        <w:tc>
          <w:tcPr>
            <w:tcW w:type="dxa" w:w="4997"/>
            <w:vAlign w:val="center"/>
          </w:tcPr>
          <w:p>
            <w:pPr>
              <w:spacing w:after="20"/>
            </w:pPr>
            <w:r>
              <w:rPr>
                <w:sz w:val="16"/>
              </w:rPr>
              <w:t>SupportTools</w:t>
            </w:r>
          </w:p>
        </w:tc>
        <w:tc>
          <w:tcPr>
            <w:tcW w:type="dxa" w:w="4997"/>
            <w:vAlign w:val="center"/>
          </w:tcPr>
          <w:p>
            <w:pPr>
              <w:spacing w:after="20"/>
            </w:pPr>
            <w:r>
              <w:rPr>
                <w:sz w:val="16"/>
              </w:rPr>
              <w:t>Read-only ticket/order/payment/inventory/warranty/SLA lookup methods.</w:t>
            </w:r>
          </w:p>
        </w:tc>
      </w:tr>
      <w:tr>
        <w:tc>
          <w:tcPr>
            <w:tcW w:type="dxa" w:w="4997"/>
            <w:vAlign w:val="center"/>
          </w:tcPr>
          <w:p>
            <w:pPr>
              <w:spacing w:after="20"/>
            </w:pPr>
            <w:r>
              <w:rPr>
                <w:sz w:val="16"/>
              </w:rPr>
              <w:t>SupportWorkflowService</w:t>
            </w:r>
          </w:p>
        </w:tc>
        <w:tc>
          <w:tcPr>
            <w:tcW w:type="dxa" w:w="4997"/>
            <w:vAlign w:val="center"/>
          </w:tcPr>
          <w:p>
            <w:pPr>
              <w:spacing w:after="20"/>
            </w:pPr>
            <w:r>
              <w:rPr>
                <w:sz w:val="16"/>
              </w:rPr>
              <w:t>Fixed Java-controlled investigation sequence.</w:t>
            </w:r>
          </w:p>
        </w:tc>
      </w:tr>
      <w:tr>
        <w:tc>
          <w:tcPr>
            <w:tcW w:type="dxa" w:w="4997"/>
            <w:vAlign w:val="center"/>
          </w:tcPr>
          <w:p>
            <w:pPr>
              <w:spacing w:after="20"/>
            </w:pPr>
            <w:r>
              <w:rPr>
                <w:sz w:val="16"/>
              </w:rPr>
              <w:t>RagService</w:t>
            </w:r>
          </w:p>
        </w:tc>
        <w:tc>
          <w:tcPr>
            <w:tcW w:type="dxa" w:w="4997"/>
            <w:vAlign w:val="center"/>
          </w:tcPr>
          <w:p>
            <w:pPr>
              <w:spacing w:after="20"/>
            </w:pPr>
            <w:r>
              <w:rPr>
                <w:sz w:val="16"/>
              </w:rPr>
              <w:t>Similarity search, context formatting, source names.</w:t>
            </w:r>
          </w:p>
        </w:tc>
      </w:tr>
      <w:tr>
        <w:tc>
          <w:tcPr>
            <w:tcW w:type="dxa" w:w="4997"/>
            <w:vAlign w:val="center"/>
          </w:tcPr>
          <w:p>
            <w:pPr>
              <w:spacing w:after="20"/>
            </w:pPr>
            <w:r>
              <w:rPr>
                <w:sz w:val="16"/>
              </w:rPr>
              <w:t>ResponseVerifier</w:t>
            </w:r>
          </w:p>
        </w:tc>
        <w:tc>
          <w:tcPr>
            <w:tcW w:type="dxa" w:w="4997"/>
            <w:vAlign w:val="center"/>
          </w:tcPr>
          <w:p>
            <w:pPr>
              <w:spacing w:after="20"/>
            </w:pPr>
            <w:r>
              <w:rPr>
                <w:sz w:val="16"/>
              </w:rPr>
              <w:t>Normalizes model-produced classification and flags risky cases.</w:t>
            </w:r>
          </w:p>
        </w:tc>
      </w:tr>
      <w:tr>
        <w:tc>
          <w:tcPr>
            <w:tcW w:type="dxa" w:w="4997"/>
            <w:vAlign w:val="center"/>
          </w:tcPr>
          <w:p>
            <w:pPr>
              <w:spacing w:after="20"/>
            </w:pPr>
            <w:r>
              <w:rPr>
                <w:sz w:val="16"/>
              </w:rPr>
              <w:t>PromptSafetyService</w:t>
            </w:r>
          </w:p>
        </w:tc>
        <w:tc>
          <w:tcPr>
            <w:tcW w:type="dxa" w:w="4997"/>
            <w:vAlign w:val="center"/>
          </w:tcPr>
          <w:p>
            <w:pPr>
              <w:spacing w:after="20"/>
            </w:pPr>
            <w:r>
              <w:rPr>
                <w:sz w:val="16"/>
              </w:rPr>
              <w:t>Basic input checks and length/pattern restrictions.</w:t>
            </w:r>
          </w:p>
        </w:tc>
      </w:tr>
      <w:tr>
        <w:tc>
          <w:tcPr>
            <w:tcW w:type="dxa" w:w="4997"/>
            <w:vAlign w:val="center"/>
          </w:tcPr>
          <w:p>
            <w:pPr>
              <w:spacing w:after="20"/>
            </w:pPr>
            <w:r>
              <w:rPr>
                <w:sz w:val="16"/>
              </w:rPr>
              <w:t>ApprovalService</w:t>
            </w:r>
          </w:p>
        </w:tc>
        <w:tc>
          <w:tcPr>
            <w:tcW w:type="dxa" w:w="4997"/>
            <w:vAlign w:val="center"/>
          </w:tcPr>
          <w:p>
            <w:pPr>
              <w:spacing w:after="20"/>
            </w:pPr>
            <w:r>
              <w:rPr>
                <w:sz w:val="16"/>
              </w:rPr>
              <w:t>In-memory pending approval requests and decisions.</w:t>
            </w:r>
          </w:p>
        </w:tc>
      </w:tr>
      <w:tr>
        <w:tc>
          <w:tcPr>
            <w:tcW w:type="dxa" w:w="4997"/>
            <w:vAlign w:val="center"/>
          </w:tcPr>
          <w:p>
            <w:pPr>
              <w:spacing w:after="20"/>
            </w:pPr>
            <w:r>
              <w:rPr>
                <w:sz w:val="16"/>
              </w:rPr>
              <w:t>ResilienceExecutor</w:t>
            </w:r>
          </w:p>
        </w:tc>
        <w:tc>
          <w:tcPr>
            <w:tcW w:type="dxa" w:w="4997"/>
            <w:vAlign w:val="center"/>
          </w:tcPr>
          <w:p>
            <w:pPr>
              <w:spacing w:after="20"/>
            </w:pPr>
            <w:r>
              <w:rPr>
                <w:sz w:val="16"/>
              </w:rPr>
              <w:t>Educational retry, caller timeout, and circuit-open example.</w:t>
            </w:r>
          </w:p>
        </w:tc>
      </w:tr>
      <w:tr>
        <w:tc>
          <w:tcPr>
            <w:tcW w:type="dxa" w:w="4997"/>
            <w:vAlign w:val="center"/>
          </w:tcPr>
          <w:p>
            <w:pPr>
              <w:spacing w:after="20"/>
            </w:pPr>
            <w:r>
              <w:rPr>
                <w:sz w:val="16"/>
              </w:rPr>
              <w:t>AuditService</w:t>
            </w:r>
          </w:p>
        </w:tc>
        <w:tc>
          <w:tcPr>
            <w:tcW w:type="dxa" w:w="4997"/>
            <w:vAlign w:val="center"/>
          </w:tcPr>
          <w:p>
            <w:pPr>
              <w:spacing w:after="20"/>
            </w:pPr>
            <w:r>
              <w:rPr>
                <w:sz w:val="16"/>
              </w:rPr>
              <w:t>In-memory metadata audit events.</w:t>
            </w:r>
          </w:p>
        </w:tc>
      </w:tr>
      <w:tr>
        <w:tc>
          <w:tcPr>
            <w:tcW w:type="dxa" w:w="4997"/>
            <w:vAlign w:val="center"/>
          </w:tcPr>
          <w:p>
            <w:pPr>
              <w:spacing w:after="20"/>
            </w:pPr>
            <w:r>
              <w:rPr>
                <w:sz w:val="16"/>
              </w:rPr>
              <w:t>SecurityConfiguration</w:t>
            </w:r>
          </w:p>
        </w:tc>
        <w:tc>
          <w:tcPr>
            <w:tcW w:type="dxa" w:w="4997"/>
            <w:vAlign w:val="center"/>
          </w:tcPr>
          <w:p>
            <w:pPr>
              <w:spacing w:after="20"/>
            </w:pPr>
            <w:r>
              <w:rPr>
                <w:sz w:val="16"/>
              </w:rPr>
              <w:t>Demo users, password encoder, HTTP security.</w:t>
            </w:r>
          </w:p>
        </w:tc>
      </w:tr>
      <w:tr>
        <w:tc>
          <w:tcPr>
            <w:tcW w:type="dxa" w:w="4997"/>
            <w:vAlign w:val="center"/>
          </w:tcPr>
          <w:p>
            <w:pPr>
              <w:spacing w:after="20"/>
            </w:pPr>
            <w:r>
              <w:rPr>
                <w:sz w:val="16"/>
              </w:rPr>
              <w:t>RequestMetrics</w:t>
            </w:r>
          </w:p>
        </w:tc>
        <w:tc>
          <w:tcPr>
            <w:tcW w:type="dxa" w:w="4997"/>
            <w:vAlign w:val="center"/>
          </w:tcPr>
          <w:p>
            <w:pPr>
              <w:spacing w:after="20"/>
            </w:pPr>
            <w:r>
              <w:rPr>
                <w:sz w:val="16"/>
              </w:rPr>
              <w:t>Small metrics component; verify its call sites before assuming all requests are counted.</w:t>
            </w:r>
          </w:p>
        </w:tc>
      </w:tr>
    </w:tbl>
    <w:p/>
    <w:p>
      <w:pPr>
        <w:pStyle w:val="Heading1"/>
      </w:pPr>
      <w:r>
        <w:t>3. Architecture overview</w:t>
      </w:r>
    </w:p>
    <w:p>
      <w:pPr>
        <w:spacing w:before="60" w:after="140"/>
        <w:ind w:left="216" w:right="144"/>
        <w:shd w:fill="F2F4F7"/>
      </w:pPr>
      <w:r>
        <w:rPr>
          <w:rFonts w:ascii="Consolas" w:hAnsi="Consolas"/>
          <w:color w:val="282D34"/>
          <w:sz w:val="15"/>
        </w:rPr>
        <w:t>Customer / Support Agent / Approver</w:t>
      </w:r>
      <w:r>
        <w:br/>
      </w:r>
      <w:r>
        <w:rPr>
          <w:rFonts w:ascii="Consolas" w:hAnsi="Consolas"/>
          <w:color w:val="282D34"/>
          <w:sz w:val="15"/>
        </w:rPr>
        <w:t xml:space="preserve">              |</w:t>
      </w:r>
      <w:r>
        <w:br/>
      </w:r>
      <w:r>
        <w:rPr>
          <w:rFonts w:ascii="Consolas" w:hAnsi="Consolas"/>
          <w:color w:val="282D34"/>
          <w:sz w:val="15"/>
        </w:rPr>
        <w:t xml:space="preserve">              v</w:t>
      </w:r>
      <w:r>
        <w:br/>
      </w:r>
      <w:r>
        <w:rPr>
          <w:rFonts w:ascii="Consolas" w:hAnsi="Consolas"/>
          <w:color w:val="282D34"/>
          <w:sz w:val="15"/>
        </w:rPr>
        <w:t xml:space="preserve">        REST Controller</w:t>
      </w:r>
      <w:r>
        <w:br/>
      </w:r>
      <w:r>
        <w:rPr>
          <w:rFonts w:ascii="Consolas" w:hAnsi="Consolas"/>
          <w:color w:val="282D34"/>
          <w:sz w:val="15"/>
        </w:rPr>
        <w:t xml:space="preserve">      SupportController</w:t>
      </w:r>
      <w:r>
        <w:br/>
      </w:r>
      <w:r>
        <w:rPr>
          <w:rFonts w:ascii="Consolas" w:hAnsi="Consolas"/>
          <w:color w:val="282D34"/>
          <w:sz w:val="15"/>
        </w:rPr>
        <w:t xml:space="preserve">              |</w:t>
      </w:r>
      <w:r>
        <w:br/>
      </w:r>
      <w:r>
        <w:rPr>
          <w:rFonts w:ascii="Consolas" w:hAnsi="Consolas"/>
          <w:color w:val="282D34"/>
          <w:sz w:val="15"/>
        </w:rPr>
        <w:t xml:space="preserve">        Spring Security</w:t>
      </w:r>
      <w:r>
        <w:br/>
      </w:r>
      <w:r>
        <w:rPr>
          <w:rFonts w:ascii="Consolas" w:hAnsi="Consolas"/>
          <w:color w:val="282D34"/>
          <w:sz w:val="15"/>
        </w:rPr>
        <w:t xml:space="preserve">   authentication + roles</w:t>
      </w:r>
      <w:r>
        <w:br/>
      </w:r>
      <w:r>
        <w:rPr>
          <w:rFonts w:ascii="Consolas" w:hAnsi="Consolas"/>
          <w:color w:val="282D34"/>
          <w:sz w:val="15"/>
        </w:rPr>
        <w:t xml:space="preserve">              |</w:t>
      </w:r>
      <w:r>
        <w:br/>
      </w:r>
      <w:r>
        <w:rPr>
          <w:rFonts w:ascii="Consolas" w:hAnsi="Consolas"/>
          <w:color w:val="282D34"/>
          <w:sz w:val="15"/>
        </w:rPr>
        <w:t xml:space="preserve">    +---------+-------------------+------------------+</w:t>
      </w:r>
      <w:r>
        <w:br/>
      </w:r>
      <w:r>
        <w:rPr>
          <w:rFonts w:ascii="Consolas" w:hAnsi="Consolas"/>
          <w:color w:val="282D34"/>
          <w:sz w:val="15"/>
        </w:rPr>
        <w:t xml:space="preserve">    |         |                   |                  |</w:t>
      </w:r>
      <w:r>
        <w:br/>
      </w:r>
      <w:r>
        <w:rPr>
          <w:rFonts w:ascii="Consolas" w:hAnsi="Consolas"/>
          <w:color w:val="282D34"/>
          <w:sz w:val="15"/>
        </w:rPr>
        <w:t xml:space="preserve">    v         v                   v                  v</w:t>
      </w:r>
      <w:r>
        <w:br/>
      </w:r>
      <w:r>
        <w:rPr>
          <w:rFonts w:ascii="Consolas" w:hAnsi="Consolas"/>
          <w:color w:val="282D34"/>
          <w:sz w:val="15"/>
        </w:rPr>
        <w:t>SupportAi  AgentPatterns    SupportWorkflow     ApprovalService</w:t>
      </w:r>
      <w:r>
        <w:br/>
      </w:r>
      <w:r>
        <w:rPr>
          <w:rFonts w:ascii="Consolas" w:hAnsi="Consolas"/>
          <w:color w:val="282D34"/>
          <w:sz w:val="15"/>
        </w:rPr>
        <w:t>Service    Service          Service              (state changes)</w:t>
      </w:r>
      <w:r>
        <w:br/>
      </w:r>
      <w:r>
        <w:rPr>
          <w:rFonts w:ascii="Consolas" w:hAnsi="Consolas"/>
          <w:color w:val="282D34"/>
          <w:sz w:val="15"/>
        </w:rPr>
        <w:t xml:space="preserve">    |         |                   |</w:t>
      </w:r>
      <w:r>
        <w:br/>
      </w:r>
      <w:r>
        <w:rPr>
          <w:rFonts w:ascii="Consolas" w:hAnsi="Consolas"/>
          <w:color w:val="282D34"/>
          <w:sz w:val="15"/>
        </w:rPr>
        <w:t xml:space="preserve">    |         |                   v</w:t>
      </w:r>
      <w:r>
        <w:br/>
      </w:r>
      <w:r>
        <w:rPr>
          <w:rFonts w:ascii="Consolas" w:hAnsi="Consolas"/>
          <w:color w:val="282D34"/>
          <w:sz w:val="15"/>
        </w:rPr>
        <w:t xml:space="preserve">    |         |              SupportTools</w:t>
      </w:r>
      <w:r>
        <w:br/>
      </w:r>
      <w:r>
        <w:rPr>
          <w:rFonts w:ascii="Consolas" w:hAnsi="Consolas"/>
          <w:color w:val="282D34"/>
          <w:sz w:val="15"/>
        </w:rPr>
        <w:t xml:space="preserve">    |         |         ticket/order/payment/</w:t>
      </w:r>
      <w:r>
        <w:br/>
      </w:r>
      <w:r>
        <w:rPr>
          <w:rFonts w:ascii="Consolas" w:hAnsi="Consolas"/>
          <w:color w:val="282D34"/>
          <w:sz w:val="15"/>
        </w:rPr>
        <w:t xml:space="preserve">    |         |         inventory/warranty/SLA</w:t>
      </w:r>
      <w:r>
        <w:br/>
      </w:r>
      <w:r>
        <w:rPr>
          <w:rFonts w:ascii="Consolas" w:hAnsi="Consolas"/>
          <w:color w:val="282D34"/>
          <w:sz w:val="15"/>
        </w:rPr>
        <w:t xml:space="preserve">    +---------+-------------------+</w:t>
      </w:r>
      <w:r>
        <w:br/>
      </w:r>
      <w:r>
        <w:rPr>
          <w:rFonts w:ascii="Consolas" w:hAnsi="Consolas"/>
          <w:color w:val="282D34"/>
          <w:sz w:val="15"/>
        </w:rPr>
        <w:t xml:space="preserve">              |</w:t>
      </w:r>
      <w:r>
        <w:br/>
      </w:r>
      <w:r>
        <w:rPr>
          <w:rFonts w:ascii="Consolas" w:hAnsi="Consolas"/>
          <w:color w:val="282D34"/>
          <w:sz w:val="15"/>
        </w:rPr>
        <w:t xml:space="preserve">              v</w:t>
      </w:r>
      <w:r>
        <w:br/>
      </w:r>
      <w:r>
        <w:rPr>
          <w:rFonts w:ascii="Consolas" w:hAnsi="Consolas"/>
          <w:color w:val="282D34"/>
          <w:sz w:val="15"/>
        </w:rPr>
        <w:t xml:space="preserve">          Spring AI ChatClient</w:t>
      </w:r>
      <w:r>
        <w:br/>
      </w:r>
      <w:r>
        <w:rPr>
          <w:rFonts w:ascii="Consolas" w:hAnsi="Consolas"/>
          <w:color w:val="282D34"/>
          <w:sz w:val="15"/>
        </w:rPr>
        <w:t xml:space="preserve">     prompts + advisors + optional tools</w:t>
      </w:r>
      <w:r>
        <w:br/>
      </w:r>
      <w:r>
        <w:rPr>
          <w:rFonts w:ascii="Consolas" w:hAnsi="Consolas"/>
          <w:color w:val="282D34"/>
          <w:sz w:val="15"/>
        </w:rPr>
        <w:t xml:space="preserve">              |</w:t>
      </w:r>
      <w:r>
        <w:br/>
      </w:r>
      <w:r>
        <w:rPr>
          <w:rFonts w:ascii="Consolas" w:hAnsi="Consolas"/>
          <w:color w:val="282D34"/>
          <w:sz w:val="15"/>
        </w:rPr>
        <w:t xml:space="preserve">              v</w:t>
      </w:r>
      <w:r>
        <w:br/>
      </w:r>
      <w:r>
        <w:rPr>
          <w:rFonts w:ascii="Consolas" w:hAnsi="Consolas"/>
          <w:color w:val="282D34"/>
          <w:sz w:val="15"/>
        </w:rPr>
        <w:t xml:space="preserve">       Ollama chat model (qwen2.5:7b)</w:t>
      </w:r>
      <w:r>
        <w:br/>
      </w:r>
      <w:r>
        <w:rPr>
          <w:rFonts w:ascii="Consolas" w:hAnsi="Consolas"/>
          <w:color w:val="282D34"/>
          <w:sz w:val="15"/>
        </w:rPr>
      </w:r>
      <w:r>
        <w:br/>
      </w:r>
      <w:r>
        <w:rPr>
          <w:rFonts w:ascii="Consolas" w:hAnsi="Consolas"/>
          <w:color w:val="282D34"/>
          <w:sz w:val="15"/>
        </w:rPr>
        <w:t>RAG side path:</w:t>
      </w:r>
      <w:r>
        <w:br/>
      </w:r>
      <w:r>
        <w:rPr>
          <w:rFonts w:ascii="Consolas" w:hAnsi="Consolas"/>
          <w:color w:val="282D34"/>
          <w:sz w:val="15"/>
        </w:rPr>
        <w:t>Question -&gt; embedding -&gt; SimpleVectorStore similarity search</w:t>
      </w:r>
      <w:r>
        <w:br/>
      </w:r>
      <w:r>
        <w:rPr>
          <w:rFonts w:ascii="Consolas" w:hAnsi="Consolas"/>
          <w:color w:val="282D34"/>
          <w:sz w:val="15"/>
        </w:rPr>
        <w:t xml:space="preserve">         -&gt; passages + source metadata -&gt; prompt</w:t>
      </w:r>
      <w:r>
        <w:br/>
      </w:r>
      <w:r>
        <w:rPr>
          <w:rFonts w:ascii="Consolas" w:hAnsi="Consolas"/>
          <w:color w:val="282D34"/>
          <w:sz w:val="15"/>
        </w:rPr>
      </w:r>
      <w:r>
        <w:br/>
      </w:r>
      <w:r>
        <w:rPr>
          <w:rFonts w:ascii="Consolas" w:hAnsi="Consolas"/>
          <w:color w:val="282D34"/>
          <w:sz w:val="15"/>
        </w:rPr>
        <w:t>Cross-cutting: PromptSafetyService, ResponseVerifier,</w:t>
      </w:r>
      <w:r>
        <w:br/>
      </w:r>
      <w:r>
        <w:rPr>
          <w:rFonts w:ascii="Consolas" w:hAnsi="Consolas"/>
          <w:color w:val="282D34"/>
          <w:sz w:val="15"/>
        </w:rPr>
        <w:t>AuditService, ResilienceExecutor, Actuator/Micrometer</w:t>
      </w:r>
    </w:p>
    <w:p>
      <w:r>
        <w:t>Not every endpoint uses every component. Deterministic investigation can run through Java and read-only tools without asking an LLM to decide the sequence. The approval path is a separate workflow.</w:t>
      </w:r>
    </w:p>
    <w:p>
      <w:pPr>
        <w:pStyle w:val="Heading2"/>
      </w:pPr>
      <w:r>
        <w:t>Layer responsibilities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D9EAF7"/>
          </w:tcPr>
          <w:p>
            <w:r>
              <w:rPr>
                <w:b/>
                <w:sz w:val="17"/>
              </w:rPr>
              <w:t>Layer</w:t>
            </w:r>
          </w:p>
        </w:tc>
        <w:tc>
          <w:tcPr>
            <w:tcW w:type="dxa" w:w="3331"/>
            <w:shd w:fill="D9EAF7"/>
          </w:tcPr>
          <w:p>
            <w:r>
              <w:rPr>
                <w:b/>
                <w:sz w:val="17"/>
              </w:rPr>
              <w:t>Responsibility</w:t>
            </w:r>
          </w:p>
        </w:tc>
        <w:tc>
          <w:tcPr>
            <w:tcW w:type="dxa" w:w="3331"/>
            <w:shd w:fill="D9EAF7"/>
          </w:tcPr>
          <w:p>
            <w:r>
              <w:rPr>
                <w:b/>
                <w:sz w:val="17"/>
              </w:rPr>
              <w:t>Avoid</w:t>
            </w:r>
          </w:p>
        </w:tc>
      </w:tr>
      <w:tr>
        <w:tc>
          <w:tcPr>
            <w:tcW w:type="dxa" w:w="3331"/>
            <w:vAlign w:val="center"/>
          </w:tcPr>
          <w:p>
            <w:pPr>
              <w:spacing w:after="20"/>
            </w:pPr>
            <w:r>
              <w:rPr>
                <w:sz w:val="16"/>
              </w:rPr>
              <w:t>Controller</w:t>
            </w:r>
          </w:p>
        </w:tc>
        <w:tc>
          <w:tcPr>
            <w:tcW w:type="dxa" w:w="3331"/>
            <w:vAlign w:val="center"/>
          </w:tcPr>
          <w:p>
            <w:pPr>
              <w:spacing w:after="20"/>
            </w:pPr>
            <w:r>
              <w:rPr>
                <w:sz w:val="16"/>
              </w:rPr>
              <w:t>HTTP mapping, input validation, principal/role checks, service delegation.</w:t>
            </w:r>
          </w:p>
        </w:tc>
        <w:tc>
          <w:tcPr>
            <w:tcW w:type="dxa" w:w="3331"/>
            <w:vAlign w:val="center"/>
          </w:tcPr>
          <w:p>
            <w:pPr>
              <w:spacing w:after="20"/>
            </w:pPr>
            <w:r>
              <w:rPr>
                <w:sz w:val="16"/>
              </w:rPr>
              <w:t>Prompt construction or business policy in controller.</w:t>
            </w:r>
          </w:p>
        </w:tc>
      </w:tr>
      <w:tr>
        <w:tc>
          <w:tcPr>
            <w:tcW w:type="dxa" w:w="3331"/>
            <w:vAlign w:val="center"/>
          </w:tcPr>
          <w:p>
            <w:pPr>
              <w:spacing w:after="20"/>
            </w:pPr>
            <w:r>
              <w:rPr>
                <w:sz w:val="16"/>
              </w:rPr>
              <w:t>Application services</w:t>
            </w:r>
          </w:p>
        </w:tc>
        <w:tc>
          <w:tcPr>
            <w:tcW w:type="dxa" w:w="3331"/>
            <w:vAlign w:val="center"/>
          </w:tcPr>
          <w:p>
            <w:pPr>
              <w:spacing w:after="20"/>
            </w:pPr>
            <w:r>
              <w:rPr>
                <w:sz w:val="16"/>
              </w:rPr>
              <w:t>Coordinate tools, RAG, model calls, verification, approvals, audit.</w:t>
            </w:r>
          </w:p>
        </w:tc>
        <w:tc>
          <w:tcPr>
            <w:tcW w:type="dxa" w:w="3331"/>
            <w:vAlign w:val="center"/>
          </w:tcPr>
          <w:p>
            <w:pPr>
              <w:spacing w:after="20"/>
            </w:pPr>
            <w:r>
              <w:rPr>
                <w:sz w:val="16"/>
              </w:rPr>
              <w:t>Executing arbitrary model-generated instructions.</w:t>
            </w:r>
          </w:p>
        </w:tc>
      </w:tr>
      <w:tr>
        <w:tc>
          <w:tcPr>
            <w:tcW w:type="dxa" w:w="3331"/>
            <w:vAlign w:val="center"/>
          </w:tcPr>
          <w:p>
            <w:pPr>
              <w:spacing w:after="20"/>
            </w:pPr>
            <w:r>
              <w:rPr>
                <w:sz w:val="16"/>
              </w:rPr>
              <w:t>Tools/adapters</w:t>
            </w:r>
          </w:p>
        </w:tc>
        <w:tc>
          <w:tcPr>
            <w:tcW w:type="dxa" w:w="3331"/>
            <w:vAlign w:val="center"/>
          </w:tcPr>
          <w:p>
            <w:pPr>
              <w:spacing w:after="20"/>
            </w:pPr>
            <w:r>
              <w:rPr>
                <w:sz w:val="16"/>
              </w:rPr>
              <w:t>Read trusted system facts and validate arguments/permissions.</w:t>
            </w:r>
          </w:p>
        </w:tc>
        <w:tc>
          <w:tcPr>
            <w:tcW w:type="dxa" w:w="3331"/>
            <w:vAlign w:val="center"/>
          </w:tcPr>
          <w:p>
            <w:pPr>
              <w:spacing w:after="20"/>
            </w:pPr>
            <w:r>
              <w:rPr>
                <w:sz w:val="16"/>
              </w:rPr>
              <w:t>Trusting model guesses or exposing unrestricted writes.</w:t>
            </w:r>
          </w:p>
        </w:tc>
      </w:tr>
      <w:tr>
        <w:tc>
          <w:tcPr>
            <w:tcW w:type="dxa" w:w="3331"/>
            <w:vAlign w:val="center"/>
          </w:tcPr>
          <w:p>
            <w:pPr>
              <w:spacing w:after="20"/>
            </w:pPr>
            <w:r>
              <w:rPr>
                <w:sz w:val="16"/>
              </w:rPr>
              <w:t>Spring AI</w:t>
            </w:r>
          </w:p>
        </w:tc>
        <w:tc>
          <w:tcPr>
            <w:tcW w:type="dxa" w:w="3331"/>
            <w:vAlign w:val="center"/>
          </w:tcPr>
          <w:p>
            <w:pPr>
              <w:spacing w:after="20"/>
            </w:pPr>
            <w:r>
              <w:rPr>
                <w:sz w:val="16"/>
              </w:rPr>
              <w:t>Compose chat request, memory/advisors/tools, invoke model, convert output.</w:t>
            </w:r>
          </w:p>
        </w:tc>
        <w:tc>
          <w:tcPr>
            <w:tcW w:type="dxa" w:w="3331"/>
            <w:vAlign w:val="center"/>
          </w:tcPr>
          <w:p>
            <w:pPr>
              <w:spacing w:after="20"/>
            </w:pPr>
            <w:r>
              <w:rPr>
                <w:sz w:val="16"/>
              </w:rPr>
              <w:t>Replacing authorization or business logic.</w:t>
            </w:r>
          </w:p>
        </w:tc>
      </w:tr>
      <w:tr>
        <w:tc>
          <w:tcPr>
            <w:tcW w:type="dxa" w:w="3331"/>
            <w:vAlign w:val="center"/>
          </w:tcPr>
          <w:p>
            <w:pPr>
              <w:spacing w:after="20"/>
            </w:pPr>
            <w:r>
              <w:rPr>
                <w:sz w:val="16"/>
              </w:rPr>
              <w:t>Ollama</w:t>
            </w:r>
          </w:p>
        </w:tc>
        <w:tc>
          <w:tcPr>
            <w:tcW w:type="dxa" w:w="3331"/>
            <w:vAlign w:val="center"/>
          </w:tcPr>
          <w:p>
            <w:pPr>
              <w:spacing w:after="20"/>
            </w:pPr>
            <w:r>
              <w:rPr>
                <w:sz w:val="16"/>
              </w:rPr>
              <w:t>Generate text/structured output and request available tools.</w:t>
            </w:r>
          </w:p>
        </w:tc>
        <w:tc>
          <w:tcPr>
            <w:tcW w:type="dxa" w:w="3331"/>
            <w:vAlign w:val="center"/>
          </w:tcPr>
          <w:p>
            <w:pPr>
              <w:spacing w:after="20"/>
            </w:pPr>
            <w:r>
              <w:rPr>
                <w:sz w:val="16"/>
              </w:rPr>
              <w:t>Acting as the system of record.</w:t>
            </w:r>
          </w:p>
        </w:tc>
      </w:tr>
      <w:tr>
        <w:tc>
          <w:tcPr>
            <w:tcW w:type="dxa" w:w="3331"/>
            <w:vAlign w:val="center"/>
          </w:tcPr>
          <w:p>
            <w:pPr>
              <w:spacing w:after="20"/>
            </w:pPr>
            <w:r>
              <w:rPr>
                <w:sz w:val="16"/>
              </w:rPr>
              <w:t>Cross-cutting controls</w:t>
            </w:r>
          </w:p>
        </w:tc>
        <w:tc>
          <w:tcPr>
            <w:tcW w:type="dxa" w:w="3331"/>
            <w:vAlign w:val="center"/>
          </w:tcPr>
          <w:p>
            <w:pPr>
              <w:spacing w:after="20"/>
            </w:pPr>
            <w:r>
              <w:rPr>
                <w:sz w:val="16"/>
              </w:rPr>
              <w:t>Validation, audit, retries, metrics, access control.</w:t>
            </w:r>
          </w:p>
        </w:tc>
        <w:tc>
          <w:tcPr>
            <w:tcW w:type="dxa" w:w="3331"/>
            <w:vAlign w:val="center"/>
          </w:tcPr>
          <w:p>
            <w:pPr>
              <w:spacing w:after="20"/>
            </w:pPr>
            <w:r>
              <w:rPr>
                <w:sz w:val="16"/>
              </w:rPr>
              <w:t>Claiming production guarantees the demo does not provide.</w:t>
            </w:r>
          </w:p>
        </w:tc>
      </w:tr>
    </w:tbl>
    <w:p/>
    <w:p>
      <w:pPr>
        <w:pStyle w:val="Heading1"/>
      </w:pPr>
      <w:r>
        <w:t>4. Request lifecycle</w:t>
      </w:r>
    </w:p>
    <w:p>
      <w:pPr>
        <w:pStyle w:val="ListNumber"/>
        <w:spacing w:after="40"/>
      </w:pPr>
      <w:r>
        <w:t>Client sends an HTTP request with authentication, JSON content type, and a request body.</w:t>
      </w:r>
    </w:p>
    <w:p>
      <w:pPr>
        <w:pStyle w:val="ListNumber"/>
        <w:spacing w:after="40"/>
      </w:pPr>
      <w:r>
        <w:t>Spring Security authenticates the user and checks the role required by the endpoint.</w:t>
      </w:r>
    </w:p>
    <w:p>
      <w:pPr>
        <w:pStyle w:val="ListNumber"/>
        <w:spacing w:after="40"/>
      </w:pPr>
      <w:r>
        <w:t>Spring MVC deserializes JSON into a record or map; Bean Validation checks annotated fields.</w:t>
      </w:r>
    </w:p>
    <w:p>
      <w:pPr>
        <w:pStyle w:val="ListNumber"/>
        <w:spacing w:after="40"/>
      </w:pPr>
      <w:r>
        <w:t>Controller derives an owner-scoped conversation key when memory is used and calls the service.</w:t>
      </w:r>
    </w:p>
    <w:p>
      <w:pPr>
        <w:pStyle w:val="ListNumber"/>
        <w:spacing w:after="40"/>
      </w:pPr>
      <w:r>
        <w:t>Service validates customer text and retrieves policy passages and/or calls read-only tools.</w:t>
      </w:r>
    </w:p>
    <w:p>
      <w:pPr>
        <w:pStyle w:val="ListNumber"/>
        <w:spacing w:after="40"/>
      </w:pPr>
      <w:r>
        <w:t>ChatClient combines system instructions, user content, advisor parameters, optional tools, and the configured model.</w:t>
      </w:r>
    </w:p>
    <w:p>
      <w:pPr>
        <w:pStyle w:val="ListNumber"/>
        <w:spacing w:after="40"/>
      </w:pPr>
      <w:r>
        <w:t>Ollama returns text, structured content, or a tool-call request. Spring AI coordinates attached tool callbacks.</w:t>
      </w:r>
    </w:p>
    <w:p>
      <w:pPr>
        <w:pStyle w:val="ListNumber"/>
        <w:spacing w:after="40"/>
      </w:pPr>
      <w:r>
        <w:t>Service verifies or normalizes output and records an audit event.</w:t>
      </w:r>
    </w:p>
    <w:p>
      <w:pPr>
        <w:pStyle w:val="ListNumber"/>
        <w:spacing w:after="40"/>
      </w:pPr>
      <w:r>
        <w:t>Controller returns a DTO or map; Spring serializes it as JSON.</w:t>
      </w:r>
    </w:p>
    <w:p>
      <w:pPr>
        <w:pStyle w:val="Heading2"/>
      </w:pPr>
      <w:r>
        <w:t>DTO contracts</w:t>
      </w:r>
    </w:p>
    <w:tbl>
      <w:tblPr>
        <w:tblStyle w:val="LightShading-Accent1"/>
        <w:tblW w:type="auto" w:w="0"/>
        <w:jc w:val="center"/>
        <w:tblLook w:firstColumn="1" w:firstRow="1" w:lastColumn="0" w:lastRow="0" w:noHBand="0" w:noVBand="1" w:val="04A0"/>
      </w:tblPr>
      <w:tblGrid>
        <w:gridCol w:w="4997"/>
        <w:gridCol w:w="4997"/>
      </w:tblGrid>
      <w:tr>
        <w:tc>
          <w:tcPr>
            <w:tcW w:type="dxa" w:w="4997"/>
            <w:shd w:fill="D9EAF7"/>
          </w:tcPr>
          <w:p>
            <w:r>
              <w:rPr>
                <w:b/>
                <w:sz w:val="17"/>
              </w:rPr>
              <w:t>DTO</w:t>
            </w:r>
          </w:p>
        </w:tc>
        <w:tc>
          <w:tcPr>
            <w:tcW w:type="dxa" w:w="4997"/>
            <w:shd w:fill="D9EAF7"/>
          </w:tcPr>
          <w:p>
            <w:r>
              <w:rPr>
                <w:b/>
                <w:sz w:val="17"/>
              </w:rPr>
              <w:t>Fields / purpose</w:t>
            </w:r>
          </w:p>
        </w:tc>
      </w:tr>
      <w:tr>
        <w:tc>
          <w:tcPr>
            <w:tcW w:type="dxa" w:w="4997"/>
            <w:vAlign w:val="center"/>
          </w:tcPr>
          <w:p>
            <w:pPr>
              <w:spacing w:after="20"/>
            </w:pPr>
            <w:r>
              <w:rPr>
                <w:sz w:val="16"/>
              </w:rPr>
              <w:t>TicketRequest</w:t>
            </w:r>
          </w:p>
        </w:tc>
        <w:tc>
          <w:tcPr>
            <w:tcW w:type="dxa" w:w="4997"/>
            <w:vAlign w:val="center"/>
          </w:tcPr>
          <w:p>
            <w:pPr>
              <w:spacing w:after="20"/>
            </w:pPr>
            <w:r>
              <w:rPr>
                <w:sz w:val="16"/>
              </w:rPr>
              <w:t>ticketId, customerMessage, optional orderId, optional conversationId.</w:t>
            </w:r>
          </w:p>
        </w:tc>
      </w:tr>
      <w:tr>
        <w:tc>
          <w:tcPr>
            <w:tcW w:type="dxa" w:w="4997"/>
            <w:vAlign w:val="center"/>
          </w:tcPr>
          <w:p>
            <w:pPr>
              <w:spacing w:after="20"/>
            </w:pPr>
            <w:r>
              <w:rPr>
                <w:sz w:val="16"/>
              </w:rPr>
              <w:t>SupportReply</w:t>
            </w:r>
          </w:p>
        </w:tc>
        <w:tc>
          <w:tcPr>
            <w:tcW w:type="dxa" w:w="4997"/>
            <w:vAlign w:val="center"/>
          </w:tcPr>
          <w:p>
            <w:pPr>
              <w:spacing w:after="20"/>
            </w:pPr>
            <w:r>
              <w:rPr>
                <w:sz w:val="16"/>
              </w:rPr>
              <w:t>answer, category, priority, sentiment, humanReviewRequired, sources[].</w:t>
            </w:r>
          </w:p>
        </w:tc>
      </w:tr>
      <w:tr>
        <w:tc>
          <w:tcPr>
            <w:tcW w:type="dxa" w:w="4997"/>
            <w:vAlign w:val="center"/>
          </w:tcPr>
          <w:p>
            <w:pPr>
              <w:spacing w:after="20"/>
            </w:pPr>
            <w:r>
              <w:rPr>
                <w:sz w:val="16"/>
              </w:rPr>
              <w:t>TicketAnalysis</w:t>
            </w:r>
          </w:p>
        </w:tc>
        <w:tc>
          <w:tcPr>
            <w:tcW w:type="dxa" w:w="4997"/>
            <w:vAlign w:val="center"/>
          </w:tcPr>
          <w:p>
            <w:pPr>
              <w:spacing w:after="20"/>
            </w:pPr>
            <w:r>
              <w:rPr>
                <w:sz w:val="16"/>
              </w:rPr>
              <w:t>category, priority, sentiment, summary, suggestedResponse, recommendedAction, humanReviewRequired.</w:t>
            </w:r>
          </w:p>
        </w:tc>
      </w:tr>
      <w:tr>
        <w:tc>
          <w:tcPr>
            <w:tcW w:type="dxa" w:w="4997"/>
            <w:vAlign w:val="center"/>
          </w:tcPr>
          <w:p>
            <w:pPr>
              <w:spacing w:after="20"/>
            </w:pPr>
            <w:r>
              <w:rPr>
                <w:sz w:val="16"/>
              </w:rPr>
              <w:t>InvestigationResult</w:t>
            </w:r>
          </w:p>
        </w:tc>
        <w:tc>
          <w:tcPr>
            <w:tcW w:type="dxa" w:w="4997"/>
            <w:vAlign w:val="center"/>
          </w:tcPr>
          <w:p>
            <w:pPr>
              <w:spacing w:after="20"/>
            </w:pPr>
            <w:r>
              <w:rPr>
                <w:sz w:val="16"/>
              </w:rPr>
              <w:t>ticketId, orderId, paymentStatus, orderStatus, inventoryStatus, recommendation, humanApprovalRequired.</w:t>
            </w:r>
          </w:p>
        </w:tc>
      </w:tr>
      <w:tr>
        <w:tc>
          <w:tcPr>
            <w:tcW w:type="dxa" w:w="4997"/>
            <w:vAlign w:val="center"/>
          </w:tcPr>
          <w:p>
            <w:pPr>
              <w:spacing w:after="20"/>
            </w:pPr>
            <w:r>
              <w:rPr>
                <w:sz w:val="16"/>
              </w:rPr>
              <w:t>ApprovalRequest</w:t>
            </w:r>
          </w:p>
        </w:tc>
        <w:tc>
          <w:tcPr>
            <w:tcW w:type="dxa" w:w="4997"/>
            <w:vAlign w:val="center"/>
          </w:tcPr>
          <w:p>
            <w:pPr>
              <w:spacing w:after="20"/>
            </w:pPr>
            <w:r>
              <w:rPr>
                <w:sz w:val="16"/>
              </w:rPr>
              <w:t>ticketId, action, reason.</w:t>
            </w:r>
          </w:p>
        </w:tc>
      </w:tr>
      <w:tr>
        <w:tc>
          <w:tcPr>
            <w:tcW w:type="dxa" w:w="4997"/>
            <w:vAlign w:val="center"/>
          </w:tcPr>
          <w:p>
            <w:pPr>
              <w:spacing w:after="20"/>
            </w:pPr>
            <w:r>
              <w:rPr>
                <w:sz w:val="16"/>
              </w:rPr>
              <w:t>ApprovalDecision</w:t>
            </w:r>
          </w:p>
        </w:tc>
        <w:tc>
          <w:tcPr>
            <w:tcW w:type="dxa" w:w="4997"/>
            <w:vAlign w:val="center"/>
          </w:tcPr>
          <w:p>
            <w:pPr>
              <w:spacing w:after="20"/>
            </w:pPr>
            <w:r>
              <w:rPr>
                <w:sz w:val="16"/>
              </w:rPr>
              <w:t>decision and optional note.</w:t>
            </w:r>
          </w:p>
        </w:tc>
      </w:tr>
    </w:tbl>
    <w:p/>
    <w:p>
      <w:pPr>
        <w:pStyle w:val="Heading1"/>
      </w:pPr>
      <w:r>
        <w:t>5. ChatClient, prompts, and Ollama</w:t>
      </w:r>
    </w:p>
    <w:p>
      <w:r>
        <w:t>ChatClient is Spring AI's fluent Java entry point for constructing and executing a chat request. Ollama runs the selected local model, by default at http://localhost:11434.</w:t>
      </w:r>
    </w:p>
    <w:p>
      <w:pPr>
        <w:pStyle w:val="Heading2"/>
      </w:pPr>
      <w:r>
        <w:t>System prompt vs user prompt</w:t>
      </w:r>
    </w:p>
    <w:p>
      <w:pPr>
        <w:pStyle w:val="ListBullet"/>
        <w:spacing w:after="40"/>
      </w:pPr>
      <w:r>
        <w:t>System prompt: role, boundaries, evidence rules, style, and safety expectations.</w:t>
      </w:r>
    </w:p>
    <w:p>
      <w:pPr>
        <w:pStyle w:val="ListBullet"/>
        <w:spacing w:after="40"/>
      </w:pPr>
      <w:r>
        <w:t>User prompt: current customer question plus values such as order facts and retrieved policy passages.</w:t>
      </w:r>
    </w:p>
    <w:p>
      <w:pPr>
        <w:pStyle w:val="ListBullet"/>
        <w:spacing w:after="40"/>
      </w:pPr>
      <w:r>
        <w:t>A prompt does not enforce authorization. Java must reject unauthorized record access before data is supplied to the model.</w:t>
      </w:r>
    </w:p>
    <w:p>
      <w:pPr>
        <w:pStyle w:val="Heading2"/>
      </w:pPr>
      <w:r>
        <w:t>Simplified call</w:t>
      </w:r>
    </w:p>
    <w:p>
      <w:pPr>
        <w:spacing w:before="60" w:after="140"/>
        <w:ind w:left="216" w:right="144"/>
        <w:shd w:fill="F2F4F7"/>
      </w:pPr>
      <w:r>
        <w:rPr>
          <w:rFonts w:ascii="Consolas" w:hAnsi="Consolas"/>
          <w:color w:val="282D34"/>
          <w:sz w:val="15"/>
        </w:rPr>
        <w:t>String answer = chatClient.prompt()</w:t>
      </w:r>
      <w:r>
        <w:br/>
      </w:r>
      <w:r>
        <w:rPr>
          <w:rFonts w:ascii="Consolas" w:hAnsi="Consolas"/>
          <w:color w:val="282D34"/>
          <w:sz w:val="15"/>
        </w:rPr>
        <w:t xml:space="preserve">    .system("Explain only verified facts; state uncertainty.")</w:t>
      </w:r>
      <w:r>
        <w:br/>
      </w:r>
      <w:r>
        <w:rPr>
          <w:rFonts w:ascii="Consolas" w:hAnsi="Consolas"/>
          <w:color w:val="282D34"/>
          <w:sz w:val="15"/>
        </w:rPr>
        <w:t xml:space="preserve">    .user("Why is order ORD-101 delayed?")</w:t>
      </w:r>
      <w:r>
        <w:br/>
      </w:r>
      <w:r>
        <w:rPr>
          <w:rFonts w:ascii="Consolas" w:hAnsi="Consolas"/>
          <w:color w:val="282D34"/>
          <w:sz w:val="15"/>
        </w:rPr>
        <w:t xml:space="preserve">    .call()</w:t>
      </w:r>
      <w:r>
        <w:br/>
      </w:r>
      <w:r>
        <w:rPr>
          <w:rFonts w:ascii="Consolas" w:hAnsi="Consolas"/>
          <w:color w:val="282D34"/>
          <w:sz w:val="15"/>
        </w:rPr>
        <w:t xml:space="preserve">    .content();</w:t>
      </w:r>
    </w:p>
    <w:p>
      <w:r>
        <w:t>For structured responses, the project uses `.entity(SupportReply.class)` or `.entity(TicketAnalysis.class)` rather than parsing free text manually. Conversion to a record is useful, but the resulting fields still require validation.</w:t>
      </w:r>
    </w:p>
    <w:p>
      <w:pPr>
        <w:pStyle w:val="Heading2"/>
      </w:pPr>
      <w:r>
        <w:t>Model configuration and roles</w:t>
      </w:r>
    </w:p>
    <w:p>
      <w:pPr>
        <w:spacing w:before="60" w:after="140"/>
        <w:ind w:left="216" w:right="144"/>
        <w:shd w:fill="F2F4F7"/>
      </w:pPr>
      <w:r>
        <w:rPr>
          <w:rFonts w:ascii="Consolas" w:hAnsi="Consolas"/>
          <w:color w:val="282D34"/>
          <w:sz w:val="15"/>
        </w:rPr>
        <w:t>spring:</w:t>
      </w:r>
      <w:r>
        <w:br/>
      </w:r>
      <w:r>
        <w:rPr>
          <w:rFonts w:ascii="Consolas" w:hAnsi="Consolas"/>
          <w:color w:val="282D34"/>
          <w:sz w:val="15"/>
        </w:rPr>
        <w:t xml:space="preserve">  ai:</w:t>
      </w:r>
      <w:r>
        <w:br/>
      </w:r>
      <w:r>
        <w:rPr>
          <w:rFonts w:ascii="Consolas" w:hAnsi="Consolas"/>
          <w:color w:val="282D34"/>
          <w:sz w:val="15"/>
        </w:rPr>
        <w:t xml:space="preserve">    ollama:</w:t>
      </w:r>
      <w:r>
        <w:br/>
      </w:r>
      <w:r>
        <w:rPr>
          <w:rFonts w:ascii="Consolas" w:hAnsi="Consolas"/>
          <w:color w:val="282D34"/>
          <w:sz w:val="15"/>
        </w:rPr>
        <w:t xml:space="preserve">      base-url: ${OLLAMA_BASE_URL:http://localhost:11434}</w:t>
      </w:r>
      <w:r>
        <w:br/>
      </w:r>
      <w:r>
        <w:rPr>
          <w:rFonts w:ascii="Consolas" w:hAnsi="Consolas"/>
          <w:color w:val="282D34"/>
          <w:sz w:val="15"/>
        </w:rPr>
        <w:t xml:space="preserve">      chat:</w:t>
      </w:r>
      <w:r>
        <w:br/>
      </w:r>
      <w:r>
        <w:rPr>
          <w:rFonts w:ascii="Consolas" w:hAnsi="Consolas"/>
          <w:color w:val="282D34"/>
          <w:sz w:val="15"/>
        </w:rPr>
        <w:t xml:space="preserve">        options:</w:t>
      </w:r>
      <w:r>
        <w:br/>
      </w:r>
      <w:r>
        <w:rPr>
          <w:rFonts w:ascii="Consolas" w:hAnsi="Consolas"/>
          <w:color w:val="282D34"/>
          <w:sz w:val="15"/>
        </w:rPr>
        <w:t xml:space="preserve">          model: ${OLLAMA_MODEL:qwen2.5:7b}</w:t>
      </w:r>
      <w:r>
        <w:br/>
      </w:r>
      <w:r>
        <w:rPr>
          <w:rFonts w:ascii="Consolas" w:hAnsi="Consolas"/>
          <w:color w:val="282D34"/>
          <w:sz w:val="15"/>
        </w:rPr>
        <w:t xml:space="preserve">      embedding:</w:t>
      </w:r>
      <w:r>
        <w:br/>
      </w:r>
      <w:r>
        <w:rPr>
          <w:rFonts w:ascii="Consolas" w:hAnsi="Consolas"/>
          <w:color w:val="282D34"/>
          <w:sz w:val="15"/>
        </w:rPr>
        <w:t xml:space="preserve">        options:</w:t>
      </w:r>
      <w:r>
        <w:br/>
      </w:r>
      <w:r>
        <w:rPr>
          <w:rFonts w:ascii="Consolas" w:hAnsi="Consolas"/>
          <w:color w:val="282D34"/>
          <w:sz w:val="15"/>
        </w:rPr>
        <w:t xml:space="preserve">          model: ${OLLAMA_EMBEDDING_MODEL:nomic-embed-text}</w:t>
      </w:r>
    </w:p>
    <w:p>
      <w:r>
        <w:t>The chat model generates answers. The embedding model converts documents and questions into vectors for retrieval. They solve different problems.</w:t>
      </w:r>
    </w:p>
    <w:p>
      <w:pPr>
        <w:pStyle w:val="Heading2"/>
      </w:pPr>
      <w:r>
        <w:t>Tool calling</w:t>
      </w:r>
    </w:p>
    <w:p>
      <w:r>
        <w:t>When `.tools(supportTools)` is attached, the model can request a method marked with Spring AI's @Tool. The application executes that Java method and returns the result to the model, which can then continue and answer. Every method still needs input validation and access control.</w:t>
      </w:r>
    </w:p>
    <w:p>
      <w:pPr>
        <w:pStyle w:val="Heading1"/>
      </w:pPr>
      <w:r>
        <w:t>6. Tools versus deterministic workflows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D9EAF7"/>
          </w:tcPr>
          <w:p>
            <w:r>
              <w:rPr>
                <w:b/>
                <w:sz w:val="17"/>
              </w:rPr>
              <w:t>Aspect</w:t>
            </w:r>
          </w:p>
        </w:tc>
        <w:tc>
          <w:tcPr>
            <w:tcW w:type="dxa" w:w="3331"/>
            <w:shd w:fill="D9EAF7"/>
          </w:tcPr>
          <w:p>
            <w:r>
              <w:rPr>
                <w:b/>
                <w:sz w:val="17"/>
              </w:rPr>
              <w:t>Model-controlled tool calling</w:t>
            </w:r>
          </w:p>
        </w:tc>
        <w:tc>
          <w:tcPr>
            <w:tcW w:type="dxa" w:w="3331"/>
            <w:shd w:fill="D9EAF7"/>
          </w:tcPr>
          <w:p>
            <w:r>
              <w:rPr>
                <w:b/>
                <w:sz w:val="17"/>
              </w:rPr>
              <w:t>Java-controlled workflow</w:t>
            </w:r>
          </w:p>
        </w:tc>
      </w:tr>
      <w:tr>
        <w:tc>
          <w:tcPr>
            <w:tcW w:type="dxa" w:w="3331"/>
            <w:vAlign w:val="center"/>
          </w:tcPr>
          <w:p>
            <w:pPr>
              <w:spacing w:after="20"/>
            </w:pPr>
            <w:r>
              <w:rPr>
                <w:sz w:val="16"/>
              </w:rPr>
              <w:t>Who selects the next step?</w:t>
            </w:r>
          </w:p>
        </w:tc>
        <w:tc>
          <w:tcPr>
            <w:tcW w:type="dxa" w:w="3331"/>
            <w:vAlign w:val="center"/>
          </w:tcPr>
          <w:p>
            <w:pPr>
              <w:spacing w:after="20"/>
            </w:pPr>
            <w:r>
              <w:rPr>
                <w:sz w:val="16"/>
              </w:rPr>
              <w:t>Model selects from exposed tools.</w:t>
            </w:r>
          </w:p>
        </w:tc>
        <w:tc>
          <w:tcPr>
            <w:tcW w:type="dxa" w:w="3331"/>
            <w:vAlign w:val="center"/>
          </w:tcPr>
          <w:p>
            <w:pPr>
              <w:spacing w:after="20"/>
            </w:pPr>
            <w:r>
              <w:rPr>
                <w:sz w:val="16"/>
              </w:rPr>
              <w:t>Application code defines the sequence.</w:t>
            </w:r>
          </w:p>
        </w:tc>
      </w:tr>
      <w:tr>
        <w:tc>
          <w:tcPr>
            <w:tcW w:type="dxa" w:w="3331"/>
            <w:vAlign w:val="center"/>
          </w:tcPr>
          <w:p>
            <w:pPr>
              <w:spacing w:after="20"/>
            </w:pPr>
            <w:r>
              <w:rPr>
                <w:sz w:val="16"/>
              </w:rPr>
              <w:t>Best for</w:t>
            </w:r>
          </w:p>
        </w:tc>
        <w:tc>
          <w:tcPr>
            <w:tcW w:type="dxa" w:w="3331"/>
            <w:vAlign w:val="center"/>
          </w:tcPr>
          <w:p>
            <w:pPr>
              <w:spacing w:after="20"/>
            </w:pPr>
            <w:r>
              <w:rPr>
                <w:sz w:val="16"/>
              </w:rPr>
              <w:t>Flexible questions with varying lookup needs.</w:t>
            </w:r>
          </w:p>
        </w:tc>
        <w:tc>
          <w:tcPr>
            <w:tcW w:type="dxa" w:w="3331"/>
            <w:vAlign w:val="center"/>
          </w:tcPr>
          <w:p>
            <w:pPr>
              <w:spacing w:after="20"/>
            </w:pPr>
            <w:r>
              <w:rPr>
                <w:sz w:val="16"/>
              </w:rPr>
              <w:t>Mandatory policy steps and predictable investigations.</w:t>
            </w:r>
          </w:p>
        </w:tc>
      </w:tr>
      <w:tr>
        <w:tc>
          <w:tcPr>
            <w:tcW w:type="dxa" w:w="3331"/>
            <w:vAlign w:val="center"/>
          </w:tcPr>
          <w:p>
            <w:pPr>
              <w:spacing w:after="20"/>
            </w:pPr>
            <w:r>
              <w:rPr>
                <w:sz w:val="16"/>
              </w:rPr>
              <w:t>Order guaranteed?</w:t>
            </w:r>
          </w:p>
        </w:tc>
        <w:tc>
          <w:tcPr>
            <w:tcW w:type="dxa" w:w="3331"/>
            <w:vAlign w:val="center"/>
          </w:tcPr>
          <w:p>
            <w:pPr>
              <w:spacing w:after="20"/>
            </w:pPr>
            <w:r>
              <w:rPr>
                <w:sz w:val="16"/>
              </w:rPr>
              <w:t>No; prompt wording alone cannot guarantee order.</w:t>
            </w:r>
          </w:p>
        </w:tc>
        <w:tc>
          <w:tcPr>
            <w:tcW w:type="dxa" w:w="3331"/>
            <w:vAlign w:val="center"/>
          </w:tcPr>
          <w:p>
            <w:pPr>
              <w:spacing w:after="20"/>
            </w:pPr>
            <w:r>
              <w:rPr>
                <w:sz w:val="16"/>
              </w:rPr>
              <w:t>Yes, according to the Java sequence.</w:t>
            </w:r>
          </w:p>
        </w:tc>
      </w:tr>
      <w:tr>
        <w:tc>
          <w:tcPr>
            <w:tcW w:type="dxa" w:w="3331"/>
            <w:vAlign w:val="center"/>
          </w:tcPr>
          <w:p>
            <w:pPr>
              <w:spacing w:after="20"/>
            </w:pPr>
            <w:r>
              <w:rPr>
                <w:sz w:val="16"/>
              </w:rPr>
              <w:t>Example</w:t>
            </w:r>
          </w:p>
        </w:tc>
        <w:tc>
          <w:tcPr>
            <w:tcW w:type="dxa" w:w="3331"/>
            <w:vAlign w:val="center"/>
          </w:tcPr>
          <w:p>
            <w:pPr>
              <w:spacing w:after="20"/>
            </w:pPr>
            <w:r>
              <w:rPr>
                <w:sz w:val="16"/>
              </w:rPr>
              <w:t>POST /api/support/tool-chat</w:t>
            </w:r>
          </w:p>
        </w:tc>
        <w:tc>
          <w:tcPr>
            <w:tcW w:type="dxa" w:w="3331"/>
            <w:vAlign w:val="center"/>
          </w:tcPr>
          <w:p>
            <w:pPr>
              <w:spacing w:after="20"/>
            </w:pPr>
            <w:r>
              <w:rPr>
                <w:sz w:val="16"/>
              </w:rPr>
              <w:t>POST /api/support/tickets/investigate</w:t>
            </w:r>
          </w:p>
        </w:tc>
      </w:tr>
      <w:tr>
        <w:tc>
          <w:tcPr>
            <w:tcW w:type="dxa" w:w="3331"/>
            <w:vAlign w:val="center"/>
          </w:tcPr>
          <w:p>
            <w:pPr>
              <w:spacing w:after="20"/>
            </w:pPr>
            <w:r>
              <w:rPr>
                <w:sz w:val="16"/>
              </w:rPr>
              <w:t>Main risk</w:t>
            </w:r>
          </w:p>
        </w:tc>
        <w:tc>
          <w:tcPr>
            <w:tcW w:type="dxa" w:w="3331"/>
            <w:vAlign w:val="center"/>
          </w:tcPr>
          <w:p>
            <w:pPr>
              <w:spacing w:after="20"/>
            </w:pPr>
            <w:r>
              <w:rPr>
                <w:sz w:val="16"/>
              </w:rPr>
              <w:t>Wrong/unnecessary tool choice; validate arguments.</w:t>
            </w:r>
          </w:p>
        </w:tc>
        <w:tc>
          <w:tcPr>
            <w:tcW w:type="dxa" w:w="3331"/>
            <w:vAlign w:val="center"/>
          </w:tcPr>
          <w:p>
            <w:pPr>
              <w:spacing w:after="20"/>
            </w:pPr>
            <w:r>
              <w:rPr>
                <w:sz w:val="16"/>
              </w:rPr>
              <w:t>Rigid flow; new branches must be coded.</w:t>
            </w:r>
          </w:p>
        </w:tc>
      </w:tr>
    </w:tbl>
    <w:p/>
    <w:p>
      <w:pPr>
        <w:pStyle w:val="Heading2"/>
      </w:pPr>
      <w:r>
        <w:t>Read-only tool catalog</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D9EAF7"/>
          </w:tcPr>
          <w:p>
            <w:r>
              <w:rPr>
                <w:b/>
                <w:sz w:val="17"/>
              </w:rPr>
              <w:t>Tool</w:t>
            </w:r>
          </w:p>
        </w:tc>
        <w:tc>
          <w:tcPr>
            <w:tcW w:type="dxa" w:w="3331"/>
            <w:shd w:fill="D9EAF7"/>
          </w:tcPr>
          <w:p>
            <w:r>
              <w:rPr>
                <w:b/>
                <w:sz w:val="17"/>
              </w:rPr>
              <w:t>Purpose</w:t>
            </w:r>
          </w:p>
        </w:tc>
        <w:tc>
          <w:tcPr>
            <w:tcW w:type="dxa" w:w="3331"/>
            <w:shd w:fill="D9EAF7"/>
          </w:tcPr>
          <w:p>
            <w:r>
              <w:rPr>
                <w:b/>
                <w:sz w:val="17"/>
              </w:rPr>
              <w:t>Example input</w:t>
            </w:r>
          </w:p>
        </w:tc>
      </w:tr>
      <w:tr>
        <w:tc>
          <w:tcPr>
            <w:tcW w:type="dxa" w:w="3331"/>
            <w:vAlign w:val="center"/>
          </w:tcPr>
          <w:p>
            <w:pPr>
              <w:spacing w:after="20"/>
            </w:pPr>
            <w:r>
              <w:rPr>
                <w:sz w:val="16"/>
              </w:rPr>
              <w:t>checkTicket</w:t>
            </w:r>
          </w:p>
        </w:tc>
        <w:tc>
          <w:tcPr>
            <w:tcW w:type="dxa" w:w="3331"/>
            <w:vAlign w:val="center"/>
          </w:tcPr>
          <w:p>
            <w:pPr>
              <w:spacing w:after="20"/>
            </w:pPr>
            <w:r>
              <w:rPr>
                <w:sz w:val="16"/>
              </w:rPr>
              <w:t>Read ticket status/details.</w:t>
            </w:r>
          </w:p>
        </w:tc>
        <w:tc>
          <w:tcPr>
            <w:tcW w:type="dxa" w:w="3331"/>
            <w:vAlign w:val="center"/>
          </w:tcPr>
          <w:p>
            <w:pPr>
              <w:spacing w:after="20"/>
            </w:pPr>
            <w:r>
              <w:rPr>
                <w:sz w:val="16"/>
              </w:rPr>
              <w:t>TCK-100</w:t>
            </w:r>
          </w:p>
        </w:tc>
      </w:tr>
      <w:tr>
        <w:tc>
          <w:tcPr>
            <w:tcW w:type="dxa" w:w="3331"/>
            <w:vAlign w:val="center"/>
          </w:tcPr>
          <w:p>
            <w:pPr>
              <w:spacing w:after="20"/>
            </w:pPr>
            <w:r>
              <w:rPr>
                <w:sz w:val="16"/>
              </w:rPr>
              <w:t>checkOrder</w:t>
            </w:r>
          </w:p>
        </w:tc>
        <w:tc>
          <w:tcPr>
            <w:tcW w:type="dxa" w:w="3331"/>
            <w:vAlign w:val="center"/>
          </w:tcPr>
          <w:p>
            <w:pPr>
              <w:spacing w:after="20"/>
            </w:pPr>
            <w:r>
              <w:rPr>
                <w:sz w:val="16"/>
              </w:rPr>
              <w:t>Read order/shipment status.</w:t>
            </w:r>
          </w:p>
        </w:tc>
        <w:tc>
          <w:tcPr>
            <w:tcW w:type="dxa" w:w="3331"/>
            <w:vAlign w:val="center"/>
          </w:tcPr>
          <w:p>
            <w:pPr>
              <w:spacing w:after="20"/>
            </w:pPr>
            <w:r>
              <w:rPr>
                <w:sz w:val="16"/>
              </w:rPr>
              <w:t>ORD-101</w:t>
            </w:r>
          </w:p>
        </w:tc>
      </w:tr>
      <w:tr>
        <w:tc>
          <w:tcPr>
            <w:tcW w:type="dxa" w:w="3331"/>
            <w:vAlign w:val="center"/>
          </w:tcPr>
          <w:p>
            <w:pPr>
              <w:spacing w:after="20"/>
            </w:pPr>
            <w:r>
              <w:rPr>
                <w:sz w:val="16"/>
              </w:rPr>
              <w:t>checkPayment</w:t>
            </w:r>
          </w:p>
        </w:tc>
        <w:tc>
          <w:tcPr>
            <w:tcW w:type="dxa" w:w="3331"/>
            <w:vAlign w:val="center"/>
          </w:tcPr>
          <w:p>
            <w:pPr>
              <w:spacing w:after="20"/>
            </w:pPr>
            <w:r>
              <w:rPr>
                <w:sz w:val="16"/>
              </w:rPr>
              <w:t>Read payment status.</w:t>
            </w:r>
          </w:p>
        </w:tc>
        <w:tc>
          <w:tcPr>
            <w:tcW w:type="dxa" w:w="3331"/>
            <w:vAlign w:val="center"/>
          </w:tcPr>
          <w:p>
            <w:pPr>
              <w:spacing w:after="20"/>
            </w:pPr>
            <w:r>
              <w:rPr>
                <w:sz w:val="16"/>
              </w:rPr>
              <w:t>ORD-101</w:t>
            </w:r>
          </w:p>
        </w:tc>
      </w:tr>
      <w:tr>
        <w:tc>
          <w:tcPr>
            <w:tcW w:type="dxa" w:w="3331"/>
            <w:vAlign w:val="center"/>
          </w:tcPr>
          <w:p>
            <w:pPr>
              <w:spacing w:after="20"/>
            </w:pPr>
            <w:r>
              <w:rPr>
                <w:sz w:val="16"/>
              </w:rPr>
              <w:t>checkInventory</w:t>
            </w:r>
          </w:p>
        </w:tc>
        <w:tc>
          <w:tcPr>
            <w:tcW w:type="dxa" w:w="3331"/>
            <w:vAlign w:val="center"/>
          </w:tcPr>
          <w:p>
            <w:pPr>
              <w:spacing w:after="20"/>
            </w:pPr>
            <w:r>
              <w:rPr>
                <w:sz w:val="16"/>
              </w:rPr>
              <w:t>Read stock by SKU.</w:t>
            </w:r>
          </w:p>
        </w:tc>
        <w:tc>
          <w:tcPr>
            <w:tcW w:type="dxa" w:w="3331"/>
            <w:vAlign w:val="center"/>
          </w:tcPr>
          <w:p>
            <w:pPr>
              <w:spacing w:after="20"/>
            </w:pPr>
            <w:r>
              <w:rPr>
                <w:sz w:val="16"/>
              </w:rPr>
              <w:t>SKU-101</w:t>
            </w:r>
          </w:p>
        </w:tc>
      </w:tr>
      <w:tr>
        <w:tc>
          <w:tcPr>
            <w:tcW w:type="dxa" w:w="3331"/>
            <w:vAlign w:val="center"/>
          </w:tcPr>
          <w:p>
            <w:pPr>
              <w:spacing w:after="20"/>
            </w:pPr>
            <w:r>
              <w:rPr>
                <w:sz w:val="16"/>
              </w:rPr>
              <w:t>checkWarranty</w:t>
            </w:r>
          </w:p>
        </w:tc>
        <w:tc>
          <w:tcPr>
            <w:tcW w:type="dxa" w:w="3331"/>
            <w:vAlign w:val="center"/>
          </w:tcPr>
          <w:p>
            <w:pPr>
              <w:spacing w:after="20"/>
            </w:pPr>
            <w:r>
              <w:rPr>
                <w:sz w:val="16"/>
              </w:rPr>
              <w:t>Return warranty policy/eligibility text.</w:t>
            </w:r>
          </w:p>
        </w:tc>
        <w:tc>
          <w:tcPr>
            <w:tcW w:type="dxa" w:w="3331"/>
            <w:vAlign w:val="center"/>
          </w:tcPr>
          <w:p>
            <w:pPr>
              <w:spacing w:after="20"/>
            </w:pPr>
            <w:r>
              <w:rPr>
                <w:sz w:val="16"/>
              </w:rPr>
              <w:t>Product code</w:t>
            </w:r>
          </w:p>
        </w:tc>
      </w:tr>
      <w:tr>
        <w:tc>
          <w:tcPr>
            <w:tcW w:type="dxa" w:w="3331"/>
            <w:vAlign w:val="center"/>
          </w:tcPr>
          <w:p>
            <w:pPr>
              <w:spacing w:after="20"/>
            </w:pPr>
            <w:r>
              <w:rPr>
                <w:sz w:val="16"/>
              </w:rPr>
              <w:t>checkSla</w:t>
            </w:r>
          </w:p>
        </w:tc>
        <w:tc>
          <w:tcPr>
            <w:tcW w:type="dxa" w:w="3331"/>
            <w:vAlign w:val="center"/>
          </w:tcPr>
          <w:p>
            <w:pPr>
              <w:spacing w:after="20"/>
            </w:pPr>
            <w:r>
              <w:rPr>
                <w:sz w:val="16"/>
              </w:rPr>
              <w:t>Return SLA target by priority.</w:t>
            </w:r>
          </w:p>
        </w:tc>
        <w:tc>
          <w:tcPr>
            <w:tcW w:type="dxa" w:w="3331"/>
            <w:vAlign w:val="center"/>
          </w:tcPr>
          <w:p>
            <w:pPr>
              <w:spacing w:after="20"/>
            </w:pPr>
            <w:r>
              <w:rPr>
                <w:sz w:val="16"/>
              </w:rPr>
              <w:t>HIGH</w:t>
            </w:r>
          </w:p>
        </w:tc>
      </w:tr>
    </w:tbl>
    <w:p/>
    <w:tbl>
      <w:tblPr>
        <w:tblStyle w:val="TableGrid"/>
        <w:tblW w:type="auto" w:w="0"/>
        <w:tblLook w:firstColumn="1" w:firstRow="1" w:lastColumn="0" w:lastRow="0" w:noHBand="0" w:noVBand="1" w:val="04A0"/>
      </w:tblPr>
      <w:tblGrid>
        <w:gridCol w:w="9994"/>
      </w:tblGrid>
      <w:tr>
        <w:tc>
          <w:tcPr>
            <w:tcW w:type="dxa" w:w="9994"/>
            <w:shd w:fill="FFF2CC"/>
          </w:tcPr>
          <w:p>
            <w:pPr>
              <w:spacing w:after="60"/>
            </w:pPr>
            <w:r/>
            <w:r>
              <w:rPr>
                <w:b/>
                <w:sz w:val="18"/>
              </w:rPr>
              <w:t xml:space="preserve">Safety boundary  </w:t>
            </w:r>
            <w:r>
              <w:rPr>
                <w:sz w:val="18"/>
              </w:rPr>
              <w:t>No refund/cancellation write tool is exposed. A future write tool needs authorization, business-rule checks, idempotency, audit, and usually human approval.</w:t>
            </w:r>
          </w:p>
        </w:tc>
      </w:tr>
    </w:tbl>
    <w:p/>
    <w:p>
      <w:pPr>
        <w:pStyle w:val="Heading1"/>
      </w:pPr>
      <w:r>
        <w:t>7. RAG and vector search</w:t>
      </w:r>
    </w:p>
    <w:p>
      <w:r>
        <w:t>Retrieval-Augmented Generation supplies relevant approved documents to the model at answer time. It is useful for policies and knowledge that should be grounded in current documentation.</w:t>
      </w:r>
    </w:p>
    <w:p>
      <w:pPr>
        <w:spacing w:before="60" w:after="140"/>
        <w:ind w:left="216" w:right="144"/>
        <w:shd w:fill="F2F4F7"/>
      </w:pPr>
      <w:r>
        <w:rPr>
          <w:rFonts w:ascii="Consolas" w:hAnsi="Consolas"/>
          <w:color w:val="282D34"/>
          <w:sz w:val="15"/>
        </w:rPr>
        <w:t>Startup:</w:t>
      </w:r>
      <w:r>
        <w:br/>
      </w:r>
      <w:r>
        <w:rPr>
          <w:rFonts w:ascii="Consolas" w:hAnsi="Consolas"/>
          <w:color w:val="282D34"/>
          <w:sz w:val="15"/>
        </w:rPr>
        <w:t>Knowledge text -&gt; Document(text + metadata) -&gt; embedding model</w:t>
      </w:r>
      <w:r>
        <w:br/>
      </w:r>
      <w:r>
        <w:rPr>
          <w:rFonts w:ascii="Consolas" w:hAnsi="Consolas"/>
          <w:color w:val="282D34"/>
          <w:sz w:val="15"/>
        </w:rPr>
        <w:t xml:space="preserve">               -&gt; SimpleVectorStore</w:t>
      </w:r>
      <w:r>
        <w:br/>
      </w:r>
      <w:r>
        <w:rPr>
          <w:rFonts w:ascii="Consolas" w:hAnsi="Consolas"/>
          <w:color w:val="282D34"/>
          <w:sz w:val="15"/>
        </w:rPr>
      </w:r>
      <w:r>
        <w:br/>
      </w:r>
      <w:r>
        <w:rPr>
          <w:rFonts w:ascii="Consolas" w:hAnsi="Consolas"/>
          <w:color w:val="282D34"/>
          <w:sz w:val="15"/>
        </w:rPr>
        <w:t>At question time:</w:t>
      </w:r>
      <w:r>
        <w:br/>
      </w:r>
      <w:r>
        <w:rPr>
          <w:rFonts w:ascii="Consolas" w:hAnsi="Consolas"/>
          <w:color w:val="282D34"/>
          <w:sz w:val="15"/>
        </w:rPr>
        <w:t>Question -&gt; embedding -&gt; similarity search</w:t>
      </w:r>
      <w:r>
        <w:br/>
      </w:r>
      <w:r>
        <w:rPr>
          <w:rFonts w:ascii="Consolas" w:hAnsi="Consolas"/>
          <w:color w:val="282D34"/>
          <w:sz w:val="15"/>
        </w:rPr>
        <w:t xml:space="preserve">         -&gt; top Documents -&gt; text + source metadata</w:t>
      </w:r>
      <w:r>
        <w:br/>
      </w:r>
      <w:r>
        <w:rPr>
          <w:rFonts w:ascii="Consolas" w:hAnsi="Consolas"/>
          <w:color w:val="282D34"/>
          <w:sz w:val="15"/>
        </w:rPr>
        <w:t xml:space="preserve">         -&gt; ChatClient prompt -&gt; Ollama answer</w:t>
      </w:r>
    </w:p>
    <w:p>
      <w:pPr>
        <w:pStyle w:val="Heading2"/>
      </w:pPr>
      <w:r>
        <w:t>Vocabulary</w:t>
      </w:r>
    </w:p>
    <w:p>
      <w:pPr>
        <w:pStyle w:val="ListBullet"/>
        <w:spacing w:after="40"/>
      </w:pPr>
      <w:r>
        <w:t>Document: text and metadata such as source, type, and version.</w:t>
      </w:r>
    </w:p>
    <w:p>
      <w:pPr>
        <w:pStyle w:val="ListBullet"/>
        <w:spacing w:after="40"/>
      </w:pPr>
      <w:r>
        <w:t>Chunking: splitting long material into retrievable passages.</w:t>
      </w:r>
    </w:p>
    <w:p>
      <w:pPr>
        <w:pStyle w:val="ListBullet"/>
        <w:spacing w:after="40"/>
      </w:pPr>
      <w:r>
        <w:t>Embedding: numeric vector representing semantic meaning.</w:t>
      </w:r>
    </w:p>
    <w:p>
      <w:pPr>
        <w:pStyle w:val="ListBullet"/>
        <w:spacing w:after="40"/>
      </w:pPr>
      <w:r>
        <w:t>Vector store: stores document vectors and supports similarity search.</w:t>
      </w:r>
    </w:p>
    <w:p>
      <w:pPr>
        <w:pStyle w:val="ListBullet"/>
        <w:spacing w:after="40"/>
      </w:pPr>
      <w:r>
        <w:t>Similarity search: retrieves passages whose vectors are close to the query vector.</w:t>
      </w:r>
    </w:p>
    <w:p>
      <w:pPr>
        <w:pStyle w:val="ListBullet"/>
        <w:spacing w:after="40"/>
      </w:pPr>
      <w:r>
        <w:t>Grounding: constraining claims to retrieved evidence and trusted application facts.</w:t>
      </w:r>
    </w:p>
    <w:p>
      <w:pPr>
        <w:pStyle w:val="ListBullet"/>
        <w:spacing w:after="40"/>
      </w:pPr>
      <w:r>
        <w:t>Source attribution: returning source names used in context.</w:t>
      </w:r>
    </w:p>
    <w:p>
      <w:r>
        <w:t>KnowledgeBaseConfiguration seeds a small document set. RagService searches the in-memory vector store, formats passage text, and returns source names. SupportAiService combines that context with the customer question and trusted order/payment lookup results.</w:t>
      </w:r>
    </w:p>
    <w:p>
      <w:pPr>
        <w:pStyle w:val="ListBullet"/>
        <w:spacing w:after="40"/>
      </w:pPr>
      <w:r>
        <w:t>RAG is not authorization and does not approve refunds.</w:t>
      </w:r>
    </w:p>
    <w:p>
      <w:pPr>
        <w:pStyle w:val="ListBullet"/>
        <w:spacing w:after="40"/>
      </w:pPr>
      <w:r>
        <w:t>Retrieved text is data, not instructions that override system policy.</w:t>
      </w:r>
    </w:p>
    <w:p>
      <w:pPr>
        <w:pStyle w:val="ListBullet"/>
        <w:spacing w:after="40"/>
      </w:pPr>
      <w:r>
        <w:t>Retrieval can be irrelevant or incomplete; the answer should express uncertainty.</w:t>
      </w:r>
    </w:p>
    <w:p>
      <w:pPr>
        <w:pStyle w:val="ListBullet"/>
        <w:spacing w:after="40"/>
      </w:pPr>
      <w:r>
        <w:t>In-memory vector data disappears on restart.</w:t>
      </w:r>
    </w:p>
    <w:p>
      <w:r>
        <w:t>Production RAG typically needs ingestion pipelines, chunking strategy, document ACLs, versioning, retrieval evaluation, source-grounding checks, and persistent storage.</w:t>
      </w:r>
    </w:p>
    <w:p>
      <w:pPr>
        <w:pStyle w:val="Heading1"/>
      </w:pPr>
      <w:r>
        <w:t>8. Chat memory, advisors, and conversation IDs</w:t>
      </w:r>
    </w:p>
    <w:p>
      <w:r>
        <w:t>Chat memory includes selected earlier messages in later requests. It does not retrain the model or give it permanent personal memory.</w:t>
      </w:r>
    </w:p>
    <w:p>
      <w:pPr>
        <w:spacing w:before="60" w:after="140"/>
        <w:ind w:left="216" w:right="144"/>
        <w:shd w:fill="F2F4F7"/>
      </w:pPr>
      <w:r>
        <w:rPr>
          <w:rFonts w:ascii="Consolas" w:hAnsi="Consolas"/>
          <w:color w:val="282D34"/>
          <w:sz w:val="15"/>
        </w:rPr>
        <w:t>@Bean</w:t>
      </w:r>
      <w:r>
        <w:br/>
      </w:r>
      <w:r>
        <w:rPr>
          <w:rFonts w:ascii="Consolas" w:hAnsi="Consolas"/>
          <w:color w:val="282D34"/>
          <w:sz w:val="15"/>
        </w:rPr>
        <w:t>ChatMemory chatMemory() {</w:t>
      </w:r>
      <w:r>
        <w:br/>
      </w:r>
      <w:r>
        <w:rPr>
          <w:rFonts w:ascii="Consolas" w:hAnsi="Consolas"/>
          <w:color w:val="282D34"/>
          <w:sz w:val="15"/>
        </w:rPr>
        <w:t xml:space="preserve">    return MessageWindowChatMemory.builder()</w:t>
      </w:r>
      <w:r>
        <w:br/>
      </w:r>
      <w:r>
        <w:rPr>
          <w:rFonts w:ascii="Consolas" w:hAnsi="Consolas"/>
          <w:color w:val="282D34"/>
          <w:sz w:val="15"/>
        </w:rPr>
        <w:t xml:space="preserve">        .maxMessages(20)</w:t>
      </w:r>
      <w:r>
        <w:br/>
      </w:r>
      <w:r>
        <w:rPr>
          <w:rFonts w:ascii="Consolas" w:hAnsi="Consolas"/>
          <w:color w:val="282D34"/>
          <w:sz w:val="15"/>
        </w:rPr>
        <w:t xml:space="preserve">        .build();</w:t>
      </w:r>
      <w:r>
        <w:br/>
      </w:r>
      <w:r>
        <w:rPr>
          <w:rFonts w:ascii="Consolas" w:hAnsi="Consolas"/>
          <w:color w:val="282D34"/>
          <w:sz w:val="15"/>
        </w:rPr>
        <w:t>}</w:t>
      </w:r>
      <w:r>
        <w:br/>
      </w:r>
      <w:r>
        <w:rPr>
          <w:rFonts w:ascii="Consolas" w:hAnsi="Consolas"/>
          <w:color w:val="282D34"/>
          <w:sz w:val="15"/>
        </w:rPr>
      </w:r>
      <w:r>
        <w:br/>
      </w:r>
      <w:r>
        <w:rPr>
          <w:rFonts w:ascii="Consolas" w:hAnsi="Consolas"/>
          <w:color w:val="282D34"/>
          <w:sz w:val="15"/>
        </w:rPr>
        <w:t>@Bean</w:t>
      </w:r>
      <w:r>
        <w:br/>
      </w:r>
      <w:r>
        <w:rPr>
          <w:rFonts w:ascii="Consolas" w:hAnsi="Consolas"/>
          <w:color w:val="282D34"/>
          <w:sz w:val="15"/>
        </w:rPr>
        <w:t>ChatClient chatClient(ChatClient.Builder builder, ChatMemory memory) {</w:t>
      </w:r>
      <w:r>
        <w:br/>
      </w:r>
      <w:r>
        <w:rPr>
          <w:rFonts w:ascii="Consolas" w:hAnsi="Consolas"/>
          <w:color w:val="282D34"/>
          <w:sz w:val="15"/>
        </w:rPr>
        <w:t xml:space="preserve">    return builder.defaultAdvisors(</w:t>
      </w:r>
      <w:r>
        <w:br/>
      </w:r>
      <w:r>
        <w:rPr>
          <w:rFonts w:ascii="Consolas" w:hAnsi="Consolas"/>
          <w:color w:val="282D34"/>
          <w:sz w:val="15"/>
        </w:rPr>
        <w:t xml:space="preserve">        MessageChatMemoryAdvisor.builder(memory).build()</w:t>
      </w:r>
      <w:r>
        <w:br/>
      </w:r>
      <w:r>
        <w:rPr>
          <w:rFonts w:ascii="Consolas" w:hAnsi="Consolas"/>
          <w:color w:val="282D34"/>
          <w:sz w:val="15"/>
        </w:rPr>
        <w:t xml:space="preserve">    ).build();</w:t>
      </w:r>
      <w:r>
        <w:br/>
      </w:r>
      <w:r>
        <w:rPr>
          <w:rFonts w:ascii="Consolas" w:hAnsi="Consolas"/>
          <w:color w:val="282D34"/>
          <w:sz w:val="15"/>
        </w:rPr>
        <w:t>}</w:t>
      </w:r>
    </w:p>
    <w:p>
      <w:r>
        <w:t>The example configures a default MessageChatMemoryAdvisor. Therefore every ChatClient call that inherits it must supply a valid conversation ID.</w:t>
      </w:r>
    </w:p>
    <w:p>
      <w:pPr>
        <w:pStyle w:val="Heading2"/>
      </w:pPr>
      <w:r>
        <w:t>Pass the ID explicitly</w:t>
      </w:r>
    </w:p>
    <w:p>
      <w:pPr>
        <w:spacing w:before="60" w:after="140"/>
        <w:ind w:left="216" w:right="144"/>
        <w:shd w:fill="F2F4F7"/>
      </w:pPr>
      <w:r>
        <w:rPr>
          <w:rFonts w:ascii="Consolas" w:hAnsi="Consolas"/>
          <w:color w:val="282D34"/>
          <w:sz w:val="15"/>
        </w:rPr>
        <w:t>.advisors(a -&gt; a.param(</w:t>
      </w:r>
      <w:r>
        <w:br/>
      </w:r>
      <w:r>
        <w:rPr>
          <w:rFonts w:ascii="Consolas" w:hAnsi="Consolas"/>
          <w:color w:val="282D34"/>
          <w:sz w:val="15"/>
        </w:rPr>
        <w:t xml:space="preserve">    ChatMemory.CONVERSATION_ID,</w:t>
      </w:r>
      <w:r>
        <w:br/>
      </w:r>
      <w:r>
        <w:rPr>
          <w:rFonts w:ascii="Consolas" w:hAnsi="Consolas"/>
          <w:color w:val="282D34"/>
          <w:sz w:val="15"/>
        </w:rPr>
        <w:t xml:space="preserve">    conversationId</w:t>
      </w:r>
      <w:r>
        <w:br/>
      </w:r>
      <w:r>
        <w:rPr>
          <w:rFonts w:ascii="Consolas" w:hAnsi="Consolas"/>
          <w:color w:val="282D34"/>
          <w:sz w:val="15"/>
        </w:rPr>
        <w:t>))</w:t>
      </w:r>
    </w:p>
    <w:p>
      <w:pPr>
        <w:pStyle w:val="ListBullet"/>
        <w:spacing w:after="40"/>
      </w:pPr>
      <w:r>
        <w:t>Reuse the same ID for follow-up messages in the same conversation.</w:t>
      </w:r>
    </w:p>
    <w:p>
      <w:pPr>
        <w:pStyle w:val="ListBullet"/>
        <w:spacing w:after="40"/>
      </w:pPr>
      <w:r>
        <w:t>Use a different ID for unrelated conversations.</w:t>
      </w:r>
    </w:p>
    <w:p>
      <w:pPr>
        <w:pStyle w:val="ListBullet"/>
        <w:spacing w:after="40"/>
      </w:pPr>
      <w:r>
        <w:t>Scope IDs to the authenticated user; the controller builds an owner-scoped key.</w:t>
      </w:r>
    </w:p>
    <w:p>
      <w:pPr>
        <w:pStyle w:val="ListBullet"/>
        <w:spacing w:after="40"/>
      </w:pPr>
      <w:r>
        <w:t>Memory is context, not authoritative order/payment state. Re-check live facts through trusted services.</w:t>
      </w:r>
    </w:p>
    <w:tbl>
      <w:tblPr>
        <w:tblStyle w:val="TableGrid"/>
        <w:tblW w:type="auto" w:w="0"/>
        <w:tblLook w:firstColumn="1" w:firstRow="1" w:lastColumn="0" w:lastRow="0" w:noHBand="0" w:noVBand="1" w:val="04A0"/>
      </w:tblPr>
      <w:tblGrid>
        <w:gridCol w:w="9994"/>
      </w:tblGrid>
      <w:tr>
        <w:tc>
          <w:tcPr>
            <w:tcW w:type="dxa" w:w="9994"/>
            <w:shd w:fill="FCE4D6"/>
          </w:tcPr>
          <w:p>
            <w:pPr>
              <w:spacing w:after="60"/>
            </w:pPr>
            <w:r/>
            <w:r>
              <w:rPr>
                <w:b/>
                <w:sz w:val="18"/>
              </w:rPr>
              <w:t xml:space="preserve">Observed failure  </w:t>
            </w:r>
            <w:r>
              <w:rPr>
                <w:sz w:val="18"/>
              </w:rPr>
              <w:t>`IllegalArgumentException: conversationId cannot be null` from BaseChatMemoryAdvisor.getConversationId / MessageChatMemoryAdvisor.before means a ChatClient call reached the memory advisor without its required ID.</w:t>
            </w:r>
          </w:p>
        </w:tc>
      </w:tr>
    </w:tbl>
    <w:p/>
    <w:p>
      <w:r>
        <w:t>A fix in SupportAiService does not fix AgentPatternsService automatically. Each ChatClient call is independent and must pass the ID if the default advisor applies.</w:t>
      </w:r>
    </w:p>
    <w:p>
      <w:pPr>
        <w:spacing w:before="60" w:after="140"/>
        <w:ind w:left="216" w:right="144"/>
        <w:shd w:fill="F2F4F7"/>
      </w:pPr>
      <w:r>
        <w:rPr>
          <w:rFonts w:ascii="Consolas" w:hAnsi="Consolas"/>
          <w:color w:val="282D34"/>
          <w:sz w:val="15"/>
        </w:rPr>
        <w:t>String conversationId = "ticket-" + ticketId;</w:t>
      </w:r>
      <w:r>
        <w:br/>
      </w:r>
      <w:r>
        <w:rPr>
          <w:rFonts w:ascii="Consolas" w:hAnsi="Consolas"/>
          <w:color w:val="282D34"/>
          <w:sz w:val="15"/>
        </w:rPr>
        <w:t>return chatClient.prompt()</w:t>
      </w:r>
      <w:r>
        <w:br/>
      </w:r>
      <w:r>
        <w:rPr>
          <w:rFonts w:ascii="Consolas" w:hAnsi="Consolas"/>
          <w:color w:val="282D34"/>
          <w:sz w:val="15"/>
        </w:rPr>
        <w:t xml:space="preserve">    .system("Classify the ticket...")</w:t>
      </w:r>
      <w:r>
        <w:br/>
      </w:r>
      <w:r>
        <w:rPr>
          <w:rFonts w:ascii="Consolas" w:hAnsi="Consolas"/>
          <w:color w:val="282D34"/>
          <w:sz w:val="15"/>
        </w:rPr>
        <w:t xml:space="preserve">    .user("...")</w:t>
      </w:r>
      <w:r>
        <w:br/>
      </w:r>
      <w:r>
        <w:rPr>
          <w:rFonts w:ascii="Consolas" w:hAnsi="Consolas"/>
          <w:color w:val="282D34"/>
          <w:sz w:val="15"/>
        </w:rPr>
        <w:t xml:space="preserve">    .advisors(a -&gt; a.param(</w:t>
      </w:r>
      <w:r>
        <w:br/>
      </w:r>
      <w:r>
        <w:rPr>
          <w:rFonts w:ascii="Consolas" w:hAnsi="Consolas"/>
          <w:color w:val="282D34"/>
          <w:sz w:val="15"/>
        </w:rPr>
        <w:t xml:space="preserve">        ChatMemory.CONVERSATION_ID, conversationId))</w:t>
      </w:r>
      <w:r>
        <w:br/>
      </w:r>
      <w:r>
        <w:rPr>
          <w:rFonts w:ascii="Consolas" w:hAnsi="Consolas"/>
          <w:color w:val="282D34"/>
          <w:sz w:val="15"/>
        </w:rPr>
        <w:t xml:space="preserve">    .call()</w:t>
      </w:r>
      <w:r>
        <w:br/>
      </w:r>
      <w:r>
        <w:rPr>
          <w:rFonts w:ascii="Consolas" w:hAnsi="Consolas"/>
          <w:color w:val="282D34"/>
          <w:sz w:val="15"/>
        </w:rPr>
        <w:t xml:space="preserve">    .entity(TicketAnalysis.class);</w:t>
      </w:r>
    </w:p>
    <w:p>
      <w:r>
        <w:t>An advisor is reusable processing around a ChatClient request. Memory advisors add history; other advisors can retrieve or inspect context. Advisors do not replace explicit business orchestration.</w:t>
      </w:r>
    </w:p>
    <w:p>
      <w:pPr>
        <w:pStyle w:val="Heading1"/>
      </w:pPr>
      <w:r>
        <w:t>9. Structured output and response verification</w:t>
      </w:r>
    </w:p>
    <w:p>
      <w:r>
        <w:t>Structured output converts model content into a Java record, reducing brittle free-text parsing.</w:t>
      </w:r>
    </w:p>
    <w:p>
      <w:pPr>
        <w:spacing w:before="60" w:after="140"/>
        <w:ind w:left="216" w:right="144"/>
        <w:shd w:fill="F2F4F7"/>
      </w:pPr>
      <w:r>
        <w:rPr>
          <w:rFonts w:ascii="Consolas" w:hAnsi="Consolas"/>
          <w:color w:val="282D34"/>
          <w:sz w:val="15"/>
        </w:rPr>
        <w:t>public record TicketAnalysis(</w:t>
      </w:r>
      <w:r>
        <w:br/>
      </w:r>
      <w:r>
        <w:rPr>
          <w:rFonts w:ascii="Consolas" w:hAnsi="Consolas"/>
          <w:color w:val="282D34"/>
          <w:sz w:val="15"/>
        </w:rPr>
        <w:t xml:space="preserve">    String category,</w:t>
      </w:r>
      <w:r>
        <w:br/>
      </w:r>
      <w:r>
        <w:rPr>
          <w:rFonts w:ascii="Consolas" w:hAnsi="Consolas"/>
          <w:color w:val="282D34"/>
          <w:sz w:val="15"/>
        </w:rPr>
        <w:t xml:space="preserve">    String priority,</w:t>
      </w:r>
      <w:r>
        <w:br/>
      </w:r>
      <w:r>
        <w:rPr>
          <w:rFonts w:ascii="Consolas" w:hAnsi="Consolas"/>
          <w:color w:val="282D34"/>
          <w:sz w:val="15"/>
        </w:rPr>
        <w:t xml:space="preserve">    String sentiment,</w:t>
      </w:r>
      <w:r>
        <w:br/>
      </w:r>
      <w:r>
        <w:rPr>
          <w:rFonts w:ascii="Consolas" w:hAnsi="Consolas"/>
          <w:color w:val="282D34"/>
          <w:sz w:val="15"/>
        </w:rPr>
        <w:t xml:space="preserve">    String summary,</w:t>
      </w:r>
      <w:r>
        <w:br/>
      </w:r>
      <w:r>
        <w:rPr>
          <w:rFonts w:ascii="Consolas" w:hAnsi="Consolas"/>
          <w:color w:val="282D34"/>
          <w:sz w:val="15"/>
        </w:rPr>
        <w:t xml:space="preserve">    String suggestedResponse,</w:t>
      </w:r>
      <w:r>
        <w:br/>
      </w:r>
      <w:r>
        <w:rPr>
          <w:rFonts w:ascii="Consolas" w:hAnsi="Consolas"/>
          <w:color w:val="282D34"/>
          <w:sz w:val="15"/>
        </w:rPr>
        <w:t xml:space="preserve">    String recommendedAction,</w:t>
      </w:r>
      <w:r>
        <w:br/>
      </w:r>
      <w:r>
        <w:rPr>
          <w:rFonts w:ascii="Consolas" w:hAnsi="Consolas"/>
          <w:color w:val="282D34"/>
          <w:sz w:val="15"/>
        </w:rPr>
        <w:t xml:space="preserve">    boolean humanReviewRequired</w:t>
      </w:r>
      <w:r>
        <w:br/>
      </w:r>
      <w:r>
        <w:rPr>
          <w:rFonts w:ascii="Consolas" w:hAnsi="Consolas"/>
          <w:color w:val="282D34"/>
          <w:sz w:val="15"/>
        </w:rPr>
        <w:t>) {}</w:t>
      </w:r>
    </w:p>
    <w:p>
      <w:r>
        <w:t>ResponseVerifier applies deterministic checks: blank fields receive safe defaults; priority is restricted to LOW/MEDIUM/HIGH/CRITICAL; sentiment is restricted to POSITIVE/NEUTRAL/NEGATIVE; high-priority, duplicate-charge, or security-related cases can force human review.</w:t>
      </w:r>
    </w:p>
    <w:tbl>
      <w:tblPr>
        <w:tblStyle w:val="LightShading-Accent1"/>
        <w:tblW w:type="auto" w:w="0"/>
        <w:jc w:val="center"/>
        <w:tblLook w:firstColumn="1" w:firstRow="1" w:lastColumn="0" w:lastRow="0" w:noHBand="0" w:noVBand="1" w:val="04A0"/>
      </w:tblPr>
      <w:tblGrid>
        <w:gridCol w:w="4997"/>
        <w:gridCol w:w="4997"/>
      </w:tblGrid>
      <w:tr>
        <w:tc>
          <w:tcPr>
            <w:tcW w:type="dxa" w:w="4997"/>
            <w:shd w:fill="D9EAF7"/>
          </w:tcPr>
          <w:p>
            <w:r>
              <w:rPr>
                <w:b/>
                <w:sz w:val="17"/>
              </w:rPr>
              <w:t>SupportReply field</w:t>
            </w:r>
          </w:p>
        </w:tc>
        <w:tc>
          <w:tcPr>
            <w:tcW w:type="dxa" w:w="4997"/>
            <w:shd w:fill="D9EAF7"/>
          </w:tcPr>
          <w:p>
            <w:r>
              <w:rPr>
                <w:b/>
                <w:sz w:val="17"/>
              </w:rPr>
              <w:t>Meaning</w:t>
            </w:r>
          </w:p>
        </w:tc>
      </w:tr>
      <w:tr>
        <w:tc>
          <w:tcPr>
            <w:tcW w:type="dxa" w:w="4997"/>
            <w:vAlign w:val="center"/>
          </w:tcPr>
          <w:p>
            <w:pPr>
              <w:spacing w:after="20"/>
            </w:pPr>
            <w:r>
              <w:rPr>
                <w:sz w:val="16"/>
              </w:rPr>
              <w:t>answer</w:t>
            </w:r>
          </w:p>
        </w:tc>
        <w:tc>
          <w:tcPr>
            <w:tcW w:type="dxa" w:w="4997"/>
            <w:vAlign w:val="center"/>
          </w:tcPr>
          <w:p>
            <w:pPr>
              <w:spacing w:after="20"/>
            </w:pPr>
            <w:r>
              <w:rPr>
                <w:sz w:val="16"/>
              </w:rPr>
              <w:t>Customer-facing explanation.</w:t>
            </w:r>
          </w:p>
        </w:tc>
      </w:tr>
      <w:tr>
        <w:tc>
          <w:tcPr>
            <w:tcW w:type="dxa" w:w="4997"/>
            <w:vAlign w:val="center"/>
          </w:tcPr>
          <w:p>
            <w:pPr>
              <w:spacing w:after="20"/>
            </w:pPr>
            <w:r>
              <w:rPr>
                <w:sz w:val="16"/>
              </w:rPr>
              <w:t>category</w:t>
            </w:r>
          </w:p>
        </w:tc>
        <w:tc>
          <w:tcPr>
            <w:tcW w:type="dxa" w:w="4997"/>
            <w:vAlign w:val="center"/>
          </w:tcPr>
          <w:p>
            <w:pPr>
              <w:spacing w:after="20"/>
            </w:pPr>
            <w:r>
              <w:rPr>
                <w:sz w:val="16"/>
              </w:rPr>
              <w:t>Issue category.</w:t>
            </w:r>
          </w:p>
        </w:tc>
      </w:tr>
      <w:tr>
        <w:tc>
          <w:tcPr>
            <w:tcW w:type="dxa" w:w="4997"/>
            <w:vAlign w:val="center"/>
          </w:tcPr>
          <w:p>
            <w:pPr>
              <w:spacing w:after="20"/>
            </w:pPr>
            <w:r>
              <w:rPr>
                <w:sz w:val="16"/>
              </w:rPr>
              <w:t>priority</w:t>
            </w:r>
          </w:p>
        </w:tc>
        <w:tc>
          <w:tcPr>
            <w:tcW w:type="dxa" w:w="4997"/>
            <w:vAlign w:val="center"/>
          </w:tcPr>
          <w:p>
            <w:pPr>
              <w:spacing w:after="20"/>
            </w:pPr>
            <w:r>
              <w:rPr>
                <w:sz w:val="16"/>
              </w:rPr>
              <w:t>Priority classification.</w:t>
            </w:r>
          </w:p>
        </w:tc>
      </w:tr>
      <w:tr>
        <w:tc>
          <w:tcPr>
            <w:tcW w:type="dxa" w:w="4997"/>
            <w:vAlign w:val="center"/>
          </w:tcPr>
          <w:p>
            <w:pPr>
              <w:spacing w:after="20"/>
            </w:pPr>
            <w:r>
              <w:rPr>
                <w:sz w:val="16"/>
              </w:rPr>
              <w:t>sentiment</w:t>
            </w:r>
          </w:p>
        </w:tc>
        <w:tc>
          <w:tcPr>
            <w:tcW w:type="dxa" w:w="4997"/>
            <w:vAlign w:val="center"/>
          </w:tcPr>
          <w:p>
            <w:pPr>
              <w:spacing w:after="20"/>
            </w:pPr>
            <w:r>
              <w:rPr>
                <w:sz w:val="16"/>
              </w:rPr>
              <w:t>Sentiment classification.</w:t>
            </w:r>
          </w:p>
        </w:tc>
      </w:tr>
      <w:tr>
        <w:tc>
          <w:tcPr>
            <w:tcW w:type="dxa" w:w="4997"/>
            <w:vAlign w:val="center"/>
          </w:tcPr>
          <w:p>
            <w:pPr>
              <w:spacing w:after="20"/>
            </w:pPr>
            <w:r>
              <w:rPr>
                <w:sz w:val="16"/>
              </w:rPr>
              <w:t>humanReviewRequired</w:t>
            </w:r>
          </w:p>
        </w:tc>
        <w:tc>
          <w:tcPr>
            <w:tcW w:type="dxa" w:w="4997"/>
            <w:vAlign w:val="center"/>
          </w:tcPr>
          <w:p>
            <w:pPr>
              <w:spacing w:after="20"/>
            </w:pPr>
            <w:r>
              <w:rPr>
                <w:sz w:val="16"/>
              </w:rPr>
              <w:t>Risk signal, not an approval decision.</w:t>
            </w:r>
          </w:p>
        </w:tc>
      </w:tr>
      <w:tr>
        <w:tc>
          <w:tcPr>
            <w:tcW w:type="dxa" w:w="4997"/>
            <w:vAlign w:val="center"/>
          </w:tcPr>
          <w:p>
            <w:pPr>
              <w:spacing w:after="20"/>
            </w:pPr>
            <w:r>
              <w:rPr>
                <w:sz w:val="16"/>
              </w:rPr>
              <w:t>sources</w:t>
            </w:r>
          </w:p>
        </w:tc>
        <w:tc>
          <w:tcPr>
            <w:tcW w:type="dxa" w:w="4997"/>
            <w:vAlign w:val="center"/>
          </w:tcPr>
          <w:p>
            <w:pPr>
              <w:spacing w:after="20"/>
            </w:pPr>
            <w:r>
              <w:rPr>
                <w:sz w:val="16"/>
              </w:rPr>
              <w:t>Knowledge source names when available.</w:t>
            </w:r>
          </w:p>
        </w:tc>
      </w:tr>
    </w:tbl>
    <w:p/>
    <w:p>
      <w:pPr>
        <w:pStyle w:val="ListBullet"/>
        <w:spacing w:after="40"/>
      </w:pPr>
      <w:r>
        <w:t>Valid JSON does not guarantee correct semantics.</w:t>
      </w:r>
    </w:p>
    <w:p>
      <w:pPr>
        <w:pStyle w:val="ListBullet"/>
        <w:spacing w:after="40"/>
      </w:pPr>
      <w:r>
        <w:t>Payment state must come from the payment system, not model prose.</w:t>
      </w:r>
    </w:p>
    <w:p>
      <w:pPr>
        <w:pStyle w:val="ListBullet"/>
        <w:spacing w:after="40"/>
      </w:pPr>
      <w:r>
        <w:t>Suggested responses are drafts; this example does not send them.</w:t>
      </w:r>
    </w:p>
    <w:p>
      <w:pPr>
        <w:pStyle w:val="ListBullet"/>
        <w:spacing w:after="40"/>
      </w:pPr>
      <w:r>
        <w:t>Validate enum values, lengths, required fields, risk policy, and factual provenance.</w:t>
      </w:r>
    </w:p>
    <w:p>
      <w:pPr>
        <w:pStyle w:val="Heading1"/>
      </w:pPr>
      <w:r>
        <w:t>10. Agent patterns</w:t>
      </w:r>
    </w:p>
    <w:p>
      <w:pPr>
        <w:pStyle w:val="Heading2"/>
      </w:pPr>
      <w:r>
        <w:t>A. No-tool answer</w:t>
      </w:r>
    </w:p>
    <w:p>
      <w:r>
        <w:t>The model answers from general knowledge and is instructed not to claim it checked company systems. It is a baseline, not an appropriate source for current order/payment status.</w:t>
      </w:r>
    </w:p>
    <w:p>
      <w:pPr>
        <w:pStyle w:val="Heading2"/>
      </w:pPr>
      <w:r>
        <w:t>B. Plan–execute–synthesize</w:t>
      </w:r>
    </w:p>
    <w:p>
      <w:pPr>
        <w:spacing w:before="60" w:after="140"/>
        <w:ind w:left="216" w:right="144"/>
        <w:shd w:fill="F2F4F7"/>
      </w:pPr>
      <w:r>
        <w:rPr>
          <w:rFonts w:ascii="Consolas" w:hAnsi="Consolas"/>
          <w:color w:val="282D34"/>
          <w:sz w:val="15"/>
        </w:rPr>
        <w:t>1. PLAN: model proposes allowed read-only steps.</w:t>
      </w:r>
      <w:r>
        <w:br/>
      </w:r>
      <w:r>
        <w:rPr>
          <w:rFonts w:ascii="Consolas" w:hAnsi="Consolas"/>
          <w:color w:val="282D34"/>
          <w:sz w:val="15"/>
        </w:rPr>
        <w:t>2. EXECUTE: Java runs SupportWorkflowService.investigate(ticketId, orderId, sku).</w:t>
      </w:r>
      <w:r>
        <w:br/>
      </w:r>
      <w:r>
        <w:rPr>
          <w:rFonts w:ascii="Consolas" w:hAnsi="Consolas"/>
          <w:color w:val="282D34"/>
          <w:sz w:val="15"/>
        </w:rPr>
        <w:t>3. SYNTHESIZE: model explains the verified result.</w:t>
      </w:r>
    </w:p>
    <w:p>
      <w:r>
        <w:t>The model-generated plan is display-only. Java does not execute arbitrary model text as code or as an unrestricted command.</w:t>
      </w:r>
    </w:p>
    <w:p>
      <w:pPr>
        <w:pStyle w:val="Heading2"/>
      </w:pPr>
      <w:r>
        <w:t>C. Reflective answer</w:t>
      </w:r>
    </w:p>
    <w:p>
      <w:r>
        <w:t>One model call drafts; another reviews for unsupported claims, unsafe promises, privacy issues, missing uncertainty, and policy violations. Reflection can improve an answer but cannot guarantee correctness. Each call still needs memory-advisor parameters if memory is enabled globally.</w:t>
      </w:r>
    </w:p>
    <w:p>
      <w:pPr>
        <w:pStyle w:val="Heading2"/>
      </w:pPr>
      <w:r>
        <w:t>D. Multi-agent-style routing</w:t>
      </w:r>
    </w:p>
    <w:p>
      <w:r>
        <w:t>Java checks whether the question mentions payment-related terms such as charged/refund. It then uses a payment-specialist prompt with payment facts or an order/shipping-specialist prompt with order facts. These are role-specialized calls to one model, not separately deployed autonomous agents.</w:t>
      </w:r>
    </w:p>
    <w:p>
      <w:pPr>
        <w:pStyle w:val="Heading2"/>
      </w:pPr>
      <w:r>
        <w:t>E. Deterministic investigation</w:t>
      </w:r>
    </w:p>
    <w:p>
      <w:r>
        <w:t>SupportWorkflowService explicitly checks ticket, order, payment, and inventory in a fixed sequence, then creates InvestigationResult and a recommendation. The LLM does not select mandatory workflow transitions.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D9EAF7"/>
          </w:tcPr>
          <w:p>
            <w:r>
              <w:rPr>
                <w:b/>
                <w:sz w:val="17"/>
              </w:rPr>
              <w:t>Pattern</w:t>
            </w:r>
          </w:p>
        </w:tc>
        <w:tc>
          <w:tcPr>
            <w:tcW w:type="dxa" w:w="3331"/>
            <w:shd w:fill="D9EAF7"/>
          </w:tcPr>
          <w:p>
            <w:r>
              <w:rPr>
                <w:b/>
                <w:sz w:val="17"/>
              </w:rPr>
              <w:t>Strength</w:t>
            </w:r>
          </w:p>
        </w:tc>
        <w:tc>
          <w:tcPr>
            <w:tcW w:type="dxa" w:w="3331"/>
            <w:shd w:fill="D9EAF7"/>
          </w:tcPr>
          <w:p>
            <w:r>
              <w:rPr>
                <w:b/>
                <w:sz w:val="17"/>
              </w:rPr>
              <w:t>Trade-off</w:t>
            </w:r>
          </w:p>
        </w:tc>
      </w:tr>
      <w:tr>
        <w:tc>
          <w:tcPr>
            <w:tcW w:type="dxa" w:w="3331"/>
            <w:vAlign w:val="center"/>
          </w:tcPr>
          <w:p>
            <w:pPr>
              <w:spacing w:after="20"/>
            </w:pPr>
            <w:r>
              <w:rPr>
                <w:sz w:val="16"/>
              </w:rPr>
              <w:t>No-tool</w:t>
            </w:r>
          </w:p>
        </w:tc>
        <w:tc>
          <w:tcPr>
            <w:tcW w:type="dxa" w:w="3331"/>
            <w:vAlign w:val="center"/>
          </w:tcPr>
          <w:p>
            <w:pPr>
              <w:spacing w:after="20"/>
            </w:pPr>
            <w:r>
              <w:rPr>
                <w:sz w:val="16"/>
              </w:rPr>
              <w:t>Simple baseline.</w:t>
            </w:r>
          </w:p>
        </w:tc>
        <w:tc>
          <w:tcPr>
            <w:tcW w:type="dxa" w:w="3331"/>
            <w:vAlign w:val="center"/>
          </w:tcPr>
          <w:p>
            <w:pPr>
              <w:spacing w:after="20"/>
            </w:pPr>
            <w:r>
              <w:rPr>
                <w:sz w:val="16"/>
              </w:rPr>
              <w:t>Cannot verify internal state.</w:t>
            </w:r>
          </w:p>
        </w:tc>
      </w:tr>
      <w:tr>
        <w:tc>
          <w:tcPr>
            <w:tcW w:type="dxa" w:w="3331"/>
            <w:vAlign w:val="center"/>
          </w:tcPr>
          <w:p>
            <w:pPr>
              <w:spacing w:after="20"/>
            </w:pPr>
            <w:r>
              <w:rPr>
                <w:sz w:val="16"/>
              </w:rPr>
              <w:t>Tool calling</w:t>
            </w:r>
          </w:p>
        </w:tc>
        <w:tc>
          <w:tcPr>
            <w:tcW w:type="dxa" w:w="3331"/>
            <w:vAlign w:val="center"/>
          </w:tcPr>
          <w:p>
            <w:pPr>
              <w:spacing w:after="20"/>
            </w:pPr>
            <w:r>
              <w:rPr>
                <w:sz w:val="16"/>
              </w:rPr>
              <w:t>Flexible lookup selection.</w:t>
            </w:r>
          </w:p>
        </w:tc>
        <w:tc>
          <w:tcPr>
            <w:tcW w:type="dxa" w:w="3331"/>
            <w:vAlign w:val="center"/>
          </w:tcPr>
          <w:p>
            <w:pPr>
              <w:spacing w:after="20"/>
            </w:pPr>
            <w:r>
              <w:rPr>
                <w:sz w:val="16"/>
              </w:rPr>
              <w:t>Selection/order can vary.</w:t>
            </w:r>
          </w:p>
        </w:tc>
      </w:tr>
      <w:tr>
        <w:tc>
          <w:tcPr>
            <w:tcW w:type="dxa" w:w="3331"/>
            <w:vAlign w:val="center"/>
          </w:tcPr>
          <w:p>
            <w:pPr>
              <w:spacing w:after="20"/>
            </w:pPr>
            <w:r>
              <w:rPr>
                <w:sz w:val="16"/>
              </w:rPr>
              <w:t>Deterministic workflow</w:t>
            </w:r>
          </w:p>
        </w:tc>
        <w:tc>
          <w:tcPr>
            <w:tcW w:type="dxa" w:w="3331"/>
            <w:vAlign w:val="center"/>
          </w:tcPr>
          <w:p>
            <w:pPr>
              <w:spacing w:after="20"/>
            </w:pPr>
            <w:r>
              <w:rPr>
                <w:sz w:val="16"/>
              </w:rPr>
              <w:t>Predictable and auditable.</w:t>
            </w:r>
          </w:p>
        </w:tc>
        <w:tc>
          <w:tcPr>
            <w:tcW w:type="dxa" w:w="3331"/>
            <w:vAlign w:val="center"/>
          </w:tcPr>
          <w:p>
            <w:pPr>
              <w:spacing w:after="20"/>
            </w:pPr>
            <w:r>
              <w:rPr>
                <w:sz w:val="16"/>
              </w:rPr>
              <w:t>Branches must be coded.</w:t>
            </w:r>
          </w:p>
        </w:tc>
      </w:tr>
      <w:tr>
        <w:tc>
          <w:tcPr>
            <w:tcW w:type="dxa" w:w="3331"/>
            <w:vAlign w:val="center"/>
          </w:tcPr>
          <w:p>
            <w:pPr>
              <w:spacing w:after="20"/>
            </w:pPr>
            <w:r>
              <w:rPr>
                <w:sz w:val="16"/>
              </w:rPr>
              <w:t>Plan–execute–synthesize</w:t>
            </w:r>
          </w:p>
        </w:tc>
        <w:tc>
          <w:tcPr>
            <w:tcW w:type="dxa" w:w="3331"/>
            <w:vAlign w:val="center"/>
          </w:tcPr>
          <w:p>
            <w:pPr>
              <w:spacing w:after="20"/>
            </w:pPr>
            <w:r>
              <w:rPr>
                <w:sz w:val="16"/>
              </w:rPr>
              <w:t>Natural-language planning plus controlled execution.</w:t>
            </w:r>
          </w:p>
        </w:tc>
        <w:tc>
          <w:tcPr>
            <w:tcW w:type="dxa" w:w="3331"/>
            <w:vAlign w:val="center"/>
          </w:tcPr>
          <w:p>
            <w:pPr>
              <w:spacing w:after="20"/>
            </w:pPr>
            <w:r>
              <w:rPr>
                <w:sz w:val="16"/>
              </w:rPr>
              <w:t>Extra model call; plan may be poor.</w:t>
            </w:r>
          </w:p>
        </w:tc>
      </w:tr>
      <w:tr>
        <w:tc>
          <w:tcPr>
            <w:tcW w:type="dxa" w:w="3331"/>
            <w:vAlign w:val="center"/>
          </w:tcPr>
          <w:p>
            <w:pPr>
              <w:spacing w:after="20"/>
            </w:pPr>
            <w:r>
              <w:rPr>
                <w:sz w:val="16"/>
              </w:rPr>
              <w:t>Reflection</w:t>
            </w:r>
          </w:p>
        </w:tc>
        <w:tc>
          <w:tcPr>
            <w:tcW w:type="dxa" w:w="3331"/>
            <w:vAlign w:val="center"/>
          </w:tcPr>
          <w:p>
            <w:pPr>
              <w:spacing w:after="20"/>
            </w:pPr>
            <w:r>
              <w:rPr>
                <w:sz w:val="16"/>
              </w:rPr>
              <w:t>Second pass may catch unsafe claims.</w:t>
            </w:r>
          </w:p>
        </w:tc>
        <w:tc>
          <w:tcPr>
            <w:tcW w:type="dxa" w:w="3331"/>
            <w:vAlign w:val="center"/>
          </w:tcPr>
          <w:p>
            <w:pPr>
              <w:spacing w:after="20"/>
            </w:pPr>
            <w:r>
              <w:rPr>
                <w:sz w:val="16"/>
              </w:rPr>
              <w:t>Adds latency and can repeat model mistakes.</w:t>
            </w:r>
          </w:p>
        </w:tc>
      </w:tr>
      <w:tr>
        <w:tc>
          <w:tcPr>
            <w:tcW w:type="dxa" w:w="3331"/>
            <w:vAlign w:val="center"/>
          </w:tcPr>
          <w:p>
            <w:pPr>
              <w:spacing w:after="20"/>
            </w:pPr>
            <w:r>
              <w:rPr>
                <w:sz w:val="16"/>
              </w:rPr>
              <w:t>Specialist routing</w:t>
            </w:r>
          </w:p>
        </w:tc>
        <w:tc>
          <w:tcPr>
            <w:tcW w:type="dxa" w:w="3331"/>
            <w:vAlign w:val="center"/>
          </w:tcPr>
          <w:p>
            <w:pPr>
              <w:spacing w:after="20"/>
            </w:pPr>
            <w:r>
              <w:rPr>
                <w:sz w:val="16"/>
              </w:rPr>
              <w:t>Separates domain framing.</w:t>
            </w:r>
          </w:p>
        </w:tc>
        <w:tc>
          <w:tcPr>
            <w:tcW w:type="dxa" w:w="3331"/>
            <w:vAlign w:val="center"/>
          </w:tcPr>
          <w:p>
            <w:pPr>
              <w:spacing w:after="20"/>
            </w:pPr>
            <w:r>
              <w:rPr>
                <w:sz w:val="16"/>
              </w:rPr>
              <w:t>Keyword routing is simplistic.</w:t>
            </w:r>
          </w:p>
        </w:tc>
      </w:tr>
    </w:tbl>
    <w:p/>
    <w:p>
      <w:pPr>
        <w:pStyle w:val="Heading1"/>
      </w:pPr>
      <w:r>
        <w:t>11. Human approval</w:t>
      </w:r>
    </w:p>
    <w:p>
      <w:r>
        <w:t>The support role creates a pending request. An approver records APPROVE or REJECT. The demo deliberately does not execute a refund, send a customer message, or perform any external side effect.</w:t>
      </w:r>
    </w:p>
    <w:p>
      <w:pPr>
        <w:spacing w:before="60" w:after="140"/>
        <w:ind w:left="216" w:right="144"/>
        <w:shd w:fill="F2F4F7"/>
      </w:pPr>
      <w:r>
        <w:rPr>
          <w:rFonts w:ascii="Consolas" w:hAnsi="Consolas"/>
          <w:color w:val="282D34"/>
          <w:sz w:val="15"/>
        </w:rPr>
        <w:t>Support agent:</w:t>
      </w:r>
      <w:r>
        <w:br/>
      </w:r>
      <w:r>
        <w:rPr>
          <w:rFonts w:ascii="Consolas" w:hAnsi="Consolas"/>
          <w:color w:val="282D34"/>
          <w:sz w:val="15"/>
        </w:rPr>
        <w:t>POST /api/support/approvals</w:t>
      </w:r>
      <w:r>
        <w:br/>
      </w:r>
      <w:r>
        <w:rPr>
          <w:rFonts w:ascii="Consolas" w:hAnsi="Consolas"/>
          <w:color w:val="282D34"/>
          <w:sz w:val="15"/>
        </w:rPr>
        <w:t xml:space="preserve">  -&gt; UUID requestId, status PENDING</w:t>
      </w:r>
      <w:r>
        <w:br/>
      </w:r>
      <w:r>
        <w:rPr>
          <w:rFonts w:ascii="Consolas" w:hAnsi="Consolas"/>
          <w:color w:val="282D34"/>
          <w:sz w:val="15"/>
        </w:rPr>
      </w:r>
      <w:r>
        <w:br/>
      </w:r>
      <w:r>
        <w:rPr>
          <w:rFonts w:ascii="Consolas" w:hAnsi="Consolas"/>
          <w:color w:val="282D34"/>
          <w:sz w:val="15"/>
        </w:rPr>
        <w:t>Approver:</w:t>
      </w:r>
      <w:r>
        <w:br/>
      </w:r>
      <w:r>
        <w:rPr>
          <w:rFonts w:ascii="Consolas" w:hAnsi="Consolas"/>
          <w:color w:val="282D34"/>
          <w:sz w:val="15"/>
        </w:rPr>
        <w:t>POST /api/support/approvals/{requestId}/decision</w:t>
      </w:r>
      <w:r>
        <w:br/>
      </w:r>
      <w:r>
        <w:rPr>
          <w:rFonts w:ascii="Consolas" w:hAnsi="Consolas"/>
          <w:color w:val="282D34"/>
          <w:sz w:val="15"/>
        </w:rPr>
        <w:t xml:space="preserve">  -&gt; validate ID, current state, and decision</w:t>
      </w:r>
      <w:r>
        <w:br/>
      </w:r>
      <w:r>
        <w:rPr>
          <w:rFonts w:ascii="Consolas" w:hAnsi="Consolas"/>
          <w:color w:val="282D34"/>
          <w:sz w:val="15"/>
        </w:rPr>
        <w:t xml:space="preserve">  -&gt; record decision, actor, time, note</w:t>
      </w:r>
      <w:r>
        <w:br/>
      </w:r>
      <w:r>
        <w:rPr>
          <w:rFonts w:ascii="Consolas" w:hAnsi="Consolas"/>
          <w:color w:val="282D34"/>
          <w:sz w:val="15"/>
        </w:rPr>
        <w:t xml:space="preserve">  -&gt; executionStatus = NOT_EXECUTED_DEMO_ONLY</w:t>
      </w:r>
      <w:r>
        <w:br/>
      </w:r>
      <w:r>
        <w:rPr>
          <w:rFonts w:ascii="Consolas" w:hAnsi="Consolas"/>
          <w:color w:val="282D34"/>
          <w:sz w:val="15"/>
        </w:rPr>
        <w:t xml:space="preserve">  -&gt; audit event</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D9EAF7"/>
          </w:tcPr>
          <w:p>
            <w:r>
              <w:rPr>
                <w:b/>
                <w:sz w:val="17"/>
              </w:rPr>
              <w:t>State</w:t>
            </w:r>
          </w:p>
        </w:tc>
        <w:tc>
          <w:tcPr>
            <w:tcW w:type="dxa" w:w="3331"/>
            <w:shd w:fill="D9EAF7"/>
          </w:tcPr>
          <w:p>
            <w:r>
              <w:rPr>
                <w:b/>
                <w:sz w:val="17"/>
              </w:rPr>
              <w:t>Action</w:t>
            </w:r>
          </w:p>
        </w:tc>
        <w:tc>
          <w:tcPr>
            <w:tcW w:type="dxa" w:w="3331"/>
            <w:shd w:fill="D9EAF7"/>
          </w:tcPr>
          <w:p>
            <w:r>
              <w:rPr>
                <w:b/>
                <w:sz w:val="17"/>
              </w:rPr>
              <w:t>Outcome</w:t>
            </w:r>
          </w:p>
        </w:tc>
      </w:tr>
      <w:tr>
        <w:tc>
          <w:tcPr>
            <w:tcW w:type="dxa" w:w="3331"/>
            <w:vAlign w:val="center"/>
          </w:tcPr>
          <w:p>
            <w:pPr>
              <w:spacing w:after="20"/>
            </w:pPr>
            <w:r>
              <w:rPr>
                <w:sz w:val="16"/>
              </w:rPr>
              <w:t>No request</w:t>
            </w:r>
          </w:p>
        </w:tc>
        <w:tc>
          <w:tcPr>
            <w:tcW w:type="dxa" w:w="3331"/>
            <w:vAlign w:val="center"/>
          </w:tcPr>
          <w:p>
            <w:pPr>
              <w:spacing w:after="20"/>
            </w:pPr>
            <w:r>
              <w:rPr>
                <w:sz w:val="16"/>
              </w:rPr>
              <w:t>Create approval</w:t>
            </w:r>
          </w:p>
        </w:tc>
        <w:tc>
          <w:tcPr>
            <w:tcW w:type="dxa" w:w="3331"/>
            <w:vAlign w:val="center"/>
          </w:tcPr>
          <w:p>
            <w:pPr>
              <w:spacing w:after="20"/>
            </w:pPr>
            <w:r>
              <w:rPr>
                <w:sz w:val="16"/>
              </w:rPr>
              <w:t>PENDING and requestId returned.</w:t>
            </w:r>
          </w:p>
        </w:tc>
      </w:tr>
      <w:tr>
        <w:tc>
          <w:tcPr>
            <w:tcW w:type="dxa" w:w="3331"/>
            <w:vAlign w:val="center"/>
          </w:tcPr>
          <w:p>
            <w:pPr>
              <w:spacing w:after="20"/>
            </w:pPr>
            <w:r>
              <w:rPr>
                <w:sz w:val="16"/>
              </w:rPr>
              <w:t>PENDING</w:t>
            </w:r>
          </w:p>
        </w:tc>
        <w:tc>
          <w:tcPr>
            <w:tcW w:type="dxa" w:w="3331"/>
            <w:vAlign w:val="center"/>
          </w:tcPr>
          <w:p>
            <w:pPr>
              <w:spacing w:after="20"/>
            </w:pPr>
            <w:r>
              <w:rPr>
                <w:sz w:val="16"/>
              </w:rPr>
              <w:t>APPROVE</w:t>
            </w:r>
          </w:p>
        </w:tc>
        <w:tc>
          <w:tcPr>
            <w:tcW w:type="dxa" w:w="3331"/>
            <w:vAlign w:val="center"/>
          </w:tcPr>
          <w:p>
            <w:pPr>
              <w:spacing w:after="20"/>
            </w:pPr>
            <w:r>
              <w:rPr>
                <w:sz w:val="16"/>
              </w:rPr>
              <w:t>Decision recorded; no refund executed.</w:t>
            </w:r>
          </w:p>
        </w:tc>
      </w:tr>
      <w:tr>
        <w:tc>
          <w:tcPr>
            <w:tcW w:type="dxa" w:w="3331"/>
            <w:vAlign w:val="center"/>
          </w:tcPr>
          <w:p>
            <w:pPr>
              <w:spacing w:after="20"/>
            </w:pPr>
            <w:r>
              <w:rPr>
                <w:sz w:val="16"/>
              </w:rPr>
              <w:t>PENDING</w:t>
            </w:r>
          </w:p>
        </w:tc>
        <w:tc>
          <w:tcPr>
            <w:tcW w:type="dxa" w:w="3331"/>
            <w:vAlign w:val="center"/>
          </w:tcPr>
          <w:p>
            <w:pPr>
              <w:spacing w:after="20"/>
            </w:pPr>
            <w:r>
              <w:rPr>
                <w:sz w:val="16"/>
              </w:rPr>
              <w:t>REJECT</w:t>
            </w:r>
          </w:p>
        </w:tc>
        <w:tc>
          <w:tcPr>
            <w:tcW w:type="dxa" w:w="3331"/>
            <w:vAlign w:val="center"/>
          </w:tcPr>
          <w:p>
            <w:pPr>
              <w:spacing w:after="20"/>
            </w:pPr>
            <w:r>
              <w:rPr>
                <w:sz w:val="16"/>
              </w:rPr>
              <w:t>Decision recorded; no refund executed.</w:t>
            </w:r>
          </w:p>
        </w:tc>
      </w:tr>
      <w:tr>
        <w:tc>
          <w:tcPr>
            <w:tcW w:type="dxa" w:w="3331"/>
            <w:vAlign w:val="center"/>
          </w:tcPr>
          <w:p>
            <w:pPr>
              <w:spacing w:after="20"/>
            </w:pPr>
            <w:r>
              <w:rPr>
                <w:sz w:val="16"/>
              </w:rPr>
              <w:t>Already decided</w:t>
            </w:r>
          </w:p>
        </w:tc>
        <w:tc>
          <w:tcPr>
            <w:tcW w:type="dxa" w:w="3331"/>
            <w:vAlign w:val="center"/>
          </w:tcPr>
          <w:p>
            <w:pPr>
              <w:spacing w:after="20"/>
            </w:pPr>
            <w:r>
              <w:rPr>
                <w:sz w:val="16"/>
              </w:rPr>
              <w:t>Decide again</w:t>
            </w:r>
          </w:p>
        </w:tc>
        <w:tc>
          <w:tcPr>
            <w:tcW w:type="dxa" w:w="3331"/>
            <w:vAlign w:val="center"/>
          </w:tcPr>
          <w:p>
            <w:pPr>
              <w:spacing w:after="20"/>
            </w:pPr>
            <w:r>
              <w:rPr>
                <w:sz w:val="16"/>
              </w:rPr>
              <w:t>Conflict/already-decided error.</w:t>
            </w:r>
          </w:p>
        </w:tc>
      </w:tr>
      <w:tr>
        <w:tc>
          <w:tcPr>
            <w:tcW w:type="dxa" w:w="3331"/>
            <w:vAlign w:val="center"/>
          </w:tcPr>
          <w:p>
            <w:pPr>
              <w:spacing w:after="20"/>
            </w:pPr>
            <w:r>
              <w:rPr>
                <w:sz w:val="16"/>
              </w:rPr>
              <w:t>Unknown ID</w:t>
            </w:r>
          </w:p>
        </w:tc>
        <w:tc>
          <w:tcPr>
            <w:tcW w:type="dxa" w:w="3331"/>
            <w:vAlign w:val="center"/>
          </w:tcPr>
          <w:p>
            <w:pPr>
              <w:spacing w:after="20"/>
            </w:pPr>
            <w:r>
              <w:rPr>
                <w:sz w:val="16"/>
              </w:rPr>
              <w:t>Read or decide</w:t>
            </w:r>
          </w:p>
        </w:tc>
        <w:tc>
          <w:tcPr>
            <w:tcW w:type="dxa" w:w="3331"/>
            <w:vAlign w:val="center"/>
          </w:tcPr>
          <w:p>
            <w:pPr>
              <w:spacing w:after="20"/>
            </w:pPr>
            <w:r>
              <w:rPr>
                <w:sz w:val="16"/>
              </w:rPr>
              <w:t>Not-found error.</w:t>
            </w:r>
          </w:p>
        </w:tc>
      </w:tr>
    </w:tbl>
    <w:p/>
    <w:p>
      <w:r>
        <w:t>Production needs durable storage, reviewer separation, expiry/escalation, idempotency, and a separately authorized action executor.</w:t>
      </w:r>
    </w:p>
    <w:p>
      <w:pPr>
        <w:pStyle w:val="Heading1"/>
      </w:pPr>
      <w:r>
        <w:t>12. Security, audit, resilience, observability</w:t>
      </w:r>
    </w:p>
    <w:p>
      <w:pPr>
        <w:pStyle w:val="Heading2"/>
      </w:pPr>
      <w:r>
        <w:t>Authentication and authorization</w:t>
      </w:r>
    </w:p>
    <w:p>
      <w:r>
        <w:t>Demo credentials: support-agent / change-me-agent and approver / change-me-approver. Support endpoints require SUPPORT; decision and audit endpoints require APPROVER. These credentials are for local learning only.</w:t>
      </w:r>
    </w:p>
    <w:p>
      <w:pPr>
        <w:pStyle w:val="ListBullet"/>
        <w:spacing w:after="40"/>
      </w:pPr>
      <w:r>
        <w:t>Support role can chat, investigate, analyze tickets, use patterns, and create approvals.</w:t>
      </w:r>
    </w:p>
    <w:p>
      <w:pPr>
        <w:pStyle w:val="ListBullet"/>
        <w:spacing w:after="40"/>
      </w:pPr>
      <w:r>
        <w:t>Approver role can decide approvals and read audit events.</w:t>
      </w:r>
    </w:p>
    <w:p>
      <w:pPr>
        <w:pStyle w:val="ListBullet"/>
        <w:spacing w:after="40"/>
      </w:pPr>
      <w:r>
        <w:t>The controller derives owner-scoped conversation IDs and rejects apparent cross-user IDs.</w:t>
      </w:r>
    </w:p>
    <w:p>
      <w:pPr>
        <w:pStyle w:val="ListBullet"/>
        <w:spacing w:after="40"/>
      </w:pPr>
      <w:r>
        <w:t>Production: use OIDC/OAuth2, TLS, secrets management, least privilege, and rate limiting.</w:t>
      </w:r>
    </w:p>
    <w:p>
      <w:pPr>
        <w:pStyle w:val="Heading2"/>
      </w:pPr>
      <w:r>
        <w:t>Prompt safety</w:t>
      </w:r>
    </w:p>
    <w:p>
      <w:r>
        <w:t>PromptSafetyService rejects blank text, inputs longer than 8,000 characters, and a few literal patterns such as “ignore all previous instructions”. This is a teaching example, not a comprehensive prompt-injection defense. Layer defenses: tool allow-lists, authorization, schema validation, retrieval filtering, and adversarial tests.</w:t>
      </w:r>
    </w:p>
    <w:p>
      <w:pPr>
        <w:pStyle w:val="Heading2"/>
      </w:pPr>
      <w:r>
        <w:t>Audit</w:t>
      </w:r>
    </w:p>
    <w:p>
      <w:r>
        <w:t>AuditService records metadata such as actor, action, target, outcome, timestamp, and brief details. It avoids storing full prompts/output in many paths. It is in-memory, lost on restart, and not tamper-proof.</w:t>
      </w:r>
    </w:p>
    <w:p>
      <w:pPr>
        <w:pStyle w:val="Heading2"/>
      </w:pPr>
      <w:r>
        <w:t>Resilience</w:t>
      </w:r>
    </w:p>
    <w:p>
      <w:pPr>
        <w:pStyle w:val="ListBullet"/>
        <w:spacing w:after="40"/>
      </w:pPr>
      <w:r>
        <w:t>Retry: limited repeated attempts for selected AI operations.</w:t>
      </w:r>
    </w:p>
    <w:p>
      <w:pPr>
        <w:pStyle w:val="ListBullet"/>
        <w:spacing w:after="40"/>
      </w:pPr>
      <w:r>
        <w:t>Timeout: limits how long the caller waits; Java interruption may not stop the underlying synchronous HTTP request.</w:t>
      </w:r>
    </w:p>
    <w:p>
      <w:pPr>
        <w:pStyle w:val="ListBullet"/>
        <w:spacing w:after="40"/>
      </w:pPr>
      <w:r>
        <w:t>Circuit breaker concept: temporarily blocks calls after repeated failures.</w:t>
      </w:r>
    </w:p>
    <w:p>
      <w:pPr>
        <w:pStyle w:val="ListBullet"/>
        <w:spacing w:after="40"/>
      </w:pPr>
      <w:r>
        <w:t>Only retry safe/repeatable operations. Never blindly retry payments or other writes without idempotency.</w:t>
      </w:r>
    </w:p>
    <w:tbl>
      <w:tblPr>
        <w:tblStyle w:val="TableGrid"/>
        <w:tblW w:type="auto" w:w="0"/>
        <w:tblLook w:firstColumn="1" w:firstRow="1" w:lastColumn="0" w:lastRow="0" w:noHBand="0" w:noVBand="1" w:val="04A0"/>
      </w:tblPr>
      <w:tblGrid>
        <w:gridCol w:w="9994"/>
      </w:tblGrid>
      <w:tr>
        <w:tc>
          <w:tcPr>
            <w:tcW w:type="dxa" w:w="9994"/>
            <w:shd w:fill="FFF2CC"/>
          </w:tcPr>
          <w:p>
            <w:pPr>
              <w:spacing w:after="60"/>
            </w:pPr>
            <w:r/>
            <w:r>
              <w:rPr>
                <w:b/>
                <w:sz w:val="18"/>
              </w:rPr>
              <w:t xml:space="preserve">Implementation caveat  </w:t>
            </w:r>
            <w:r>
              <w:rPr>
                <w:sz w:val="18"/>
              </w:rPr>
              <w:t>ResilienceExecutor is an educational compact implementation, not a production-grade concurrency-safe resilience library. Use a mature library and real HTTP connect/read deadlines in production.</w:t>
            </w:r>
          </w:p>
        </w:tc>
      </w:tr>
    </w:tbl>
    <w:p/>
    <w:p>
      <w:pPr>
        <w:pStyle w:val="Heading2"/>
      </w:pPr>
      <w:r>
        <w:t>Observability</w:t>
      </w:r>
    </w:p>
    <w:p>
      <w:pPr>
        <w:pStyle w:val="ListBullet"/>
        <w:spacing w:after="40"/>
      </w:pPr>
      <w:r>
        <w:t>Health: /actuator/health.</w:t>
      </w:r>
    </w:p>
    <w:p>
      <w:pPr>
        <w:pStyle w:val="ListBullet"/>
        <w:spacing w:after="40"/>
      </w:pPr>
      <w:r>
        <w:t>Metrics: /actuator/metrics, subject to security configuration.</w:t>
      </w:r>
    </w:p>
    <w:p>
      <w:pPr>
        <w:pStyle w:val="ListBullet"/>
        <w:spacing w:after="40"/>
      </w:pPr>
      <w:r>
        <w:t>Micrometer tracing bridge and OTLP exporter are included; configure an OTLP collector/endpoint to receive traces.</w:t>
      </w:r>
    </w:p>
    <w:p>
      <w:pPr>
        <w:pStyle w:val="ListBullet"/>
        <w:spacing w:after="40"/>
      </w:pPr>
      <w:r>
        <w:t>Use correlation IDs and structured logs; do not log credentials, sensitive payment data, or unnecessary customer content.</w:t>
      </w:r>
    </w:p>
    <w:p>
      <w:pPr>
        <w:pStyle w:val="Heading1"/>
      </w:pPr>
      <w:r>
        <w:t>13. API reference and Windows CMD commands</w:t>
      </w:r>
    </w:p>
    <w:p>
      <w:r>
        <w:t>Base path: http://localhost:8080/api/support. The examples below are Windows Command Prompt commands; use curl.exe and preserve the JSON escaping.</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D9EAF7"/>
          </w:tcPr>
          <w:p>
            <w:r>
              <w:rPr>
                <w:b/>
                <w:sz w:val="17"/>
              </w:rPr>
              <w:t>Endpoint</w:t>
            </w:r>
          </w:p>
        </w:tc>
        <w:tc>
          <w:tcPr>
            <w:tcW w:type="dxa" w:w="3331"/>
            <w:shd w:fill="D9EAF7"/>
          </w:tcPr>
          <w:p>
            <w:r>
              <w:rPr>
                <w:b/>
                <w:sz w:val="17"/>
              </w:rPr>
              <w:t>Role</w:t>
            </w:r>
          </w:p>
        </w:tc>
        <w:tc>
          <w:tcPr>
            <w:tcW w:type="dxa" w:w="3331"/>
            <w:shd w:fill="D9EAF7"/>
          </w:tcPr>
          <w:p>
            <w:r>
              <w:rPr>
                <w:b/>
                <w:sz w:val="17"/>
              </w:rPr>
              <w:t>Purpose</w:t>
            </w:r>
          </w:p>
        </w:tc>
      </w:tr>
      <w:tr>
        <w:tc>
          <w:tcPr>
            <w:tcW w:type="dxa" w:w="3331"/>
            <w:vAlign w:val="center"/>
          </w:tcPr>
          <w:p>
            <w:pPr>
              <w:spacing w:after="20"/>
            </w:pPr>
            <w:r>
              <w:rPr>
                <w:sz w:val="16"/>
              </w:rPr>
              <w:t>POST /chat</w:t>
            </w:r>
          </w:p>
        </w:tc>
        <w:tc>
          <w:tcPr>
            <w:tcW w:type="dxa" w:w="3331"/>
            <w:vAlign w:val="center"/>
          </w:tcPr>
          <w:p>
            <w:pPr>
              <w:spacing w:after="20"/>
            </w:pPr>
            <w:r>
              <w:rPr>
                <w:sz w:val="16"/>
              </w:rPr>
              <w:t>SUPPORT</w:t>
            </w:r>
          </w:p>
        </w:tc>
        <w:tc>
          <w:tcPr>
            <w:tcW w:type="dxa" w:w="3331"/>
            <w:vAlign w:val="center"/>
          </w:tcPr>
          <w:p>
            <w:pPr>
              <w:spacing w:after="20"/>
            </w:pPr>
            <w:r>
              <w:rPr>
                <w:sz w:val="16"/>
              </w:rPr>
              <w:t>RAG + order/payment lookups + memory + structured SupportReply.</w:t>
            </w:r>
          </w:p>
        </w:tc>
      </w:tr>
      <w:tr>
        <w:tc>
          <w:tcPr>
            <w:tcW w:type="dxa" w:w="3331"/>
            <w:vAlign w:val="center"/>
          </w:tcPr>
          <w:p>
            <w:pPr>
              <w:spacing w:after="20"/>
            </w:pPr>
            <w:r>
              <w:rPr>
                <w:sz w:val="16"/>
              </w:rPr>
              <w:t>GET /stream?question=...&amp;conversationId=...</w:t>
            </w:r>
          </w:p>
        </w:tc>
        <w:tc>
          <w:tcPr>
            <w:tcW w:type="dxa" w:w="3331"/>
            <w:vAlign w:val="center"/>
          </w:tcPr>
          <w:p>
            <w:pPr>
              <w:spacing w:after="20"/>
            </w:pPr>
            <w:r>
              <w:rPr>
                <w:sz w:val="16"/>
              </w:rPr>
              <w:t>SUPPORT</w:t>
            </w:r>
          </w:p>
        </w:tc>
        <w:tc>
          <w:tcPr>
            <w:tcW w:type="dxa" w:w="3331"/>
            <w:vAlign w:val="center"/>
          </w:tcPr>
          <w:p>
            <w:pPr>
              <w:spacing w:after="20"/>
            </w:pPr>
            <w:r>
              <w:rPr>
                <w:sz w:val="16"/>
              </w:rPr>
              <w:t>Stream text as server-sent events.</w:t>
            </w:r>
          </w:p>
        </w:tc>
      </w:tr>
      <w:tr>
        <w:tc>
          <w:tcPr>
            <w:tcW w:type="dxa" w:w="3331"/>
            <w:vAlign w:val="center"/>
          </w:tcPr>
          <w:p>
            <w:pPr>
              <w:spacing w:after="20"/>
            </w:pPr>
            <w:r>
              <w:rPr>
                <w:sz w:val="16"/>
              </w:rPr>
              <w:t>POST /tool-chat</w:t>
            </w:r>
          </w:p>
        </w:tc>
        <w:tc>
          <w:tcPr>
            <w:tcW w:type="dxa" w:w="3331"/>
            <w:vAlign w:val="center"/>
          </w:tcPr>
          <w:p>
            <w:pPr>
              <w:spacing w:after="20"/>
            </w:pPr>
            <w:r>
              <w:rPr>
                <w:sz w:val="16"/>
              </w:rPr>
              <w:t>SUPPORT</w:t>
            </w:r>
          </w:p>
        </w:tc>
        <w:tc>
          <w:tcPr>
            <w:tcW w:type="dxa" w:w="3331"/>
            <w:vAlign w:val="center"/>
          </w:tcPr>
          <w:p>
            <w:pPr>
              <w:spacing w:after="20"/>
            </w:pPr>
            <w:r>
              <w:rPr>
                <w:sz w:val="16"/>
              </w:rPr>
              <w:t>Model-controlled read-only tool calling.</w:t>
            </w:r>
          </w:p>
        </w:tc>
      </w:tr>
      <w:tr>
        <w:tc>
          <w:tcPr>
            <w:tcW w:type="dxa" w:w="3331"/>
            <w:vAlign w:val="center"/>
          </w:tcPr>
          <w:p>
            <w:pPr>
              <w:spacing w:after="20"/>
            </w:pPr>
            <w:r>
              <w:rPr>
                <w:sz w:val="16"/>
              </w:rPr>
              <w:t>POST /tickets/analyze</w:t>
            </w:r>
          </w:p>
        </w:tc>
        <w:tc>
          <w:tcPr>
            <w:tcW w:type="dxa" w:w="3331"/>
            <w:vAlign w:val="center"/>
          </w:tcPr>
          <w:p>
            <w:pPr>
              <w:spacing w:after="20"/>
            </w:pPr>
            <w:r>
              <w:rPr>
                <w:sz w:val="16"/>
              </w:rPr>
              <w:t>SUPPORT</w:t>
            </w:r>
          </w:p>
        </w:tc>
        <w:tc>
          <w:tcPr>
            <w:tcW w:type="dxa" w:w="3331"/>
            <w:vAlign w:val="center"/>
          </w:tcPr>
          <w:p>
            <w:pPr>
              <w:spacing w:after="20"/>
            </w:pPr>
            <w:r>
              <w:rPr>
                <w:sz w:val="16"/>
              </w:rPr>
              <w:t>Classification and draft response.</w:t>
            </w:r>
          </w:p>
        </w:tc>
      </w:tr>
      <w:tr>
        <w:tc>
          <w:tcPr>
            <w:tcW w:type="dxa" w:w="3331"/>
            <w:vAlign w:val="center"/>
          </w:tcPr>
          <w:p>
            <w:pPr>
              <w:spacing w:after="20"/>
            </w:pPr>
            <w:r>
              <w:rPr>
                <w:sz w:val="16"/>
              </w:rPr>
              <w:t>POST /tickets/investigate</w:t>
            </w:r>
          </w:p>
        </w:tc>
        <w:tc>
          <w:tcPr>
            <w:tcW w:type="dxa" w:w="3331"/>
            <w:vAlign w:val="center"/>
          </w:tcPr>
          <w:p>
            <w:pPr>
              <w:spacing w:after="20"/>
            </w:pPr>
            <w:r>
              <w:rPr>
                <w:sz w:val="16"/>
              </w:rPr>
              <w:t>SUPPORT</w:t>
            </w:r>
          </w:p>
        </w:tc>
        <w:tc>
          <w:tcPr>
            <w:tcW w:type="dxa" w:w="3331"/>
            <w:vAlign w:val="center"/>
          </w:tcPr>
          <w:p>
            <w:pPr>
              <w:spacing w:after="20"/>
            </w:pPr>
            <w:r>
              <w:rPr>
                <w:sz w:val="16"/>
              </w:rPr>
              <w:t>Fixed Java workflow.</w:t>
            </w:r>
          </w:p>
        </w:tc>
      </w:tr>
      <w:tr>
        <w:tc>
          <w:tcPr>
            <w:tcW w:type="dxa" w:w="3331"/>
            <w:vAlign w:val="center"/>
          </w:tcPr>
          <w:p>
            <w:pPr>
              <w:spacing w:after="20"/>
            </w:pPr>
            <w:r>
              <w:rPr>
                <w:sz w:val="16"/>
              </w:rPr>
              <w:t>POST /patterns/no-tool</w:t>
            </w:r>
          </w:p>
        </w:tc>
        <w:tc>
          <w:tcPr>
            <w:tcW w:type="dxa" w:w="3331"/>
            <w:vAlign w:val="center"/>
          </w:tcPr>
          <w:p>
            <w:pPr>
              <w:spacing w:after="20"/>
            </w:pPr>
            <w:r>
              <w:rPr>
                <w:sz w:val="16"/>
              </w:rPr>
              <w:t>SUPPORT</w:t>
            </w:r>
          </w:p>
        </w:tc>
        <w:tc>
          <w:tcPr>
            <w:tcW w:type="dxa" w:w="3331"/>
            <w:vAlign w:val="center"/>
          </w:tcPr>
          <w:p>
            <w:pPr>
              <w:spacing w:after="20"/>
            </w:pPr>
            <w:r>
              <w:rPr>
                <w:sz w:val="16"/>
              </w:rPr>
              <w:t>Plain answer without internal lookup.</w:t>
            </w:r>
          </w:p>
        </w:tc>
      </w:tr>
      <w:tr>
        <w:tc>
          <w:tcPr>
            <w:tcW w:type="dxa" w:w="3331"/>
            <w:vAlign w:val="center"/>
          </w:tcPr>
          <w:p>
            <w:pPr>
              <w:spacing w:after="20"/>
            </w:pPr>
            <w:r>
              <w:rPr>
                <w:sz w:val="16"/>
              </w:rPr>
              <w:t>POST /patterns/plan-execute-synthesize</w:t>
            </w:r>
          </w:p>
        </w:tc>
        <w:tc>
          <w:tcPr>
            <w:tcW w:type="dxa" w:w="3331"/>
            <w:vAlign w:val="center"/>
          </w:tcPr>
          <w:p>
            <w:pPr>
              <w:spacing w:after="20"/>
            </w:pPr>
            <w:r>
              <w:rPr>
                <w:sz w:val="16"/>
              </w:rPr>
              <w:t>SUPPORT</w:t>
            </w:r>
          </w:p>
        </w:tc>
        <w:tc>
          <w:tcPr>
            <w:tcW w:type="dxa" w:w="3331"/>
            <w:vAlign w:val="center"/>
          </w:tcPr>
          <w:p>
            <w:pPr>
              <w:spacing w:after="20"/>
            </w:pPr>
            <w:r>
              <w:rPr>
                <w:sz w:val="16"/>
              </w:rPr>
              <w:t>Plan, fixed execution, synthesis.</w:t>
            </w:r>
          </w:p>
        </w:tc>
      </w:tr>
      <w:tr>
        <w:tc>
          <w:tcPr>
            <w:tcW w:type="dxa" w:w="3331"/>
            <w:vAlign w:val="center"/>
          </w:tcPr>
          <w:p>
            <w:pPr>
              <w:spacing w:after="20"/>
            </w:pPr>
            <w:r>
              <w:rPr>
                <w:sz w:val="16"/>
              </w:rPr>
              <w:t>POST /patterns/reflect</w:t>
            </w:r>
          </w:p>
        </w:tc>
        <w:tc>
          <w:tcPr>
            <w:tcW w:type="dxa" w:w="3331"/>
            <w:vAlign w:val="center"/>
          </w:tcPr>
          <w:p>
            <w:pPr>
              <w:spacing w:after="20"/>
            </w:pPr>
            <w:r>
              <w:rPr>
                <w:sz w:val="16"/>
              </w:rPr>
              <w:t>SUPPORT</w:t>
            </w:r>
          </w:p>
        </w:tc>
        <w:tc>
          <w:tcPr>
            <w:tcW w:type="dxa" w:w="3331"/>
            <w:vAlign w:val="center"/>
          </w:tcPr>
          <w:p>
            <w:pPr>
              <w:spacing w:after="20"/>
            </w:pPr>
            <w:r>
              <w:rPr>
                <w:sz w:val="16"/>
              </w:rPr>
              <w:t>Draft then review.</w:t>
            </w:r>
          </w:p>
        </w:tc>
      </w:tr>
      <w:tr>
        <w:tc>
          <w:tcPr>
            <w:tcW w:type="dxa" w:w="3331"/>
            <w:vAlign w:val="center"/>
          </w:tcPr>
          <w:p>
            <w:pPr>
              <w:spacing w:after="20"/>
            </w:pPr>
            <w:r>
              <w:rPr>
                <w:sz w:val="16"/>
              </w:rPr>
              <w:t>POST /patterns/multi-agent-route</w:t>
            </w:r>
          </w:p>
        </w:tc>
        <w:tc>
          <w:tcPr>
            <w:tcW w:type="dxa" w:w="3331"/>
            <w:vAlign w:val="center"/>
          </w:tcPr>
          <w:p>
            <w:pPr>
              <w:spacing w:after="20"/>
            </w:pPr>
            <w:r>
              <w:rPr>
                <w:sz w:val="16"/>
              </w:rPr>
              <w:t>SUPPORT</w:t>
            </w:r>
          </w:p>
        </w:tc>
        <w:tc>
          <w:tcPr>
            <w:tcW w:type="dxa" w:w="3331"/>
            <w:vAlign w:val="center"/>
          </w:tcPr>
          <w:p>
            <w:pPr>
              <w:spacing w:after="20"/>
            </w:pPr>
            <w:r>
              <w:rPr>
                <w:sz w:val="16"/>
              </w:rPr>
              <w:t>Payment/order specialist prompt routing.</w:t>
            </w:r>
          </w:p>
        </w:tc>
      </w:tr>
      <w:tr>
        <w:tc>
          <w:tcPr>
            <w:tcW w:type="dxa" w:w="3331"/>
            <w:vAlign w:val="center"/>
          </w:tcPr>
          <w:p>
            <w:pPr>
              <w:spacing w:after="20"/>
            </w:pPr>
            <w:r>
              <w:rPr>
                <w:sz w:val="16"/>
              </w:rPr>
              <w:t>POST /approvals</w:t>
            </w:r>
          </w:p>
        </w:tc>
        <w:tc>
          <w:tcPr>
            <w:tcW w:type="dxa" w:w="3331"/>
            <w:vAlign w:val="center"/>
          </w:tcPr>
          <w:p>
            <w:pPr>
              <w:spacing w:after="20"/>
            </w:pPr>
            <w:r>
              <w:rPr>
                <w:sz w:val="16"/>
              </w:rPr>
              <w:t>SUPPORT</w:t>
            </w:r>
          </w:p>
        </w:tc>
        <w:tc>
          <w:tcPr>
            <w:tcW w:type="dxa" w:w="3331"/>
            <w:vAlign w:val="center"/>
          </w:tcPr>
          <w:p>
            <w:pPr>
              <w:spacing w:after="20"/>
            </w:pPr>
            <w:r>
              <w:rPr>
                <w:sz w:val="16"/>
              </w:rPr>
              <w:t>Create pending approval.</w:t>
            </w:r>
          </w:p>
        </w:tc>
      </w:tr>
      <w:tr>
        <w:tc>
          <w:tcPr>
            <w:tcW w:type="dxa" w:w="3331"/>
            <w:vAlign w:val="center"/>
          </w:tcPr>
          <w:p>
            <w:pPr>
              <w:spacing w:after="20"/>
            </w:pPr>
            <w:r>
              <w:rPr>
                <w:sz w:val="16"/>
              </w:rPr>
              <w:t>POST /approvals/{requestId}/decision</w:t>
            </w:r>
          </w:p>
        </w:tc>
        <w:tc>
          <w:tcPr>
            <w:tcW w:type="dxa" w:w="3331"/>
            <w:vAlign w:val="center"/>
          </w:tcPr>
          <w:p>
            <w:pPr>
              <w:spacing w:after="20"/>
            </w:pPr>
            <w:r>
              <w:rPr>
                <w:sz w:val="16"/>
              </w:rPr>
              <w:t>APPROVER</w:t>
            </w:r>
          </w:p>
        </w:tc>
        <w:tc>
          <w:tcPr>
            <w:tcW w:type="dxa" w:w="3331"/>
            <w:vAlign w:val="center"/>
          </w:tcPr>
          <w:p>
            <w:pPr>
              <w:spacing w:after="20"/>
            </w:pPr>
            <w:r>
              <w:rPr>
                <w:sz w:val="16"/>
              </w:rPr>
              <w:t>Record decision.</w:t>
            </w:r>
          </w:p>
        </w:tc>
      </w:tr>
      <w:tr>
        <w:tc>
          <w:tcPr>
            <w:tcW w:type="dxa" w:w="3331"/>
            <w:vAlign w:val="center"/>
          </w:tcPr>
          <w:p>
            <w:pPr>
              <w:spacing w:after="20"/>
            </w:pPr>
            <w:r>
              <w:rPr>
                <w:sz w:val="16"/>
              </w:rPr>
              <w:t>GET /approvals/{requestId}</w:t>
            </w:r>
          </w:p>
        </w:tc>
        <w:tc>
          <w:tcPr>
            <w:tcW w:type="dxa" w:w="3331"/>
            <w:vAlign w:val="center"/>
          </w:tcPr>
          <w:p>
            <w:pPr>
              <w:spacing w:after="20"/>
            </w:pPr>
            <w:r>
              <w:rPr>
                <w:sz w:val="16"/>
              </w:rPr>
              <w:t>SUPPORT</w:t>
            </w:r>
          </w:p>
        </w:tc>
        <w:tc>
          <w:tcPr>
            <w:tcW w:type="dxa" w:w="3331"/>
            <w:vAlign w:val="center"/>
          </w:tcPr>
          <w:p>
            <w:pPr>
              <w:spacing w:after="20"/>
            </w:pPr>
            <w:r>
              <w:rPr>
                <w:sz w:val="16"/>
              </w:rPr>
              <w:t>Read approval request.</w:t>
            </w:r>
          </w:p>
        </w:tc>
      </w:tr>
      <w:tr>
        <w:tc>
          <w:tcPr>
            <w:tcW w:type="dxa" w:w="3331"/>
            <w:vAlign w:val="center"/>
          </w:tcPr>
          <w:p>
            <w:pPr>
              <w:spacing w:after="20"/>
            </w:pPr>
            <w:r>
              <w:rPr>
                <w:sz w:val="16"/>
              </w:rPr>
              <w:t>GET /audit</w:t>
            </w:r>
          </w:p>
        </w:tc>
        <w:tc>
          <w:tcPr>
            <w:tcW w:type="dxa" w:w="3331"/>
            <w:vAlign w:val="center"/>
          </w:tcPr>
          <w:p>
            <w:pPr>
              <w:spacing w:after="20"/>
            </w:pPr>
            <w:r>
              <w:rPr>
                <w:sz w:val="16"/>
              </w:rPr>
              <w:t>APPROVER</w:t>
            </w:r>
          </w:p>
        </w:tc>
        <w:tc>
          <w:tcPr>
            <w:tcW w:type="dxa" w:w="3331"/>
            <w:vAlign w:val="center"/>
          </w:tcPr>
          <w:p>
            <w:pPr>
              <w:spacing w:after="20"/>
            </w:pPr>
            <w:r>
              <w:rPr>
                <w:sz w:val="16"/>
              </w:rPr>
              <w:t>Read recent audit events.</w:t>
            </w:r>
          </w:p>
        </w:tc>
      </w:tr>
    </w:tbl>
    <w:p/>
    <w:p>
      <w:pPr>
        <w:pStyle w:val="Heading2"/>
      </w:pPr>
      <w:r>
        <w:t>A. RAG + memory + structured reply</w:t>
      </w:r>
    </w:p>
    <w:p>
      <w:pPr>
        <w:spacing w:before="60" w:after="140"/>
        <w:ind w:left="216" w:right="144"/>
        <w:shd w:fill="F2F4F7"/>
      </w:pPr>
      <w:r>
        <w:rPr>
          <w:rFonts w:ascii="Consolas" w:hAnsi="Consolas"/>
          <w:color w:val="282D34"/>
          <w:sz w:val="15"/>
        </w:rPr>
        <w:t>curl.exe -u "support-agent:change-me-agent" -H "Content-Type: application/json" -H "Accept: application/json" -d "{\"ticketId\":\"TCK-100\",\"customerMessage\":\"My shipment is delayed. What should I do?\",\"orderId\":\"ORD-101\",\"conversationId\":\"case-100\"}" http://localhost:8080/api/support/chat</w:t>
      </w:r>
    </w:p>
    <w:p>
      <w:pPr>
        <w:pStyle w:val="Heading2"/>
      </w:pPr>
      <w:r>
        <w:t>B. Tool calling</w:t>
      </w:r>
    </w:p>
    <w:p>
      <w:pPr>
        <w:spacing w:before="60" w:after="140"/>
        <w:ind w:left="216" w:right="144"/>
        <w:shd w:fill="F2F4F7"/>
      </w:pPr>
      <w:r>
        <w:rPr>
          <w:rFonts w:ascii="Consolas" w:hAnsi="Consolas"/>
          <w:color w:val="282D34"/>
          <w:sz w:val="15"/>
        </w:rPr>
        <w:t>curl.exe -u "support-agent:change-me-agent" -H "Content-Type: application/json" -H "Accept: application/json" -d "{\"ticketId\":\"TCK-100\",\"customerMessage\":\"Check ticket TCK-100 and order ORD-101, then explain the status.\",\"conversationId\":\"case-100\"}" http://localhost:8080/api/support/tool-chat</w:t>
      </w:r>
    </w:p>
    <w:p>
      <w:pPr>
        <w:pStyle w:val="Heading2"/>
      </w:pPr>
      <w:r>
        <w:t>C. Ticket analysis</w:t>
      </w:r>
    </w:p>
    <w:p>
      <w:pPr>
        <w:spacing w:before="60" w:after="140"/>
        <w:ind w:left="216" w:right="144"/>
        <w:shd w:fill="F2F4F7"/>
      </w:pPr>
      <w:r>
        <w:rPr>
          <w:rFonts w:ascii="Consolas" w:hAnsi="Consolas"/>
          <w:color w:val="282D34"/>
          <w:sz w:val="15"/>
        </w:rPr>
        <w:t>curl.exe -u "support-agent:change-me-agent" -H "Content-Type: application/json" -H "Accept: application/json" -d "{\"ticketId\":\"TCK-200\",\"customerMessage\":\"I think I was charged twice. Please help.\"}" http://localhost:8080/api/support/tickets/analyze</w:t>
      </w:r>
    </w:p>
    <w:p>
      <w:pPr>
        <w:pStyle w:val="Heading2"/>
      </w:pPr>
      <w:r>
        <w:t>D. Deterministic investigation</w:t>
      </w:r>
    </w:p>
    <w:p>
      <w:pPr>
        <w:spacing w:before="60" w:after="140"/>
        <w:ind w:left="216" w:right="144"/>
        <w:shd w:fill="F2F4F7"/>
      </w:pPr>
      <w:r>
        <w:rPr>
          <w:rFonts w:ascii="Consolas" w:hAnsi="Consolas"/>
          <w:color w:val="282D34"/>
          <w:sz w:val="15"/>
        </w:rPr>
        <w:t>curl.exe -u "support-agent:change-me-agent" -H "Content-Type: application/json" -H "Accept: application/json" -d "{\"ticketId\":\"TCK-100\",\"orderId\":\"ORD-101\",\"sku\":\"SKU-101\"}" http://localhost:8080/api/support/tickets/investigate</w:t>
      </w:r>
    </w:p>
    <w:p>
      <w:pPr>
        <w:pStyle w:val="Heading2"/>
      </w:pPr>
      <w:r>
        <w:t>E. Plan–execute–synthesize</w:t>
      </w:r>
    </w:p>
    <w:p>
      <w:pPr>
        <w:spacing w:before="60" w:after="140"/>
        <w:ind w:left="216" w:right="144"/>
        <w:shd w:fill="F2F4F7"/>
      </w:pPr>
      <w:r>
        <w:rPr>
          <w:rFonts w:ascii="Consolas" w:hAnsi="Consolas"/>
          <w:color w:val="282D34"/>
          <w:sz w:val="15"/>
        </w:rPr>
        <w:t>curl.exe -u "support-agent:change-me-agent" -H "Content-Type: application/json" -H "Accept: application/json" -d "{\"question\":\"Investigate this delayed shipment\",\"ticketId\":\"TCK-100\",\"orderId\":\"ORD-101\",\"sku\":\"SKU-101\"}" http://localhost:8080/api/support/patterns/plan-execute-synthesize</w:t>
      </w:r>
    </w:p>
    <w:p>
      <w:pPr>
        <w:pStyle w:val="Heading2"/>
      </w:pPr>
      <w:r>
        <w:t>F. Create approval</w:t>
      </w:r>
    </w:p>
    <w:p>
      <w:pPr>
        <w:spacing w:before="60" w:after="140"/>
        <w:ind w:left="216" w:right="144"/>
        <w:shd w:fill="F2F4F7"/>
      </w:pPr>
      <w:r>
        <w:rPr>
          <w:rFonts w:ascii="Consolas" w:hAnsi="Consolas"/>
          <w:color w:val="282D34"/>
          <w:sz w:val="15"/>
        </w:rPr>
        <w:t>curl.exe -u "support-agent:change-me-agent" -X POST -H "Content-Type: application/json" -H "Accept: application/json" -d "{\"ticketId\":\"TCK-200\",\"action\":\"REFUND_REVIEW\",\"reason\":\"Customer reports duplicate charge\"}" http://localhost:8080/api/support/approvals</w:t>
      </w:r>
    </w:p>
    <w:p>
      <w:r>
        <w:t>Copy the returned requestId and substitute it for REQUEST_ID.</w:t>
      </w:r>
    </w:p>
    <w:p>
      <w:pPr>
        <w:pStyle w:val="Heading2"/>
      </w:pPr>
      <w:r>
        <w:t>G. Approver rejects an approval</w:t>
      </w:r>
    </w:p>
    <w:p>
      <w:pPr>
        <w:spacing w:before="60" w:after="140"/>
        <w:ind w:left="216" w:right="144"/>
        <w:shd w:fill="F2F4F7"/>
      </w:pPr>
      <w:r>
        <w:rPr>
          <w:rFonts w:ascii="Consolas" w:hAnsi="Consolas"/>
          <w:color w:val="282D34"/>
          <w:sz w:val="15"/>
        </w:rPr>
        <w:t>curl.exe -u "approver:change-me-approver" -X POST -H "Content-Type: application/json" -H "Accept: application/json" -d "{\"decision\":\"REJECT\",\"note\":\"Needs payment reconciliation first\"}" http://localhost:8080/api/support/approvals/REQUEST_ID/decision</w:t>
      </w:r>
    </w:p>
    <w:p>
      <w:pPr>
        <w:pStyle w:val="Heading2"/>
      </w:pPr>
      <w:r>
        <w:t>H. Health</w:t>
      </w:r>
    </w:p>
    <w:p>
      <w:pPr>
        <w:spacing w:before="60" w:after="140"/>
        <w:ind w:left="216" w:right="144"/>
        <w:shd w:fill="F2F4F7"/>
      </w:pPr>
      <w:r>
        <w:rPr>
          <w:rFonts w:ascii="Consolas" w:hAnsi="Consolas"/>
          <w:color w:val="282D34"/>
          <w:sz w:val="15"/>
        </w:rPr>
        <w:t>curl.exe -u "support-agent:change-me-agent" http://localhost:8080/actuator/health</w:t>
      </w:r>
    </w:p>
    <w:tbl>
      <w:tblPr>
        <w:tblStyle w:val="TableGrid"/>
        <w:tblW w:type="auto" w:w="0"/>
        <w:tblLook w:firstColumn="1" w:firstRow="1" w:lastColumn="0" w:lastRow="0" w:noHBand="0" w:noVBand="1" w:val="04A0"/>
      </w:tblPr>
      <w:tblGrid>
        <w:gridCol w:w="9994"/>
      </w:tblGrid>
      <w:tr>
        <w:tc>
          <w:tcPr>
            <w:tcW w:type="dxa" w:w="9994"/>
            <w:shd w:fill="FFF2CC"/>
          </w:tcPr>
          <w:p>
            <w:pPr>
              <w:spacing w:after="60"/>
            </w:pPr>
            <w:r/>
            <w:r>
              <w:rPr>
                <w:b/>
                <w:sz w:val="18"/>
              </w:rPr>
              <w:t xml:space="preserve">HTTP 415 tip  </w:t>
            </w:r>
            <w:r>
              <w:rPr>
                <w:sz w:val="18"/>
              </w:rPr>
              <w:t>If Spring reports application/x-www-form-urlencoded, verify Content-Type is application/json and JSON quotes are escaped for CMD. Use curl.exe explicitly.</w:t>
            </w:r>
          </w:p>
        </w:tc>
      </w:tr>
    </w:tbl>
    <w:p/>
    <w:p>
      <w:r>
        <w:t>Model-generated answer wording varies. Evaluate the response contract and evidence, not whether the model repeats an exact sentence.</w:t>
      </w:r>
    </w:p>
    <w:p>
      <w:pPr>
        <w:pStyle w:val="Heading1"/>
      </w:pPr>
      <w:r>
        <w:t>14. Complete business flows</w:t>
      </w:r>
    </w:p>
    <w:p>
      <w:pPr>
        <w:pStyle w:val="Heading2"/>
      </w:pPr>
      <w:r>
        <w:t>Scenario 1: delayed shipment through /chat</w:t>
      </w:r>
    </w:p>
    <w:p>
      <w:pPr>
        <w:pStyle w:val="ListNumber"/>
        <w:spacing w:after="40"/>
      </w:pPr>
      <w:r>
        <w:t>Support agent authenticates with SUPPORT and submits TCK-100, ORD-101, conversationId case-100.</w:t>
      </w:r>
    </w:p>
    <w:p>
      <w:pPr>
        <w:pStyle w:val="ListNumber"/>
        <w:spacing w:after="40"/>
      </w:pPr>
      <w:r>
        <w:t>Controller validates TicketRequest and builds an owner-scoped conversation ID from the authenticated username.</w:t>
      </w:r>
    </w:p>
    <w:p>
      <w:pPr>
        <w:pStyle w:val="ListNumber"/>
        <w:spacing w:after="40"/>
      </w:pPr>
      <w:r>
        <w:t>SupportAiService validates the customer message using PromptSafetyService.</w:t>
      </w:r>
    </w:p>
    <w:p>
      <w:pPr>
        <w:pStyle w:val="ListNumber"/>
        <w:spacing w:after="40"/>
      </w:pPr>
      <w:r>
        <w:t>RagService searches the in-memory vector store for relevant policy passages and source names.</w:t>
      </w:r>
    </w:p>
    <w:p>
      <w:pPr>
        <w:pStyle w:val="ListNumber"/>
        <w:spacing w:after="40"/>
      </w:pPr>
      <w:r>
        <w:t>SupportTools reads order and payment facts from seeded demo data.</w:t>
      </w:r>
    </w:p>
    <w:p>
      <w:pPr>
        <w:pStyle w:val="ListNumber"/>
        <w:spacing w:after="40"/>
      </w:pPr>
      <w:r>
        <w:t>ChatClient sends system rules, question, verified facts, retrieved passages, conversation ID, and tool callbacks to Ollama.</w:t>
      </w:r>
    </w:p>
    <w:p>
      <w:pPr>
        <w:pStyle w:val="ListNumber"/>
        <w:spacing w:after="40"/>
      </w:pPr>
      <w:r>
        <w:t>Ollama returns a SupportReply-shaped result. The service includes retrieved source names where available.</w:t>
      </w:r>
    </w:p>
    <w:p>
      <w:pPr>
        <w:pStyle w:val="ListNumber"/>
        <w:spacing w:after="40"/>
      </w:pPr>
      <w:r>
        <w:t>AuditService records metadata and the controller returns JSON.</w:t>
      </w:r>
    </w:p>
    <w:p>
      <w:pPr>
        <w:pStyle w:val="Heading2"/>
      </w:pPr>
      <w:r>
        <w:t>Scenario 2: duplicate charge through /tickets/analyze</w:t>
      </w:r>
    </w:p>
    <w:p>
      <w:pPr>
        <w:pStyle w:val="ListNumber"/>
        <w:spacing w:after="40"/>
      </w:pPr>
      <w:r>
        <w:t>Customer says: “I think I was charged twice. Please help.”</w:t>
      </w:r>
    </w:p>
    <w:p>
      <w:pPr>
        <w:pStyle w:val="ListNumber"/>
        <w:spacing w:after="40"/>
      </w:pPr>
      <w:r>
        <w:t>Controller calls SupportAiService.analyzeTicket(actor, ticketId, customerMessage).</w:t>
      </w:r>
    </w:p>
    <w:p>
      <w:pPr>
        <w:pStyle w:val="ListNumber"/>
        <w:spacing w:after="40"/>
      </w:pPr>
      <w:r>
        <w:t>PromptSafetyService validates the message; RagService retrieves relevant knowledge context.</w:t>
      </w:r>
    </w:p>
    <w:p>
      <w:pPr>
        <w:pStyle w:val="ListNumber"/>
        <w:spacing w:after="40"/>
      </w:pPr>
      <w:r>
        <w:t>ChatClient asks Ollama for category, priority, sentiment, summary, suggestedResponse, recommendedAction, and humanReviewRequired.</w:t>
      </w:r>
    </w:p>
    <w:p>
      <w:pPr>
        <w:pStyle w:val="ListNumber"/>
        <w:spacing w:after="40"/>
      </w:pPr>
      <w:r>
        <w:t>ResponseVerifier normalizes fields and forces human review for duplicate-charge/high-risk signals.</w:t>
      </w:r>
    </w:p>
    <w:p>
      <w:pPr>
        <w:pStyle w:val="ListNumber"/>
        <w:spacing w:after="40"/>
      </w:pPr>
      <w:r>
        <w:t>AuditService records ticket ID, priority, and review flag. The suggested response remains a draft; no refund is issued.</w:t>
      </w:r>
    </w:p>
    <w:p>
      <w:pPr>
        <w:pStyle w:val="ListNumber"/>
        <w:spacing w:after="40"/>
      </w:pPr>
      <w:r>
        <w:t>A support agent may create a REFUND_REVIEW approval request; an approver later records APPROVE or REJECT.</w:t>
      </w:r>
    </w:p>
    <w:p>
      <w:pPr>
        <w:pStyle w:val="Heading2"/>
      </w:pPr>
      <w:r>
        <w:t>Scenario 3: plan–execute–synthesize</w:t>
      </w:r>
    </w:p>
    <w:p>
      <w:pPr>
        <w:pStyle w:val="ListNumber"/>
        <w:spacing w:after="40"/>
      </w:pPr>
      <w:r>
        <w:t>Model proposes a plan from allowed read-only step names.</w:t>
      </w:r>
    </w:p>
    <w:p>
      <w:pPr>
        <w:pStyle w:val="ListNumber"/>
        <w:spacing w:after="40"/>
      </w:pPr>
      <w:r>
        <w:t>Java treats plan text as descriptive only and calls SupportWorkflowService.investigate(ticketId, orderId, sku).</w:t>
      </w:r>
    </w:p>
    <w:p>
      <w:pPr>
        <w:pStyle w:val="ListNumber"/>
        <w:spacing w:after="40"/>
      </w:pPr>
      <w:r>
        <w:t>Workflow calls ticket, order, payment, and inventory lookups in a fixed sequence.</w:t>
      </w:r>
    </w:p>
    <w:p>
      <w:pPr>
        <w:pStyle w:val="ListNumber"/>
        <w:spacing w:after="40"/>
      </w:pPr>
      <w:r>
        <w:t>InvestigationResult contains statuses, recommendation, and humanApprovalRequired.</w:t>
      </w:r>
    </w:p>
    <w:p>
      <w:pPr>
        <w:pStyle w:val="ListNumber"/>
        <w:spacing w:after="40"/>
      </w:pPr>
      <w:r>
        <w:t>Model synthesizes readable guidance from verified facts; it must not invent an ETA or claim an action happened.</w:t>
      </w:r>
    </w:p>
    <w:p>
      <w:pPr>
        <w:pStyle w:val="Heading2"/>
      </w:pPr>
      <w:r>
        <w:t>Scenario 4: approval</w:t>
      </w:r>
    </w:p>
    <w:p>
      <w:pPr>
        <w:pStyle w:val="ListNumber"/>
        <w:spacing w:after="40"/>
      </w:pPr>
      <w:r>
        <w:t>Support user posts ApprovalRequest; ApprovalService creates a UUID and status PENDING.</w:t>
      </w:r>
    </w:p>
    <w:p>
      <w:pPr>
        <w:pStyle w:val="ListNumber"/>
        <w:spacing w:after="40"/>
      </w:pPr>
      <w:r>
        <w:t>Endpoint returns HTTP 202 Accepted with the request details.</w:t>
      </w:r>
    </w:p>
    <w:p>
      <w:pPr>
        <w:pStyle w:val="ListNumber"/>
        <w:spacing w:after="40"/>
      </w:pPr>
      <w:r>
        <w:t>Approver authenticates with APPROVER and posts APPROVE or REJECT plus a note.</w:t>
      </w:r>
    </w:p>
    <w:p>
      <w:pPr>
        <w:pStyle w:val="ListNumber"/>
        <w:spacing w:after="40"/>
      </w:pPr>
      <w:r>
        <w:t>Service rejects unknown IDs, invalid decisions, and decisions on already-decided requests.</w:t>
      </w:r>
    </w:p>
    <w:p>
      <w:pPr>
        <w:pStyle w:val="ListNumber"/>
        <w:spacing w:after="40"/>
      </w:pPr>
      <w:r>
        <w:t>Decision, actor, timestamp, note, and NOT_EXECUTED_DEMO_ONLY are stored.</w:t>
      </w:r>
    </w:p>
    <w:p>
      <w:pPr>
        <w:pStyle w:val="ListNumber"/>
        <w:spacing w:after="40"/>
      </w:pPr>
      <w:r>
        <w:t>AuditService records the decision. No external payment side effect occurs.</w:t>
      </w:r>
    </w:p>
    <w:p>
      <w:pPr>
        <w:pStyle w:val="Heading1"/>
      </w:pPr>
      <w:r>
        <w:t>15. Setup and learning sequence</w:t>
      </w:r>
    </w:p>
    <w:p>
      <w:pPr>
        <w:pStyle w:val="Heading2"/>
      </w:pPr>
      <w:r>
        <w:t>Prerequisites and models</w:t>
      </w:r>
    </w:p>
    <w:p>
      <w:pPr>
        <w:pStyle w:val="ListBullet"/>
        <w:spacing w:after="40"/>
      </w:pPr>
      <w:r>
        <w:t>Install JDK 21, Maven 3.9+, and Ollama.</w:t>
      </w:r>
    </w:p>
    <w:p>
      <w:pPr>
        <w:pStyle w:val="ListBullet"/>
        <w:spacing w:after="40"/>
      </w:pPr>
      <w:r>
        <w:t>Ensure Ollama is running.</w:t>
      </w:r>
    </w:p>
    <w:p>
      <w:pPr>
        <w:spacing w:before="60" w:after="140"/>
        <w:ind w:left="216" w:right="144"/>
        <w:shd w:fill="F2F4F7"/>
      </w:pPr>
      <w:r>
        <w:rPr>
          <w:rFonts w:ascii="Consolas" w:hAnsi="Consolas"/>
          <w:color w:val="282D34"/>
          <w:sz w:val="15"/>
        </w:rPr>
        <w:t>ollama pull qwen2.5:7b</w:t>
      </w:r>
      <w:r>
        <w:br/>
      </w:r>
      <w:r>
        <w:rPr>
          <w:rFonts w:ascii="Consolas" w:hAnsi="Consolas"/>
          <w:color w:val="282D34"/>
          <w:sz w:val="15"/>
        </w:rPr>
        <w:t>ollama pull nomic-embed-text</w:t>
      </w:r>
      <w:r>
        <w:br/>
      </w:r>
      <w:r>
        <w:rPr>
          <w:rFonts w:ascii="Consolas" w:hAnsi="Consolas"/>
          <w:color w:val="282D34"/>
          <w:sz w:val="15"/>
        </w:rPr>
        <w:t>ollama list</w:t>
      </w:r>
      <w:r>
        <w:br/>
      </w:r>
      <w:r>
        <w:rPr>
          <w:rFonts w:ascii="Consolas" w:hAnsi="Consolas"/>
          <w:color w:val="282D34"/>
          <w:sz w:val="15"/>
        </w:rPr>
        <w:t>curl.exe http://localhost:11434/api/tags</w:t>
      </w:r>
    </w:p>
    <w:p>
      <w:pPr>
        <w:pStyle w:val="Heading2"/>
      </w:pPr>
      <w:r>
        <w:t>Build and start</w:t>
      </w:r>
    </w:p>
    <w:p>
      <w:pPr>
        <w:spacing w:before="60" w:after="140"/>
        <w:ind w:left="216" w:right="144"/>
        <w:shd w:fill="F2F4F7"/>
      </w:pPr>
      <w:r>
        <w:rPr>
          <w:rFonts w:ascii="Consolas" w:hAnsi="Consolas"/>
          <w:color w:val="282D34"/>
          <w:sz w:val="15"/>
        </w:rPr>
        <w:t>mvn clean test</w:t>
      </w:r>
      <w:r>
        <w:br/>
      </w:r>
      <w:r>
        <w:rPr>
          <w:rFonts w:ascii="Consolas" w:hAnsi="Consolas"/>
          <w:color w:val="282D34"/>
          <w:sz w:val="15"/>
        </w:rPr>
        <w:t>mvn spring-boot:run</w:t>
      </w:r>
    </w:p>
    <w:p>
      <w:r>
        <w:t>The first Maven build needs network access to resolve dependencies. The generated project was not compiled in the generation environment; run the commands locally to verify dependency resolution and the exact APIs.</w:t>
      </w:r>
    </w:p>
    <w:p>
      <w:pPr>
        <w:pStyle w:val="Heading2"/>
      </w:pPr>
      <w:r>
        <w:t>Recommended learning order</w:t>
      </w:r>
    </w:p>
    <w:p>
      <w:pPr>
        <w:pStyle w:val="ListNumber"/>
        <w:spacing w:after="40"/>
      </w:pPr>
      <w:r>
        <w:t>Run /tickets/investigate to understand deterministic orchestration without model planning.</w:t>
      </w:r>
    </w:p>
    <w:p>
      <w:pPr>
        <w:pStyle w:val="ListNumber"/>
        <w:spacing w:after="40"/>
      </w:pPr>
      <w:r>
        <w:t>Run /tool-chat to see model-controlled read-only tool calls.</w:t>
      </w:r>
    </w:p>
    <w:p>
      <w:pPr>
        <w:pStyle w:val="ListNumber"/>
        <w:spacing w:after="40"/>
      </w:pPr>
      <w:r>
        <w:t>Run /chat and inspect source names to learn RAG, memory, and structured output.</w:t>
      </w:r>
    </w:p>
    <w:p>
      <w:pPr>
        <w:pStyle w:val="ListNumber"/>
        <w:spacing w:after="40"/>
      </w:pPr>
      <w:r>
        <w:t>Repeat /chat with the same conversationId, then change it to create a separate conversation.</w:t>
      </w:r>
    </w:p>
    <w:p>
      <w:pPr>
        <w:pStyle w:val="ListNumber"/>
        <w:spacing w:after="40"/>
      </w:pPr>
      <w:r>
        <w:t>Run /tickets/analyze with ordinary and duplicate-charge messages.</w:t>
      </w:r>
    </w:p>
    <w:p>
      <w:pPr>
        <w:pStyle w:val="ListNumber"/>
        <w:spacing w:after="40"/>
      </w:pPr>
      <w:r>
        <w:t>Create and decide an approval request; confirm the demo records but does not execute a refund.</w:t>
      </w:r>
    </w:p>
    <w:p>
      <w:pPr>
        <w:pStyle w:val="ListNumber"/>
        <w:spacing w:after="40"/>
      </w:pPr>
      <w:r>
        <w:t>Compare no-tool, plan–execute–synthesize, reflection, and specialist routing.</w:t>
      </w:r>
    </w:p>
    <w:p>
      <w:pPr>
        <w:pStyle w:val="ListNumber"/>
        <w:spacing w:after="40"/>
      </w:pPr>
      <w:r>
        <w:t>Inspect health, metrics, and audit endpoints using the appropriate role.</w:t>
      </w:r>
    </w:p>
    <w:p>
      <w:pPr>
        <w:pStyle w:val="Heading1"/>
      </w:pPr>
      <w:r>
        <w:t>16. Limitations and production hardening</w:t>
      </w:r>
    </w:p>
    <w:tbl>
      <w:tblPr>
        <w:tblStyle w:val="LightShading-Accent1"/>
        <w:tblW w:type="auto" w:w="0"/>
        <w:jc w:val="center"/>
        <w:tblLook w:firstColumn="1" w:firstRow="1" w:lastColumn="0" w:lastRow="0" w:noHBand="0" w:noVBand="1" w:val="04A0"/>
      </w:tblPr>
      <w:tblGrid>
        <w:gridCol w:w="4997"/>
        <w:gridCol w:w="4997"/>
      </w:tblGrid>
      <w:tr>
        <w:tc>
          <w:tcPr>
            <w:tcW w:type="dxa" w:w="4997"/>
            <w:shd w:fill="D9EAF7"/>
          </w:tcPr>
          <w:p>
            <w:r>
              <w:rPr>
                <w:b/>
                <w:sz w:val="17"/>
              </w:rPr>
              <w:t>Demo limitation</w:t>
            </w:r>
          </w:p>
        </w:tc>
        <w:tc>
          <w:tcPr>
            <w:tcW w:type="dxa" w:w="4997"/>
            <w:shd w:fill="D9EAF7"/>
          </w:tcPr>
          <w:p>
            <w:r>
              <w:rPr>
                <w:b/>
                <w:sz w:val="17"/>
              </w:rPr>
              <w:t>Production consideration</w:t>
            </w:r>
          </w:p>
        </w:tc>
      </w:tr>
      <w:tr>
        <w:tc>
          <w:tcPr>
            <w:tcW w:type="dxa" w:w="4997"/>
            <w:vAlign w:val="center"/>
          </w:tcPr>
          <w:p>
            <w:pPr>
              <w:spacing w:after="20"/>
            </w:pPr>
            <w:r>
              <w:rPr>
                <w:sz w:val="16"/>
              </w:rPr>
              <w:t>Seeded fake tool data</w:t>
            </w:r>
          </w:p>
        </w:tc>
        <w:tc>
          <w:tcPr>
            <w:tcW w:type="dxa" w:w="4997"/>
            <w:vAlign w:val="center"/>
          </w:tcPr>
          <w:p>
            <w:pPr>
              <w:spacing w:after="20"/>
            </w:pPr>
            <w:r>
              <w:rPr>
                <w:sz w:val="16"/>
              </w:rPr>
              <w:t>Use authenticated adapters to source-of-truth APIs/databases.</w:t>
            </w:r>
          </w:p>
        </w:tc>
      </w:tr>
      <w:tr>
        <w:tc>
          <w:tcPr>
            <w:tcW w:type="dxa" w:w="4997"/>
            <w:vAlign w:val="center"/>
          </w:tcPr>
          <w:p>
            <w:pPr>
              <w:spacing w:after="20"/>
            </w:pPr>
            <w:r>
              <w:rPr>
                <w:sz w:val="16"/>
              </w:rPr>
              <w:t>In-memory vector store</w:t>
            </w:r>
          </w:p>
        </w:tc>
        <w:tc>
          <w:tcPr>
            <w:tcW w:type="dxa" w:w="4997"/>
            <w:vAlign w:val="center"/>
          </w:tcPr>
          <w:p>
            <w:pPr>
              <w:spacing w:after="20"/>
            </w:pPr>
            <w:r>
              <w:rPr>
                <w:sz w:val="16"/>
              </w:rPr>
              <w:t>Persistent store, document ACLs, versioning, ingestion monitoring.</w:t>
            </w:r>
          </w:p>
        </w:tc>
      </w:tr>
      <w:tr>
        <w:tc>
          <w:tcPr>
            <w:tcW w:type="dxa" w:w="4997"/>
            <w:vAlign w:val="center"/>
          </w:tcPr>
          <w:p>
            <w:pPr>
              <w:spacing w:after="20"/>
            </w:pPr>
            <w:r>
              <w:rPr>
                <w:sz w:val="16"/>
              </w:rPr>
              <w:t>In-memory chat memory</w:t>
            </w:r>
          </w:p>
        </w:tc>
        <w:tc>
          <w:tcPr>
            <w:tcW w:type="dxa" w:w="4997"/>
            <w:vAlign w:val="center"/>
          </w:tcPr>
          <w:p>
            <w:pPr>
              <w:spacing w:after="20"/>
            </w:pPr>
            <w:r>
              <w:rPr>
                <w:sz w:val="16"/>
              </w:rPr>
              <w:t>Persistence, retention, deletion, tenant isolation.</w:t>
            </w:r>
          </w:p>
        </w:tc>
      </w:tr>
      <w:tr>
        <w:tc>
          <w:tcPr>
            <w:tcW w:type="dxa" w:w="4997"/>
            <w:vAlign w:val="center"/>
          </w:tcPr>
          <w:p>
            <w:pPr>
              <w:spacing w:after="20"/>
            </w:pPr>
            <w:r>
              <w:rPr>
                <w:sz w:val="16"/>
              </w:rPr>
              <w:t>In-memory approval/audit</w:t>
            </w:r>
          </w:p>
        </w:tc>
        <w:tc>
          <w:tcPr>
            <w:tcW w:type="dxa" w:w="4997"/>
            <w:vAlign w:val="center"/>
          </w:tcPr>
          <w:p>
            <w:pPr>
              <w:spacing w:after="20"/>
            </w:pPr>
            <w:r>
              <w:rPr>
                <w:sz w:val="16"/>
              </w:rPr>
              <w:t>Durable transactional storage and tamper-evident audit.</w:t>
            </w:r>
          </w:p>
        </w:tc>
      </w:tr>
      <w:tr>
        <w:tc>
          <w:tcPr>
            <w:tcW w:type="dxa" w:w="4997"/>
            <w:vAlign w:val="center"/>
          </w:tcPr>
          <w:p>
            <w:pPr>
              <w:spacing w:after="20"/>
            </w:pPr>
            <w:r>
              <w:rPr>
                <w:sz w:val="16"/>
              </w:rPr>
              <w:t>HTTP Basic demo credentials</w:t>
            </w:r>
          </w:p>
        </w:tc>
        <w:tc>
          <w:tcPr>
            <w:tcW w:type="dxa" w:w="4997"/>
            <w:vAlign w:val="center"/>
          </w:tcPr>
          <w:p>
            <w:pPr>
              <w:spacing w:after="20"/>
            </w:pPr>
            <w:r>
              <w:rPr>
                <w:sz w:val="16"/>
              </w:rPr>
              <w:t>OIDC/OAuth2, TLS, secrets management, least privilege.</w:t>
            </w:r>
          </w:p>
        </w:tc>
      </w:tr>
      <w:tr>
        <w:tc>
          <w:tcPr>
            <w:tcW w:type="dxa" w:w="4997"/>
            <w:vAlign w:val="center"/>
          </w:tcPr>
          <w:p>
            <w:pPr>
              <w:spacing w:after="20"/>
            </w:pPr>
            <w:r>
              <w:rPr>
                <w:sz w:val="16"/>
              </w:rPr>
              <w:t>Simple prompt string checks</w:t>
            </w:r>
          </w:p>
        </w:tc>
        <w:tc>
          <w:tcPr>
            <w:tcW w:type="dxa" w:w="4997"/>
            <w:vAlign w:val="center"/>
          </w:tcPr>
          <w:p>
            <w:pPr>
              <w:spacing w:after="20"/>
            </w:pPr>
            <w:r>
              <w:rPr>
                <w:sz w:val="16"/>
              </w:rPr>
              <w:t>Layered tool policies, authorization, schema validation, retrieval filters, red-team tests.</w:t>
            </w:r>
          </w:p>
        </w:tc>
      </w:tr>
      <w:tr>
        <w:tc>
          <w:tcPr>
            <w:tcW w:type="dxa" w:w="4997"/>
            <w:vAlign w:val="center"/>
          </w:tcPr>
          <w:p>
            <w:pPr>
              <w:spacing w:after="20"/>
            </w:pPr>
            <w:r>
              <w:rPr>
                <w:sz w:val="16"/>
              </w:rPr>
              <w:t>Educational resilience code</w:t>
            </w:r>
          </w:p>
        </w:tc>
        <w:tc>
          <w:tcPr>
            <w:tcW w:type="dxa" w:w="4997"/>
            <w:vAlign w:val="center"/>
          </w:tcPr>
          <w:p>
            <w:pPr>
              <w:spacing w:after="20"/>
            </w:pPr>
            <w:r>
              <w:rPr>
                <w:sz w:val="16"/>
              </w:rPr>
              <w:t>Mature resilience library, bounded concurrency, HTTP deadlines, concurrency/half-open tests.</w:t>
            </w:r>
          </w:p>
        </w:tc>
      </w:tr>
      <w:tr>
        <w:tc>
          <w:tcPr>
            <w:tcW w:type="dxa" w:w="4997"/>
            <w:vAlign w:val="center"/>
          </w:tcPr>
          <w:p>
            <w:pPr>
              <w:spacing w:after="20"/>
            </w:pPr>
            <w:r>
              <w:rPr>
                <w:sz w:val="16"/>
              </w:rPr>
              <w:t>Keyword routing</w:t>
            </w:r>
          </w:p>
        </w:tc>
        <w:tc>
          <w:tcPr>
            <w:tcW w:type="dxa" w:w="4997"/>
            <w:vAlign w:val="center"/>
          </w:tcPr>
          <w:p>
            <w:pPr>
              <w:spacing w:after="20"/>
            </w:pPr>
            <w:r>
              <w:rPr>
                <w:sz w:val="16"/>
              </w:rPr>
              <w:t>Validated classifier/rules and fallback path.</w:t>
            </w:r>
          </w:p>
        </w:tc>
      </w:tr>
      <w:tr>
        <w:tc>
          <w:tcPr>
            <w:tcW w:type="dxa" w:w="4997"/>
            <w:vAlign w:val="center"/>
          </w:tcPr>
          <w:p>
            <w:pPr>
              <w:spacing w:after="20"/>
            </w:pPr>
            <w:r>
              <w:rPr>
                <w:sz w:val="16"/>
              </w:rPr>
              <w:t>No side-effect executor</w:t>
            </w:r>
          </w:p>
        </w:tc>
        <w:tc>
          <w:tcPr>
            <w:tcW w:type="dxa" w:w="4997"/>
            <w:vAlign w:val="center"/>
          </w:tcPr>
          <w:p>
            <w:pPr>
              <w:spacing w:after="20"/>
            </w:pPr>
            <w:r>
              <w:rPr>
                <w:sz w:val="16"/>
              </w:rPr>
              <w:t>Separately authorized action executor after policy checks and approval.</w:t>
            </w:r>
          </w:p>
        </w:tc>
      </w:tr>
      <w:tr>
        <w:tc>
          <w:tcPr>
            <w:tcW w:type="dxa" w:w="4997"/>
            <w:vAlign w:val="center"/>
          </w:tcPr>
          <w:p>
            <w:pPr>
              <w:spacing w:after="20"/>
            </w:pPr>
            <w:r>
              <w:rPr>
                <w:sz w:val="16"/>
              </w:rPr>
              <w:t>Potential model errors</w:t>
            </w:r>
          </w:p>
        </w:tc>
        <w:tc>
          <w:tcPr>
            <w:tcW w:type="dxa" w:w="4997"/>
            <w:vAlign w:val="center"/>
          </w:tcPr>
          <w:p>
            <w:pPr>
              <w:spacing w:after="20"/>
            </w:pPr>
            <w:r>
              <w:rPr>
                <w:sz w:val="16"/>
              </w:rPr>
              <w:t>Evaluation sets, verification, citations, human escalation.</w:t>
            </w:r>
          </w:p>
        </w:tc>
      </w:tr>
      <w:tr>
        <w:tc>
          <w:tcPr>
            <w:tcW w:type="dxa" w:w="4997"/>
            <w:vAlign w:val="center"/>
          </w:tcPr>
          <w:p>
            <w:pPr>
              <w:spacing w:after="20"/>
            </w:pPr>
            <w:r>
              <w:rPr>
                <w:sz w:val="16"/>
              </w:rPr>
              <w:t>MCP not connected</w:t>
            </w:r>
          </w:p>
        </w:tc>
        <w:tc>
          <w:tcPr>
            <w:tcW w:type="dxa" w:w="4997"/>
            <w:vAlign w:val="center"/>
          </w:tcPr>
          <w:p>
            <w:pPr>
              <w:spacing w:after="20"/>
            </w:pPr>
            <w:r>
              <w:rPr>
                <w:sz w:val="16"/>
              </w:rPr>
              <w:t>Add only with an actual MCP server, authentication, and per-tool policy.</w:t>
            </w:r>
          </w:p>
        </w:tc>
      </w:tr>
      <w:tr>
        <w:tc>
          <w:tcPr>
            <w:tcW w:type="dxa" w:w="4997"/>
            <w:vAlign w:val="center"/>
          </w:tcPr>
          <w:p>
            <w:pPr>
              <w:spacing w:after="20"/>
            </w:pPr>
            <w:r>
              <w:rPr>
                <w:sz w:val="16"/>
              </w:rPr>
              <w:t>Not locally compiled here</w:t>
            </w:r>
          </w:p>
        </w:tc>
        <w:tc>
          <w:tcPr>
            <w:tcW w:type="dxa" w:w="4997"/>
            <w:vAlign w:val="center"/>
          </w:tcPr>
          <w:p>
            <w:pPr>
              <w:spacing w:after="20"/>
            </w:pPr>
            <w:r>
              <w:rPr>
                <w:sz w:val="16"/>
              </w:rPr>
              <w:t>Run `mvn clean test` and exercise every endpoint with the selected versions.</w:t>
            </w:r>
          </w:p>
        </w:tc>
      </w:tr>
    </w:tbl>
    <w:p/>
    <w:p>
      <w:pPr>
        <w:pStyle w:val="Heading2"/>
      </w:pPr>
      <w:r>
        <w:t>Production checklist</w:t>
      </w:r>
    </w:p>
    <w:p>
      <w:pPr>
        <w:pStyle w:val="ListBullet"/>
        <w:spacing w:after="40"/>
      </w:pPr>
      <w:r>
        <w:t>☐ Authenticate and authorize every endpoint and tool; validate ownership of target records.</w:t>
      </w:r>
    </w:p>
    <w:p>
      <w:pPr>
        <w:pStyle w:val="ListBullet"/>
        <w:spacing w:after="40"/>
      </w:pPr>
      <w:r>
        <w:t>☐ Supply a non-null owner-scoped conversation ID on every ChatClient call using memory.</w:t>
      </w:r>
    </w:p>
    <w:p>
      <w:pPr>
        <w:pStyle w:val="ListBullet"/>
        <w:spacing w:after="40"/>
      </w:pPr>
      <w:r>
        <w:t>☐ Retry only safe operations; use idempotency for writes.</w:t>
      </w:r>
    </w:p>
    <w:p>
      <w:pPr>
        <w:pStyle w:val="ListBullet"/>
        <w:spacing w:after="40"/>
      </w:pPr>
      <w:r>
        <w:t>☐ Validate structured output and read business facts from source systems.</w:t>
      </w:r>
    </w:p>
    <w:p>
      <w:pPr>
        <w:pStyle w:val="ListBullet"/>
        <w:spacing w:after="40"/>
      </w:pPr>
      <w:r>
        <w:t>☐ Filter RAG documents by tenant/permission and track versions.</w:t>
      </w:r>
    </w:p>
    <w:p>
      <w:pPr>
        <w:pStyle w:val="ListBullet"/>
        <w:spacing w:after="40"/>
      </w:pPr>
      <w:r>
        <w:t>☐ Persist approvals and audit events; prevent duplicate decisions.</w:t>
      </w:r>
    </w:p>
    <w:p>
      <w:pPr>
        <w:pStyle w:val="ListBullet"/>
        <w:spacing w:after="40"/>
      </w:pPr>
      <w:r>
        <w:t>☐ Redact sensitive data from logs and define retention.</w:t>
      </w:r>
    </w:p>
    <w:p>
      <w:pPr>
        <w:pStyle w:val="ListBullet"/>
        <w:spacing w:after="40"/>
      </w:pPr>
      <w:r>
        <w:t>☐ Monitor latency, errors, model availability, token usage, and retrieval quality.</w:t>
      </w:r>
    </w:p>
    <w:p>
      <w:pPr>
        <w:pStyle w:val="ListBullet"/>
        <w:spacing w:after="40"/>
      </w:pPr>
      <w:r>
        <w:t>☐ Test authorization failures, timeouts, malformed model output, tool errors, and duplicate requests.</w:t>
      </w:r>
    </w:p>
    <w:p>
      <w:pPr>
        <w:pStyle w:val="Heading1"/>
      </w:pPr>
      <w:r>
        <w:t>17. Troubleshooting: conversationId cannot be null</w:t>
      </w:r>
    </w:p>
    <w:p>
      <w:r>
        <w:t>The observed stack trace included:</w:t>
      </w:r>
    </w:p>
    <w:p>
      <w:pPr>
        <w:spacing w:before="60" w:after="140"/>
        <w:ind w:left="216" w:right="144"/>
        <w:shd w:fill="F2F4F7"/>
      </w:pPr>
      <w:r>
        <w:rPr>
          <w:rFonts w:ascii="Consolas" w:hAnsi="Consolas"/>
          <w:color w:val="282D34"/>
          <w:sz w:val="15"/>
        </w:rPr>
        <w:t>java.lang.IllegalArgumentException: conversationId cannot be null</w:t>
      </w:r>
      <w:r>
        <w:br/>
      </w:r>
      <w:r>
        <w:rPr>
          <w:rFonts w:ascii="Consolas" w:hAnsi="Consolas"/>
          <w:color w:val="282D34"/>
          <w:sz w:val="15"/>
        </w:rPr>
        <w:t xml:space="preserve"> at BaseChatMemoryAdvisor.getConversationId(...)</w:t>
      </w:r>
      <w:r>
        <w:br/>
      </w:r>
      <w:r>
        <w:rPr>
          <w:rFonts w:ascii="Consolas" w:hAnsi="Consolas"/>
          <w:color w:val="282D34"/>
          <w:sz w:val="15"/>
        </w:rPr>
        <w:t xml:space="preserve"> at MessageChatMemoryAdvisor.before(...)</w:t>
      </w:r>
      <w:r>
        <w:br/>
      </w:r>
      <w:r>
        <w:rPr>
          <w:rFonts w:ascii="Consolas" w:hAnsi="Consolas"/>
          <w:color w:val="282D34"/>
          <w:sz w:val="15"/>
        </w:rPr>
        <w:t xml:space="preserve"> at ...ChatClient...</w:t>
      </w:r>
    </w:p>
    <w:p>
      <w:r>
        <w:t>This means the ChatClient call reached the memory advisor but did not provide its required conversation ID. It is not evidence by itself that Ollama is offline.</w:t>
      </w:r>
    </w:p>
    <w:p>
      <w:pPr>
        <w:pStyle w:val="Heading2"/>
      </w:pPr>
      <w:r>
        <w:t>Why it happened</w:t>
      </w:r>
    </w:p>
    <w:p>
      <w:r>
        <w:t>AiConfiguration adds MessageChatMemoryAdvisor as a default advisor. In the project snapshot, SupportAiService.answer and toolChat pass an ID, but analyzeTicket's ChatClient call does not. AgentPatternsService also contains calls without the advisor parameter in its plan, synthesis, reflection, and specialist-routing methods. That explains why fixing one service method did not fix another endpoint.</w:t>
      </w:r>
    </w:p>
    <w:p>
      <w:pPr>
        <w:pStyle w:val="Heading2"/>
      </w:pPr>
      <w:r>
        <w:t>Fix pattern</w:t>
      </w:r>
    </w:p>
    <w:p>
      <w:pPr>
        <w:spacing w:before="60" w:after="140"/>
        <w:ind w:left="216" w:right="144"/>
        <w:shd w:fill="F2F4F7"/>
      </w:pPr>
      <w:r>
        <w:rPr>
          <w:rFonts w:ascii="Consolas" w:hAnsi="Consolas"/>
          <w:color w:val="282D34"/>
          <w:sz w:val="15"/>
        </w:rPr>
        <w:t>String conversationId = "ticket-" + ticketId; // non-null and non-blank</w:t>
      </w:r>
      <w:r>
        <w:br/>
      </w:r>
      <w:r>
        <w:rPr>
          <w:rFonts w:ascii="Consolas" w:hAnsi="Consolas"/>
          <w:color w:val="282D34"/>
          <w:sz w:val="15"/>
        </w:rPr>
      </w:r>
      <w:r>
        <w:br/>
      </w:r>
      <w:r>
        <w:rPr>
          <w:rFonts w:ascii="Consolas" w:hAnsi="Consolas"/>
          <w:color w:val="282D34"/>
          <w:sz w:val="15"/>
        </w:rPr>
        <w:t>TicketAnalysis result = chatClient.prompt()</w:t>
      </w:r>
      <w:r>
        <w:br/>
      </w:r>
      <w:r>
        <w:rPr>
          <w:rFonts w:ascii="Consolas" w:hAnsi="Consolas"/>
          <w:color w:val="282D34"/>
          <w:sz w:val="15"/>
        </w:rPr>
        <w:t xml:space="preserve">    .system("Classify the ticket...")</w:t>
      </w:r>
      <w:r>
        <w:br/>
      </w:r>
      <w:r>
        <w:rPr>
          <w:rFonts w:ascii="Consolas" w:hAnsi="Consolas"/>
          <w:color w:val="282D34"/>
          <w:sz w:val="15"/>
        </w:rPr>
        <w:t xml:space="preserve">    .user("...")</w:t>
      </w:r>
      <w:r>
        <w:br/>
      </w:r>
      <w:r>
        <w:rPr>
          <w:rFonts w:ascii="Consolas" w:hAnsi="Consolas"/>
          <w:color w:val="282D34"/>
          <w:sz w:val="15"/>
        </w:rPr>
        <w:t xml:space="preserve">    .advisors(a -&gt; a.param(</w:t>
      </w:r>
      <w:r>
        <w:br/>
      </w:r>
      <w:r>
        <w:rPr>
          <w:rFonts w:ascii="Consolas" w:hAnsi="Consolas"/>
          <w:color w:val="282D34"/>
          <w:sz w:val="15"/>
        </w:rPr>
        <w:t xml:space="preserve">        ChatMemory.CONVERSATION_ID, conversationId))</w:t>
      </w:r>
      <w:r>
        <w:br/>
      </w:r>
      <w:r>
        <w:rPr>
          <w:rFonts w:ascii="Consolas" w:hAnsi="Consolas"/>
          <w:color w:val="282D34"/>
          <w:sz w:val="15"/>
        </w:rPr>
        <w:t xml:space="preserve">    .call()</w:t>
      </w:r>
      <w:r>
        <w:br/>
      </w:r>
      <w:r>
        <w:rPr>
          <w:rFonts w:ascii="Consolas" w:hAnsi="Consolas"/>
          <w:color w:val="282D34"/>
          <w:sz w:val="15"/>
        </w:rPr>
        <w:t xml:space="preserve">    .entity(TicketAnalysis.class);</w:t>
      </w:r>
    </w:p>
    <w:p>
      <w:pPr>
        <w:pStyle w:val="Heading2"/>
      </w:pPr>
      <w:r>
        <w:t>Checklist</w:t>
      </w:r>
    </w:p>
    <w:p>
      <w:pPr>
        <w:pStyle w:val="ListNumber"/>
        <w:spacing w:after="40"/>
      </w:pPr>
      <w:r>
        <w:t>Search all service classes for `chatClient.prompt()`.</w:t>
      </w:r>
    </w:p>
    <w:p>
      <w:pPr>
        <w:pStyle w:val="ListNumber"/>
        <w:spacing w:after="40"/>
      </w:pPr>
      <w:r>
        <w:t>For each call, check whether the default memory advisor applies.</w:t>
      </w:r>
    </w:p>
    <w:p>
      <w:pPr>
        <w:pStyle w:val="ListNumber"/>
        <w:spacing w:after="40"/>
      </w:pPr>
      <w:r>
        <w:t>If it applies, pass ChatMemory.CONVERSATION_ID explicitly.</w:t>
      </w:r>
    </w:p>
    <w:p>
      <w:pPr>
        <w:pStyle w:val="ListNumber"/>
        <w:spacing w:after="40"/>
      </w:pPr>
      <w:r>
        <w:t>Ensure the ID is non-null/non-blank and scope it to the authenticated owner.</w:t>
      </w:r>
    </w:p>
    <w:p>
      <w:pPr>
        <w:pStyle w:val="ListNumber"/>
        <w:spacing w:after="40"/>
      </w:pPr>
      <w:r>
        <w:t>For reflection, decide whether the two calls should share one per-invocation ID.</w:t>
      </w:r>
    </w:p>
    <w:p>
      <w:pPr>
        <w:pStyle w:val="ListNumber"/>
        <w:spacing w:after="40"/>
      </w:pPr>
      <w:r>
        <w:t>Restart the application and rerun the exact endpoint that failed.</w:t>
      </w:r>
    </w:p>
    <w:tbl>
      <w:tblPr>
        <w:tblStyle w:val="TableGrid"/>
        <w:tblW w:type="auto" w:w="0"/>
        <w:tblLook w:firstColumn="1" w:firstRow="1" w:lastColumn="0" w:lastRow="0" w:noHBand="0" w:noVBand="1" w:val="04A0"/>
      </w:tblPr>
      <w:tblGrid>
        <w:gridCol w:w="9994"/>
      </w:tblGrid>
      <w:tr>
        <w:tc>
          <w:tcPr>
            <w:tcW w:type="dxa" w:w="9994"/>
            <w:shd w:fill="E2F0D9"/>
          </w:tcPr>
          <w:p>
            <w:pPr>
              <w:spacing w:after="60"/>
            </w:pPr>
            <w:r/>
            <w:r>
              <w:rPr>
                <w:b/>
                <w:sz w:val="18"/>
              </w:rPr>
              <w:t xml:space="preserve">Diagnostic rule  </w:t>
            </w:r>
            <w:r>
              <w:rPr>
                <w:sz w:val="18"/>
              </w:rPr>
              <w:t>If the top-level message says “AI request failed after retries”, inspect the deepest `Caused by` entry. The wrapper explains that retries failed; the root cause explains why.</w:t>
            </w:r>
          </w:p>
        </w:tc>
      </w:tr>
    </w:tbl>
    <w:p/>
    <w:p>
      <w:pPr>
        <w:pStyle w:val="Heading1"/>
      </w:pPr>
      <w:r>
        <w:t>18. Glossary and final mental model</w:t>
      </w:r>
    </w:p>
    <w:tbl>
      <w:tblPr>
        <w:tblStyle w:val="LightShading-Accent1"/>
        <w:tblW w:type="auto" w:w="0"/>
        <w:jc w:val="center"/>
        <w:tblLook w:firstColumn="1" w:firstRow="1" w:lastColumn="0" w:lastRow="0" w:noHBand="0" w:noVBand="1" w:val="04A0"/>
      </w:tblPr>
      <w:tblGrid>
        <w:gridCol w:w="4997"/>
        <w:gridCol w:w="4997"/>
      </w:tblGrid>
      <w:tr>
        <w:tc>
          <w:tcPr>
            <w:tcW w:type="dxa" w:w="4997"/>
            <w:shd w:fill="D9EAF7"/>
          </w:tcPr>
          <w:p>
            <w:r>
              <w:rPr>
                <w:b/>
                <w:sz w:val="17"/>
              </w:rPr>
              <w:t>Term</w:t>
            </w:r>
          </w:p>
        </w:tc>
        <w:tc>
          <w:tcPr>
            <w:tcW w:type="dxa" w:w="4997"/>
            <w:shd w:fill="D9EAF7"/>
          </w:tcPr>
          <w:p>
            <w:r>
              <w:rPr>
                <w:b/>
                <w:sz w:val="17"/>
              </w:rPr>
              <w:t>Plain-English meaning</w:t>
            </w:r>
          </w:p>
        </w:tc>
      </w:tr>
      <w:tr>
        <w:tc>
          <w:tcPr>
            <w:tcW w:type="dxa" w:w="4997"/>
            <w:vAlign w:val="center"/>
          </w:tcPr>
          <w:p>
            <w:pPr>
              <w:spacing w:after="20"/>
            </w:pPr>
            <w:r>
              <w:rPr>
                <w:sz w:val="16"/>
              </w:rPr>
              <w:t>LLM</w:t>
            </w:r>
          </w:p>
        </w:tc>
        <w:tc>
          <w:tcPr>
            <w:tcW w:type="dxa" w:w="4997"/>
            <w:vAlign w:val="center"/>
          </w:tcPr>
          <w:p>
            <w:pPr>
              <w:spacing w:after="20"/>
            </w:pPr>
            <w:r>
              <w:rPr>
                <w:sz w:val="16"/>
              </w:rPr>
              <w:t>Model that generates text or structured responses.</w:t>
            </w:r>
          </w:p>
        </w:tc>
      </w:tr>
      <w:tr>
        <w:tc>
          <w:tcPr>
            <w:tcW w:type="dxa" w:w="4997"/>
            <w:vAlign w:val="center"/>
          </w:tcPr>
          <w:p>
            <w:pPr>
              <w:spacing w:after="20"/>
            </w:pPr>
            <w:r>
              <w:rPr>
                <w:sz w:val="16"/>
              </w:rPr>
              <w:t>Ollama</w:t>
            </w:r>
          </w:p>
        </w:tc>
        <w:tc>
          <w:tcPr>
            <w:tcW w:type="dxa" w:w="4997"/>
            <w:vAlign w:val="center"/>
          </w:tcPr>
          <w:p>
            <w:pPr>
              <w:spacing w:after="20"/>
            </w:pPr>
            <w:r>
              <w:rPr>
                <w:sz w:val="16"/>
              </w:rPr>
              <w:t>Local runtime serving the selected model.</w:t>
            </w:r>
          </w:p>
        </w:tc>
      </w:tr>
      <w:tr>
        <w:tc>
          <w:tcPr>
            <w:tcW w:type="dxa" w:w="4997"/>
            <w:vAlign w:val="center"/>
          </w:tcPr>
          <w:p>
            <w:pPr>
              <w:spacing w:after="20"/>
            </w:pPr>
            <w:r>
              <w:rPr>
                <w:sz w:val="16"/>
              </w:rPr>
              <w:t>ChatClient</w:t>
            </w:r>
          </w:p>
        </w:tc>
        <w:tc>
          <w:tcPr>
            <w:tcW w:type="dxa" w:w="4997"/>
            <w:vAlign w:val="center"/>
          </w:tcPr>
          <w:p>
            <w:pPr>
              <w:spacing w:after="20"/>
            </w:pPr>
            <w:r>
              <w:rPr>
                <w:sz w:val="16"/>
              </w:rPr>
              <w:t>Spring AI API for constructing/executing chat requests.</w:t>
            </w:r>
          </w:p>
        </w:tc>
      </w:tr>
      <w:tr>
        <w:tc>
          <w:tcPr>
            <w:tcW w:type="dxa" w:w="4997"/>
            <w:vAlign w:val="center"/>
          </w:tcPr>
          <w:p>
            <w:pPr>
              <w:spacing w:after="20"/>
            </w:pPr>
            <w:r>
              <w:rPr>
                <w:sz w:val="16"/>
              </w:rPr>
              <w:t>Prompt</w:t>
            </w:r>
          </w:p>
        </w:tc>
        <w:tc>
          <w:tcPr>
            <w:tcW w:type="dxa" w:w="4997"/>
            <w:vAlign w:val="center"/>
          </w:tcPr>
          <w:p>
            <w:pPr>
              <w:spacing w:after="20"/>
            </w:pPr>
            <w:r>
              <w:rPr>
                <w:sz w:val="16"/>
              </w:rPr>
              <w:t>Instructions and input data sent to the model.</w:t>
            </w:r>
          </w:p>
        </w:tc>
      </w:tr>
      <w:tr>
        <w:tc>
          <w:tcPr>
            <w:tcW w:type="dxa" w:w="4997"/>
            <w:vAlign w:val="center"/>
          </w:tcPr>
          <w:p>
            <w:pPr>
              <w:spacing w:after="20"/>
            </w:pPr>
            <w:r>
              <w:rPr>
                <w:sz w:val="16"/>
              </w:rPr>
              <w:t>Tool calling</w:t>
            </w:r>
          </w:p>
        </w:tc>
        <w:tc>
          <w:tcPr>
            <w:tcW w:type="dxa" w:w="4997"/>
            <w:vAlign w:val="center"/>
          </w:tcPr>
          <w:p>
            <w:pPr>
              <w:spacing w:after="20"/>
            </w:pPr>
            <w:r>
              <w:rPr>
                <w:sz w:val="16"/>
              </w:rPr>
              <w:t>Model asks the application to execute an available tool.</w:t>
            </w:r>
          </w:p>
        </w:tc>
      </w:tr>
      <w:tr>
        <w:tc>
          <w:tcPr>
            <w:tcW w:type="dxa" w:w="4997"/>
            <w:vAlign w:val="center"/>
          </w:tcPr>
          <w:p>
            <w:pPr>
              <w:spacing w:after="20"/>
            </w:pPr>
            <w:r>
              <w:rPr>
                <w:sz w:val="16"/>
              </w:rPr>
              <w:t>Tool</w:t>
            </w:r>
          </w:p>
        </w:tc>
        <w:tc>
          <w:tcPr>
            <w:tcW w:type="dxa" w:w="4997"/>
            <w:vAlign w:val="center"/>
          </w:tcPr>
          <w:p>
            <w:pPr>
              <w:spacing w:after="20"/>
            </w:pPr>
            <w:r>
              <w:rPr>
                <w:sz w:val="16"/>
              </w:rPr>
              <w:t>Java method exposed through Spring AI, ideally backed by a trusted service.</w:t>
            </w:r>
          </w:p>
        </w:tc>
      </w:tr>
      <w:tr>
        <w:tc>
          <w:tcPr>
            <w:tcW w:type="dxa" w:w="4997"/>
            <w:vAlign w:val="center"/>
          </w:tcPr>
          <w:p>
            <w:pPr>
              <w:spacing w:after="20"/>
            </w:pPr>
            <w:r>
              <w:rPr>
                <w:sz w:val="16"/>
              </w:rPr>
              <w:t>RAG</w:t>
            </w:r>
          </w:p>
        </w:tc>
        <w:tc>
          <w:tcPr>
            <w:tcW w:type="dxa" w:w="4997"/>
            <w:vAlign w:val="center"/>
          </w:tcPr>
          <w:p>
            <w:pPr>
              <w:spacing w:after="20"/>
            </w:pPr>
            <w:r>
              <w:rPr>
                <w:sz w:val="16"/>
              </w:rPr>
              <w:t>Retrieve relevant documents and supply them as context.</w:t>
            </w:r>
          </w:p>
        </w:tc>
      </w:tr>
      <w:tr>
        <w:tc>
          <w:tcPr>
            <w:tcW w:type="dxa" w:w="4997"/>
            <w:vAlign w:val="center"/>
          </w:tcPr>
          <w:p>
            <w:pPr>
              <w:spacing w:after="20"/>
            </w:pPr>
            <w:r>
              <w:rPr>
                <w:sz w:val="16"/>
              </w:rPr>
              <w:t>Embedding</w:t>
            </w:r>
          </w:p>
        </w:tc>
        <w:tc>
          <w:tcPr>
            <w:tcW w:type="dxa" w:w="4997"/>
            <w:vAlign w:val="center"/>
          </w:tcPr>
          <w:p>
            <w:pPr>
              <w:spacing w:after="20"/>
            </w:pPr>
            <w:r>
              <w:rPr>
                <w:sz w:val="16"/>
              </w:rPr>
              <w:t>Vector representation of semantic meaning.</w:t>
            </w:r>
          </w:p>
        </w:tc>
      </w:tr>
      <w:tr>
        <w:tc>
          <w:tcPr>
            <w:tcW w:type="dxa" w:w="4997"/>
            <w:vAlign w:val="center"/>
          </w:tcPr>
          <w:p>
            <w:pPr>
              <w:spacing w:after="20"/>
            </w:pPr>
            <w:r>
              <w:rPr>
                <w:sz w:val="16"/>
              </w:rPr>
              <w:t>Vector store</w:t>
            </w:r>
          </w:p>
        </w:tc>
        <w:tc>
          <w:tcPr>
            <w:tcW w:type="dxa" w:w="4997"/>
            <w:vAlign w:val="center"/>
          </w:tcPr>
          <w:p>
            <w:pPr>
              <w:spacing w:after="20"/>
            </w:pPr>
            <w:r>
              <w:rPr>
                <w:sz w:val="16"/>
              </w:rPr>
              <w:t>Stores document vectors and supports similarity search.</w:t>
            </w:r>
          </w:p>
        </w:tc>
      </w:tr>
      <w:tr>
        <w:tc>
          <w:tcPr>
            <w:tcW w:type="dxa" w:w="4997"/>
            <w:vAlign w:val="center"/>
          </w:tcPr>
          <w:p>
            <w:pPr>
              <w:spacing w:after="20"/>
            </w:pPr>
            <w:r>
              <w:rPr>
                <w:sz w:val="16"/>
              </w:rPr>
              <w:t>Chat memory</w:t>
            </w:r>
          </w:p>
        </w:tc>
        <w:tc>
          <w:tcPr>
            <w:tcW w:type="dxa" w:w="4997"/>
            <w:vAlign w:val="center"/>
          </w:tcPr>
          <w:p>
            <w:pPr>
              <w:spacing w:after="20"/>
            </w:pPr>
            <w:r>
              <w:rPr>
                <w:sz w:val="16"/>
              </w:rPr>
              <w:t>Application-managed conversation history supplied to later requests.</w:t>
            </w:r>
          </w:p>
        </w:tc>
      </w:tr>
      <w:tr>
        <w:tc>
          <w:tcPr>
            <w:tcW w:type="dxa" w:w="4997"/>
            <w:vAlign w:val="center"/>
          </w:tcPr>
          <w:p>
            <w:pPr>
              <w:spacing w:after="20"/>
            </w:pPr>
            <w:r>
              <w:rPr>
                <w:sz w:val="16"/>
              </w:rPr>
              <w:t>Advisor</w:t>
            </w:r>
          </w:p>
        </w:tc>
        <w:tc>
          <w:tcPr>
            <w:tcW w:type="dxa" w:w="4997"/>
            <w:vAlign w:val="center"/>
          </w:tcPr>
          <w:p>
            <w:pPr>
              <w:spacing w:after="20"/>
            </w:pPr>
            <w:r>
              <w:rPr>
                <w:sz w:val="16"/>
              </w:rPr>
              <w:t>Reusable processing around a ChatClient request/response.</w:t>
            </w:r>
          </w:p>
        </w:tc>
      </w:tr>
      <w:tr>
        <w:tc>
          <w:tcPr>
            <w:tcW w:type="dxa" w:w="4997"/>
            <w:vAlign w:val="center"/>
          </w:tcPr>
          <w:p>
            <w:pPr>
              <w:spacing w:after="20"/>
            </w:pPr>
            <w:r>
              <w:rPr>
                <w:sz w:val="16"/>
              </w:rPr>
              <w:t>Conversation ID</w:t>
            </w:r>
          </w:p>
        </w:tc>
        <w:tc>
          <w:tcPr>
            <w:tcW w:type="dxa" w:w="4997"/>
            <w:vAlign w:val="center"/>
          </w:tcPr>
          <w:p>
            <w:pPr>
              <w:spacing w:after="20"/>
            </w:pPr>
            <w:r>
              <w:rPr>
                <w:sz w:val="16"/>
              </w:rPr>
              <w:t>Key grouping messages into one memory thread.</w:t>
            </w:r>
          </w:p>
        </w:tc>
      </w:tr>
      <w:tr>
        <w:tc>
          <w:tcPr>
            <w:tcW w:type="dxa" w:w="4997"/>
            <w:vAlign w:val="center"/>
          </w:tcPr>
          <w:p>
            <w:pPr>
              <w:spacing w:after="20"/>
            </w:pPr>
            <w:r>
              <w:rPr>
                <w:sz w:val="16"/>
              </w:rPr>
              <w:t>Structured output</w:t>
            </w:r>
          </w:p>
        </w:tc>
        <w:tc>
          <w:tcPr>
            <w:tcW w:type="dxa" w:w="4997"/>
            <w:vAlign w:val="center"/>
          </w:tcPr>
          <w:p>
            <w:pPr>
              <w:spacing w:after="20"/>
            </w:pPr>
            <w:r>
              <w:rPr>
                <w:sz w:val="16"/>
              </w:rPr>
              <w:t>Converting model output into a known DTO/record.</w:t>
            </w:r>
          </w:p>
        </w:tc>
      </w:tr>
      <w:tr>
        <w:tc>
          <w:tcPr>
            <w:tcW w:type="dxa" w:w="4997"/>
            <w:vAlign w:val="center"/>
          </w:tcPr>
          <w:p>
            <w:pPr>
              <w:spacing w:after="20"/>
            </w:pPr>
            <w:r>
              <w:rPr>
                <w:sz w:val="16"/>
              </w:rPr>
              <w:t>Orchestration</w:t>
            </w:r>
          </w:p>
        </w:tc>
        <w:tc>
          <w:tcPr>
            <w:tcW w:type="dxa" w:w="4997"/>
            <w:vAlign w:val="center"/>
          </w:tcPr>
          <w:p>
            <w:pPr>
              <w:spacing w:after="20"/>
            </w:pPr>
            <w:r>
              <w:rPr>
                <w:sz w:val="16"/>
              </w:rPr>
              <w:t>Control flow coordinating tools, services, and model calls.</w:t>
            </w:r>
          </w:p>
        </w:tc>
      </w:tr>
      <w:tr>
        <w:tc>
          <w:tcPr>
            <w:tcW w:type="dxa" w:w="4997"/>
            <w:vAlign w:val="center"/>
          </w:tcPr>
          <w:p>
            <w:pPr>
              <w:spacing w:after="20"/>
            </w:pPr>
            <w:r>
              <w:rPr>
                <w:sz w:val="16"/>
              </w:rPr>
              <w:t>Human-in-the-loop</w:t>
            </w:r>
          </w:p>
        </w:tc>
        <w:tc>
          <w:tcPr>
            <w:tcW w:type="dxa" w:w="4997"/>
            <w:vAlign w:val="center"/>
          </w:tcPr>
          <w:p>
            <w:pPr>
              <w:spacing w:after="20"/>
            </w:pPr>
            <w:r>
              <w:rPr>
                <w:sz w:val="16"/>
              </w:rPr>
              <w:t>Person reviews/decides a risky action before execution.</w:t>
            </w:r>
          </w:p>
        </w:tc>
      </w:tr>
      <w:tr>
        <w:tc>
          <w:tcPr>
            <w:tcW w:type="dxa" w:w="4997"/>
            <w:vAlign w:val="center"/>
          </w:tcPr>
          <w:p>
            <w:pPr>
              <w:spacing w:after="20"/>
            </w:pPr>
            <w:r>
              <w:rPr>
                <w:sz w:val="16"/>
              </w:rPr>
              <w:t>Circuit breaker</w:t>
            </w:r>
          </w:p>
        </w:tc>
        <w:tc>
          <w:tcPr>
            <w:tcW w:type="dxa" w:w="4997"/>
            <w:vAlign w:val="center"/>
          </w:tcPr>
          <w:p>
            <w:pPr>
              <w:spacing w:after="20"/>
            </w:pPr>
            <w:r>
              <w:rPr>
                <w:sz w:val="16"/>
              </w:rPr>
              <w:t>Temporarily blocks calls after repeated failures.</w:t>
            </w:r>
          </w:p>
        </w:tc>
      </w:tr>
      <w:tr>
        <w:tc>
          <w:tcPr>
            <w:tcW w:type="dxa" w:w="4997"/>
            <w:vAlign w:val="center"/>
          </w:tcPr>
          <w:p>
            <w:pPr>
              <w:spacing w:after="20"/>
            </w:pPr>
            <w:r>
              <w:rPr>
                <w:sz w:val="16"/>
              </w:rPr>
              <w:t>Idempotency</w:t>
            </w:r>
          </w:p>
        </w:tc>
        <w:tc>
          <w:tcPr>
            <w:tcW w:type="dxa" w:w="4997"/>
            <w:vAlign w:val="center"/>
          </w:tcPr>
          <w:p>
            <w:pPr>
              <w:spacing w:after="20"/>
            </w:pPr>
            <w:r>
              <w:rPr>
                <w:sz w:val="16"/>
              </w:rPr>
              <w:t>Repeated execution does not create duplicate side effects.</w:t>
            </w:r>
          </w:p>
        </w:tc>
      </w:tr>
      <w:tr>
        <w:tc>
          <w:tcPr>
            <w:tcW w:type="dxa" w:w="4997"/>
            <w:vAlign w:val="center"/>
          </w:tcPr>
          <w:p>
            <w:pPr>
              <w:spacing w:after="20"/>
            </w:pPr>
            <w:r>
              <w:rPr>
                <w:sz w:val="16"/>
              </w:rPr>
              <w:t>Audit event</w:t>
            </w:r>
          </w:p>
        </w:tc>
        <w:tc>
          <w:tcPr>
            <w:tcW w:type="dxa" w:w="4997"/>
            <w:vAlign w:val="center"/>
          </w:tcPr>
          <w:p>
            <w:pPr>
              <w:spacing w:after="20"/>
            </w:pPr>
            <w:r>
              <w:rPr>
                <w:sz w:val="16"/>
              </w:rPr>
              <w:t>Record of who did what, when, and with what outcome.</w:t>
            </w:r>
          </w:p>
        </w:tc>
      </w:tr>
    </w:tbl>
    <w:p/>
    <w:p>
      <w:pPr>
        <w:pStyle w:val="Heading2"/>
      </w:pPr>
      <w:r>
        <w:t>The most important mental model</w:t>
      </w:r>
    </w:p>
    <w:p>
      <w:r>
        <w:t>Treat the LLM as a language and reasoning component inside a controlled application—not as the application itself.</w:t>
      </w:r>
    </w:p>
    <w:p>
      <w:pPr>
        <w:spacing w:before="60" w:after="140"/>
        <w:ind w:left="216" w:right="144"/>
        <w:shd w:fill="F2F4F7"/>
      </w:pPr>
      <w:r>
        <w:rPr>
          <w:rFonts w:ascii="Consolas" w:hAnsi="Consolas"/>
          <w:color w:val="282D34"/>
          <w:sz w:val="15"/>
        </w:rPr>
        <w:t>Java validates and authorizes</w:t>
      </w:r>
      <w:r>
        <w:br/>
      </w:r>
      <w:r>
        <w:rPr>
          <w:rFonts w:ascii="Consolas" w:hAnsi="Consolas"/>
          <w:color w:val="282D34"/>
          <w:sz w:val="15"/>
        </w:rPr>
        <w:t xml:space="preserve">        -&gt; retrieves trusted facts</w:t>
      </w:r>
      <w:r>
        <w:br/>
      </w:r>
      <w:r>
        <w:rPr>
          <w:rFonts w:ascii="Consolas" w:hAnsi="Consolas"/>
          <w:color w:val="282D34"/>
          <w:sz w:val="15"/>
        </w:rPr>
        <w:t xml:space="preserve">        -&gt; controls mandatory workflow steps</w:t>
      </w:r>
      <w:r>
        <w:br/>
      </w:r>
      <w:r>
        <w:rPr>
          <w:rFonts w:ascii="Consolas" w:hAnsi="Consolas"/>
          <w:color w:val="282D34"/>
          <w:sz w:val="15"/>
        </w:rPr>
        <w:t xml:space="preserve">        -&gt; gives the model bounded context/tools</w:t>
      </w:r>
      <w:r>
        <w:br/>
      </w:r>
      <w:r>
        <w:rPr>
          <w:rFonts w:ascii="Consolas" w:hAnsi="Consolas"/>
          <w:color w:val="282D34"/>
          <w:sz w:val="15"/>
        </w:rPr>
        <w:t xml:space="preserve">        -&gt; validates the model output</w:t>
      </w:r>
      <w:r>
        <w:br/>
      </w:r>
      <w:r>
        <w:rPr>
          <w:rFonts w:ascii="Consolas" w:hAnsi="Consolas"/>
          <w:color w:val="282D34"/>
          <w:sz w:val="15"/>
        </w:rPr>
        <w:t xml:space="preserve">        -&gt; requires human approval for risky actions</w:t>
      </w:r>
      <w:r>
        <w:br/>
      </w:r>
      <w:r>
        <w:rPr>
          <w:rFonts w:ascii="Consolas" w:hAnsi="Consolas"/>
          <w:color w:val="282D34"/>
          <w:sz w:val="15"/>
        </w:rPr>
        <w:t xml:space="preserve">        -&gt; audits and observes the result</w:t>
      </w:r>
    </w:p>
    <w:p>
      <w:r>
        <w:t>Use model flexibility where natural-language interpretation adds value. Use deterministic Java code where correctness, permissions, sequencing, and business consequences matter.</w:t>
      </w:r>
    </w:p>
    <w:p>
      <w:pPr>
        <w:pStyle w:val="Heading1"/>
      </w:pPr>
      <w:r>
        <w:t>Reference configuration</w:t>
      </w:r>
    </w:p>
    <w:p>
      <w:pPr>
        <w:pStyle w:val="ListBullet"/>
        <w:spacing w:after="40"/>
      </w:pPr>
      <w:r>
        <w:t>Project: spring-ai-complete-enterprise-support</w:t>
      </w:r>
    </w:p>
    <w:p>
      <w:pPr>
        <w:pStyle w:val="ListBullet"/>
        <w:spacing w:after="40"/>
      </w:pPr>
      <w:r>
        <w:t>Base package: com.example.support</w:t>
      </w:r>
    </w:p>
    <w:p>
      <w:pPr>
        <w:pStyle w:val="ListBullet"/>
        <w:spacing w:after="40"/>
      </w:pPr>
      <w:r>
        <w:t>Java 21; Spring Boot 4.1.0; Spring AI 2.0.1</w:t>
      </w:r>
    </w:p>
    <w:p>
      <w:pPr>
        <w:pStyle w:val="ListBullet"/>
        <w:spacing w:after="40"/>
      </w:pPr>
      <w:r>
        <w:t>Chat model: qwen2.5:7b; embedding model: nomic-embed-text</w:t>
      </w:r>
    </w:p>
    <w:p>
      <w:pPr>
        <w:pStyle w:val="ListBullet"/>
        <w:spacing w:after="40"/>
      </w:pPr>
      <w:r>
        <w:t>Ollama base URL: http://localhost:11434</w:t>
      </w:r>
    </w:p>
    <w:p>
      <w:pPr>
        <w:pStyle w:val="ListBullet"/>
        <w:spacing w:after="40"/>
      </w:pPr>
      <w:r>
        <w:t>Demo users: support-agent / change-me-agent; approver / change-me-approver (replace before non-local deployment).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Learning project • Java 21 • Spring Boot 4.1 • Spring AI 2.0.1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SPRING AI + OLLAMA  |  CUSTOMER SUPPORT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