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Ambassador Scaling Project — Overview</w:t>
      </w:r>
    </w:p>
    <w:p>
      <w:r>
        <w:rPr>
          <w:b/>
        </w:rPr>
        <w:t xml:space="preserve">Prepared by: </w:t>
      </w:r>
      <w:r>
        <w:t xml:space="preserve">Jessica Bowman     </w:t>
      </w:r>
      <w:r>
        <w:rPr>
          <w:b/>
        </w:rPr>
        <w:t xml:space="preserve">Date: </w:t>
      </w:r>
      <w:r>
        <w:t xml:space="preserve">July 6, 2026     </w:t>
      </w:r>
      <w:r>
        <w:rPr>
          <w:b/>
        </w:rPr>
        <w:t xml:space="preserve">To: </w:t>
      </w:r>
      <w:r>
        <w:t xml:space="preserve">Matthew     </w:t>
      </w:r>
      <w:r>
        <w:rPr>
          <w:b/>
        </w:rPr>
        <w:t xml:space="preserve">Target Go-Live: </w:t>
      </w:r>
      <w:r>
        <w:rPr>
          <w:color w:val="70AD47"/>
        </w:rPr>
        <w:t>July 18, 2026</w:t>
      </w:r>
    </w:p>
    <w:p>
      <w:pPr>
        <w:pStyle w:val="Heading1"/>
      </w:pPr>
      <w:r>
        <w:rPr>
          <w:color w:val="1F3864"/>
        </w:rPr>
        <w:t>What This Project Is</w:t>
      </w:r>
    </w:p>
    <w:p>
      <w:r>
        <w:t>We are building an automated AI agent system to scale the Gracelyn University Ambassador Program to 100,000 ambassadors. The system consists of 11 Catalyst functions (automated agents) that handle every stage of the ambassador lifecycle — recruiting, onboarding, engagement, compliance, support, and payouts — without manual staff intervention.</w:t>
        <w:br/>
        <w:br/>
        <w:t>All 15 design documents are locked. We are now in the 2-week implementation sprint targeting go-live July 18, 2026.</w:t>
      </w:r>
    </w:p>
    <w:p>
      <w:pPr>
        <w:pStyle w:val="Heading1"/>
      </w:pPr>
      <w:r>
        <w:rPr>
          <w:color w:val="1F3864"/>
        </w:rPr>
        <w:t>The 11 Agents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Agent</w:t>
            </w:r>
          </w:p>
        </w:tc>
        <w:tc>
          <w:tcPr>
            <w:tcW w:type="dxa" w:w="4320"/>
            <w:shd w:val="clear" w:color="auto" w:fill="1F3864"/>
          </w:tcPr>
          <w:p>
            <w:r>
              <w:rPr>
                <w:b/>
                <w:color w:val="FFFFFF"/>
              </w:rPr>
              <w:t>Purpose</w:t>
            </w:r>
          </w:p>
        </w:tc>
      </w:tr>
      <w:tr>
        <w:tc>
          <w:tcPr>
            <w:tcW w:type="dxa" w:w="4320"/>
          </w:tcPr>
          <w:p>
            <w:r>
              <w:t>Agent 0</w:t>
            </w:r>
          </w:p>
        </w:tc>
        <w:tc>
          <w:tcPr>
            <w:tcW w:type="dxa" w:w="4320"/>
          </w:tcPr>
          <w:p>
            <w:r>
              <w:t>Research &amp; Intelligence — VIP prospect scoring, feeds all others</w:t>
            </w:r>
          </w:p>
        </w:tc>
      </w:tr>
      <w:tr>
        <w:tc>
          <w:tcPr>
            <w:tcW w:type="dxa" w:w="4320"/>
            <w:shd w:val="clear" w:color="auto" w:fill="F2F2F2"/>
          </w:tcPr>
          <w:p>
            <w:r>
              <w:t>Agent 1A</w:t>
            </w:r>
          </w:p>
        </w:tc>
        <w:tc>
          <w:tcPr>
            <w:tcW w:type="dxa" w:w="4320"/>
            <w:shd w:val="clear" w:color="auto" w:fill="F2F2F2"/>
          </w:tcPr>
          <w:p>
            <w:r>
              <w:t>Recruiting — database email outreach</w:t>
            </w:r>
          </w:p>
        </w:tc>
      </w:tr>
      <w:tr>
        <w:tc>
          <w:tcPr>
            <w:tcW w:type="dxa" w:w="4320"/>
          </w:tcPr>
          <w:p>
            <w:r>
              <w:t>Agent 1B</w:t>
            </w:r>
          </w:p>
        </w:tc>
        <w:tc>
          <w:tcPr>
            <w:tcW w:type="dxa" w:w="4320"/>
          </w:tcPr>
          <w:p>
            <w:r>
              <w:t>Recruiting — social media outreach</w:t>
            </w:r>
          </w:p>
        </w:tc>
      </w:tr>
      <w:tr>
        <w:tc>
          <w:tcPr>
            <w:tcW w:type="dxa" w:w="4320"/>
            <w:shd w:val="clear" w:color="auto" w:fill="F2F2F2"/>
          </w:tcPr>
          <w:p>
            <w:r>
              <w:t>Agent 1C</w:t>
            </w:r>
          </w:p>
        </w:tc>
        <w:tc>
          <w:tcPr>
            <w:tcW w:type="dxa" w:w="4320"/>
            <w:shd w:val="clear" w:color="auto" w:fill="F2F2F2"/>
          </w:tcPr>
          <w:p>
            <w:r>
              <w:t>Recruiting — paid ads (Meta + Google)</w:t>
            </w:r>
          </w:p>
        </w:tc>
      </w:tr>
      <w:tr>
        <w:tc>
          <w:tcPr>
            <w:tcW w:type="dxa" w:w="4320"/>
          </w:tcPr>
          <w:p>
            <w:r>
              <w:t>Agent 1D</w:t>
            </w:r>
          </w:p>
        </w:tc>
        <w:tc>
          <w:tcPr>
            <w:tcW w:type="dxa" w:w="4320"/>
          </w:tcPr>
          <w:p>
            <w:r>
              <w:t>Recruiting — lead capture</w:t>
            </w:r>
          </w:p>
        </w:tc>
      </w:tr>
      <w:tr>
        <w:tc>
          <w:tcPr>
            <w:tcW w:type="dxa" w:w="4320"/>
            <w:shd w:val="clear" w:color="auto" w:fill="F2F2F2"/>
          </w:tcPr>
          <w:p>
            <w:r>
              <w:t>Agent 2</w:t>
            </w:r>
          </w:p>
        </w:tc>
        <w:tc>
          <w:tcPr>
            <w:tcW w:type="dxa" w:w="4320"/>
            <w:shd w:val="clear" w:color="auto" w:fill="F2F2F2"/>
          </w:tcPr>
          <w:p>
            <w:r>
              <w:t>Onboarding — compliance form, win-back, auto-approval</w:t>
            </w:r>
          </w:p>
        </w:tc>
      </w:tr>
      <w:tr>
        <w:tc>
          <w:tcPr>
            <w:tcW w:type="dxa" w:w="4320"/>
          </w:tcPr>
          <w:p>
            <w:r>
              <w:t>Agent 3</w:t>
            </w:r>
          </w:p>
        </w:tc>
        <w:tc>
          <w:tcPr>
            <w:tcW w:type="dxa" w:w="4320"/>
          </w:tcPr>
          <w:p>
            <w:r>
              <w:t>Engagement — weekly touchpoints, story content, VIP tiers</w:t>
            </w:r>
          </w:p>
        </w:tc>
      </w:tr>
      <w:tr>
        <w:tc>
          <w:tcPr>
            <w:tcW w:type="dxa" w:w="4320"/>
            <w:shd w:val="clear" w:color="auto" w:fill="F2F2F2"/>
          </w:tcPr>
          <w:p>
            <w:r>
              <w:t>Agent 4</w:t>
            </w:r>
          </w:p>
        </w:tc>
        <w:tc>
          <w:tcPr>
            <w:tcW w:type="dxa" w:w="4320"/>
            <w:shd w:val="clear" w:color="auto" w:fill="F2F2F2"/>
          </w:tcPr>
          <w:p>
            <w:r>
              <w:t>Compliance Oversight — SLA tracking, auditing, reporting</w:t>
            </w:r>
          </w:p>
        </w:tc>
      </w:tr>
      <w:tr>
        <w:tc>
          <w:tcPr>
            <w:tcW w:type="dxa" w:w="4320"/>
          </w:tcPr>
          <w:p>
            <w:r>
              <w:t>Agent 5</w:t>
            </w:r>
          </w:p>
        </w:tc>
        <w:tc>
          <w:tcPr>
            <w:tcW w:type="dxa" w:w="4320"/>
          </w:tcPr>
          <w:p>
            <w:r>
              <w:t>Ambassador Support — portal chat, escalation</w:t>
            </w:r>
          </w:p>
        </w:tc>
      </w:tr>
      <w:tr>
        <w:tc>
          <w:tcPr>
            <w:tcW w:type="dxa" w:w="4320"/>
            <w:shd w:val="clear" w:color="auto" w:fill="F2F2F2"/>
          </w:tcPr>
          <w:p>
            <w:r>
              <w:t>Agent 5A</w:t>
            </w:r>
          </w:p>
        </w:tc>
        <w:tc>
          <w:tcPr>
            <w:tcW w:type="dxa" w:w="4320"/>
            <w:shd w:val="clear" w:color="auto" w:fill="F2F2F2"/>
          </w:tcPr>
          <w:p>
            <w:r>
              <w:t>Setup Validation — go/no-go gate before anything goes live</w:t>
            </w:r>
          </w:p>
        </w:tc>
      </w:tr>
      <w:tr>
        <w:tc>
          <w:tcPr>
            <w:tcW w:type="dxa" w:w="4320"/>
          </w:tcPr>
          <w:p>
            <w:r>
              <w:t>Agent 6</w:t>
            </w:r>
          </w:p>
        </w:tc>
        <w:tc>
          <w:tcPr>
            <w:tcW w:type="dxa" w:w="4320"/>
          </w:tcPr>
          <w:p>
            <w:r>
              <w:t>Story Content Intake — feeds Agent 3</w:t>
            </w:r>
          </w:p>
        </w:tc>
      </w:tr>
    </w:tbl>
    <w:p/>
    <w:p>
      <w:pPr>
        <w:pStyle w:val="Heading1"/>
      </w:pPr>
      <w:r>
        <w:rPr>
          <w:color w:val="1F3864"/>
        </w:rPr>
        <w:t>Two-Week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Week</w:t>
            </w:r>
          </w:p>
        </w:tc>
        <w:tc>
          <w:tcPr>
            <w:tcW w:type="dxa" w:w="2160"/>
            <w:shd w:val="clear" w:color="auto" w:fill="1F3864"/>
          </w:tcPr>
          <w:p>
            <w:r>
              <w:rPr>
                <w:b/>
                <w:color w:val="FFFFFF"/>
              </w:rPr>
              <w:t>Dates</w:t>
            </w:r>
          </w:p>
        </w:tc>
        <w:tc>
          <w:tcPr>
            <w:tcW w:type="dxa" w:w="2160"/>
            <w:shd w:val="clear" w:color="auto" w:fill="1F3864"/>
          </w:tcPr>
          <w:p>
            <w:r>
              <w:rPr>
                <w:b/>
                <w:color w:val="FFFFFF"/>
              </w:rPr>
              <w:t>Goal</w:t>
            </w:r>
          </w:p>
        </w:tc>
        <w:tc>
          <w:tcPr>
            <w:tcW w:type="dxa" w:w="2160"/>
            <w:shd w:val="clear" w:color="auto" w:fill="1F3864"/>
          </w:tcPr>
          <w:p>
            <w:r>
              <w:rPr>
                <w:b/>
                <w:color w:val="FFFFFF"/>
              </w:rPr>
              <w:t>Key Tasks</w:t>
            </w:r>
          </w:p>
        </w:tc>
      </w:tr>
      <w:tr>
        <w:tc>
          <w:tcPr>
            <w:tcW w:type="dxa" w:w="2160"/>
          </w:tcPr>
          <w:p>
            <w:r>
              <w:t>Week 1</w:t>
            </w:r>
          </w:p>
        </w:tc>
        <w:tc>
          <w:tcPr>
            <w:tcW w:type="dxa" w:w="2160"/>
          </w:tcPr>
          <w:p>
            <w:r>
              <w:t>Jul 7–11</w:t>
            </w:r>
          </w:p>
        </w:tc>
        <w:tc>
          <w:tcPr>
            <w:tcW w:type="dxa" w:w="2160"/>
          </w:tcPr>
          <w:p>
            <w:r>
              <w:t>Build everything in parallel</w:t>
            </w:r>
          </w:p>
        </w:tc>
        <w:tc>
          <w:tcPr>
            <w:tcW w:type="dxa" w:w="2160"/>
          </w:tcPr>
          <w:p>
            <w:r>
              <w:t>Jessica builds all CRM fields, WorkDrive folders, Zoho Forms, and Flows</w:t>
              <w:br/>
              <w:t>Claude Code writes all 11 agent functions</w:t>
              <w:br/>
              <w:t>Dr. Flippen opens Wise + Tremendous accounts and confirms policy variables</w:t>
              <w:br/>
              <w:t>Content gaps drafted (lead magnets, Agent 5 knowledge base)</w:t>
            </w:r>
          </w:p>
        </w:tc>
      </w:tr>
      <w:tr>
        <w:tc>
          <w:tcPr>
            <w:tcW w:type="dxa" w:w="2160"/>
            <w:shd w:val="clear" w:color="auto" w:fill="F2F2F2"/>
          </w:tcPr>
          <w:p>
            <w:r>
              <w:t>Week 2</w:t>
            </w:r>
          </w:p>
        </w:tc>
        <w:tc>
          <w:tcPr>
            <w:tcW w:type="dxa" w:w="2160"/>
            <w:shd w:val="clear" w:color="auto" w:fill="F2F2F2"/>
          </w:tcPr>
          <w:p>
            <w:r>
              <w:t>Jul 14–18</w:t>
            </w:r>
          </w:p>
        </w:tc>
        <w:tc>
          <w:tcPr>
            <w:tcW w:type="dxa" w:w="2160"/>
            <w:shd w:val="clear" w:color="auto" w:fill="F2F2F2"/>
          </w:tcPr>
          <w:p>
            <w:r>
              <w:t>Deploy, test, launch</w:t>
            </w:r>
          </w:p>
        </w:tc>
        <w:tc>
          <w:tcPr>
            <w:tcW w:type="dxa" w:w="2160"/>
            <w:shd w:val="clear" w:color="auto" w:fill="F2F2F2"/>
          </w:tcPr>
          <w:p>
            <w:r>
              <w:t>Make.com scenarios built; all agents deployed to Catalyst</w:t>
              <w:br/>
              <w:t>Agent 5A validation gate runs — must pass before anything goes live</w:t>
              <w:br/>
              <w:t>End-to-end testing with a real form submission</w:t>
              <w:br/>
              <w:t>First ambassador cohort activated July 18</w:t>
            </w:r>
          </w:p>
        </w:tc>
      </w:tr>
    </w:tbl>
    <w:p/>
    <w:p>
      <w:pPr>
        <w:pStyle w:val="Heading1"/>
      </w:pPr>
      <w:r>
        <w:rPr>
          <w:color w:val="1F3864"/>
        </w:rPr>
        <w:t>Technology Stack</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Layer</w:t>
            </w:r>
          </w:p>
        </w:tc>
        <w:tc>
          <w:tcPr>
            <w:tcW w:type="dxa" w:w="4320"/>
            <w:shd w:val="clear" w:color="auto" w:fill="1F3864"/>
          </w:tcPr>
          <w:p>
            <w:r>
              <w:rPr>
                <w:b/>
                <w:color w:val="FFFFFF"/>
              </w:rPr>
              <w:t>Tool</w:t>
            </w:r>
          </w:p>
        </w:tc>
      </w:tr>
      <w:tr>
        <w:tc>
          <w:tcPr>
            <w:tcW w:type="dxa" w:w="4320"/>
          </w:tcPr>
          <w:p>
            <w:r>
              <w:t>Agent runtime</w:t>
            </w:r>
          </w:p>
        </w:tc>
        <w:tc>
          <w:tcPr>
            <w:tcW w:type="dxa" w:w="4320"/>
          </w:tcPr>
          <w:p>
            <w:r>
              <w:t>Zoho Catalyst (Node.js)</w:t>
            </w:r>
          </w:p>
        </w:tc>
      </w:tr>
      <w:tr>
        <w:tc>
          <w:tcPr>
            <w:tcW w:type="dxa" w:w="4320"/>
            <w:shd w:val="clear" w:color="auto" w:fill="F2F2F2"/>
          </w:tcPr>
          <w:p>
            <w:r>
              <w:t>CRM</w:t>
            </w:r>
          </w:p>
        </w:tc>
        <w:tc>
          <w:tcPr>
            <w:tcW w:type="dxa" w:w="4320"/>
            <w:shd w:val="clear" w:color="auto" w:fill="F2F2F2"/>
          </w:tcPr>
          <w:p>
            <w:r>
              <w:t>Zoho CRM v8</w:t>
            </w:r>
          </w:p>
        </w:tc>
      </w:tr>
      <w:tr>
        <w:tc>
          <w:tcPr>
            <w:tcW w:type="dxa" w:w="4320"/>
          </w:tcPr>
          <w:p>
            <w:r>
              <w:t>Payments</w:t>
            </w:r>
          </w:p>
        </w:tc>
        <w:tc>
          <w:tcPr>
            <w:tcW w:type="dxa" w:w="4320"/>
          </w:tcPr>
          <w:p>
            <w:r>
              <w:t>PayPal (launch) + Wise / Tremendous (international, fast-follow)</w:t>
            </w:r>
          </w:p>
        </w:tc>
      </w:tr>
      <w:tr>
        <w:tc>
          <w:tcPr>
            <w:tcW w:type="dxa" w:w="4320"/>
            <w:shd w:val="clear" w:color="auto" w:fill="F2F2F2"/>
          </w:tcPr>
          <w:p>
            <w:r>
              <w:t>Social posting</w:t>
            </w:r>
          </w:p>
        </w:tc>
        <w:tc>
          <w:tcPr>
            <w:tcW w:type="dxa" w:w="4320"/>
            <w:shd w:val="clear" w:color="auto" w:fill="F2F2F2"/>
          </w:tcPr>
          <w:p>
            <w:r>
              <w:t>Ayrshare</w:t>
            </w:r>
          </w:p>
        </w:tc>
      </w:tr>
      <w:tr>
        <w:tc>
          <w:tcPr>
            <w:tcW w:type="dxa" w:w="4320"/>
          </w:tcPr>
          <w:p>
            <w:r>
              <w:t>Paid ads</w:t>
            </w:r>
          </w:p>
        </w:tc>
        <w:tc>
          <w:tcPr>
            <w:tcW w:type="dxa" w:w="4320"/>
          </w:tcPr>
          <w:p>
            <w:r>
              <w:t>Meta Ads + Google Ads</w:t>
            </w:r>
          </w:p>
        </w:tc>
      </w:tr>
      <w:tr>
        <w:tc>
          <w:tcPr>
            <w:tcW w:type="dxa" w:w="4320"/>
            <w:shd w:val="clear" w:color="auto" w:fill="F2F2F2"/>
          </w:tcPr>
          <w:p>
            <w:r>
              <w:t>Video</w:t>
            </w:r>
          </w:p>
        </w:tc>
        <w:tc>
          <w:tcPr>
            <w:tcW w:type="dxa" w:w="4320"/>
            <w:shd w:val="clear" w:color="auto" w:fill="F2F2F2"/>
          </w:tcPr>
          <w:p>
            <w:r>
              <w:t>HeyGen (Dr. Flippen avatar)</w:t>
            </w:r>
          </w:p>
        </w:tc>
      </w:tr>
      <w:tr>
        <w:tc>
          <w:tcPr>
            <w:tcW w:type="dxa" w:w="4320"/>
          </w:tcPr>
          <w:p>
            <w:r>
              <w:t>AI</w:t>
            </w:r>
          </w:p>
        </w:tc>
        <w:tc>
          <w:tcPr>
            <w:tcW w:type="dxa" w:w="4320"/>
          </w:tcPr>
          <w:p>
            <w:r>
              <w:t>Anthropic Claude + OpenAI (Ambassador Support portal)</w:t>
            </w:r>
          </w:p>
        </w:tc>
      </w:tr>
      <w:tr>
        <w:tc>
          <w:tcPr>
            <w:tcW w:type="dxa" w:w="4320"/>
            <w:shd w:val="clear" w:color="auto" w:fill="F2F2F2"/>
          </w:tcPr>
          <w:p>
            <w:r>
              <w:t>Automation</w:t>
            </w:r>
          </w:p>
        </w:tc>
        <w:tc>
          <w:tcPr>
            <w:tcW w:type="dxa" w:w="4320"/>
            <w:shd w:val="clear" w:color="auto" w:fill="F2F2F2"/>
          </w:tcPr>
          <w:p>
            <w:r>
              <w:t>Make.com + Zoho Flow</w:t>
            </w:r>
          </w:p>
        </w:tc>
      </w:tr>
      <w:tr>
        <w:tc>
          <w:tcPr>
            <w:tcW w:type="dxa" w:w="4320"/>
          </w:tcPr>
          <w:p>
            <w:r>
              <w:t>Ambassador portal</w:t>
            </w:r>
          </w:p>
        </w:tc>
        <w:tc>
          <w:tcPr>
            <w:tcW w:type="dxa" w:w="4320"/>
          </w:tcPr>
          <w:p>
            <w:r>
              <w:t>WordPress</w:t>
            </w:r>
          </w:p>
        </w:tc>
      </w:tr>
    </w:tbl>
    <w:p/>
    <w:p>
      <w:pPr>
        <w:pStyle w:val="Heading1"/>
      </w:pPr>
      <w:r>
        <w:rPr>
          <w:color w:val="1F3864"/>
        </w:rPr>
        <w:t>Execution Lanes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rPr>
              <w:t>Lane</w:t>
            </w:r>
          </w:p>
        </w:tc>
        <w:tc>
          <w:tcPr>
            <w:tcW w:type="dxa" w:w="2880"/>
            <w:shd w:val="clear" w:color="auto" w:fill="1F3864"/>
          </w:tcPr>
          <w:p>
            <w:r>
              <w:rPr>
                <w:b/>
                <w:color w:val="FFFFFF"/>
              </w:rPr>
              <w:t>Owner</w:t>
            </w:r>
          </w:p>
        </w:tc>
        <w:tc>
          <w:tcPr>
            <w:tcW w:type="dxa" w:w="2880"/>
            <w:shd w:val="clear" w:color="auto" w:fill="1F3864"/>
          </w:tcPr>
          <w:p>
            <w:r>
              <w:rPr>
                <w:b/>
                <w:color w:val="FFFFFF"/>
              </w:rPr>
              <w:t>Responsibility</w:t>
            </w:r>
          </w:p>
        </w:tc>
      </w:tr>
      <w:tr>
        <w:tc>
          <w:tcPr>
            <w:tcW w:type="dxa" w:w="2880"/>
          </w:tcPr>
          <w:p>
            <w:r>
              <w:t>Infrastructure &amp; UI</w:t>
            </w:r>
          </w:p>
        </w:tc>
        <w:tc>
          <w:tcPr>
            <w:tcW w:type="dxa" w:w="2880"/>
          </w:tcPr>
          <w:p>
            <w:r>
              <w:t>Jessica Bowman</w:t>
            </w:r>
          </w:p>
        </w:tc>
        <w:tc>
          <w:tcPr>
            <w:tcW w:type="dxa" w:w="2880"/>
          </w:tcPr>
          <w:p>
            <w:r>
              <w:t>CRM fields, forms, flows, WorkDrive folders, deployment to Catalyst</w:t>
            </w:r>
          </w:p>
        </w:tc>
      </w:tr>
      <w:tr>
        <w:tc>
          <w:tcPr>
            <w:tcW w:type="dxa" w:w="2880"/>
            <w:shd w:val="clear" w:color="auto" w:fill="F2F2F2"/>
          </w:tcPr>
          <w:p>
            <w:r>
              <w:t>Agent code</w:t>
            </w:r>
          </w:p>
        </w:tc>
        <w:tc>
          <w:tcPr>
            <w:tcW w:type="dxa" w:w="2880"/>
            <w:shd w:val="clear" w:color="auto" w:fill="F2F2F2"/>
          </w:tcPr>
          <w:p>
            <w:r>
              <w:t>Claude Code (AI)</w:t>
            </w:r>
          </w:p>
        </w:tc>
        <w:tc>
          <w:tcPr>
            <w:tcW w:type="dxa" w:w="2880"/>
            <w:shd w:val="clear" w:color="auto" w:fill="F2F2F2"/>
          </w:tcPr>
          <w:p>
            <w:r>
              <w:t>All 11 Catalyst functions — written and reviewed against design documents</w:t>
            </w:r>
          </w:p>
        </w:tc>
      </w:tr>
      <w:tr>
        <w:tc>
          <w:tcPr>
            <w:tcW w:type="dxa" w:w="2880"/>
          </w:tcPr>
          <w:p>
            <w:r>
              <w:t>Content &amp; specs</w:t>
            </w:r>
          </w:p>
        </w:tc>
        <w:tc>
          <w:tcPr>
            <w:tcW w:type="dxa" w:w="2880"/>
          </w:tcPr>
          <w:p>
            <w:r>
              <w:t>Claude (AI)</w:t>
            </w:r>
          </w:p>
        </w:tc>
        <w:tc>
          <w:tcPr>
            <w:tcW w:type="dxa" w:w="2880"/>
          </w:tcPr>
          <w:p>
            <w:r>
              <w:t>Lead magnets, knowledge base, Make.com scenario specs, WordPress change specs</w:t>
            </w:r>
          </w:p>
        </w:tc>
      </w:tr>
      <w:tr>
        <w:tc>
          <w:tcPr>
            <w:tcW w:type="dxa" w:w="2880"/>
            <w:shd w:val="clear" w:color="auto" w:fill="F2F2F2"/>
          </w:tcPr>
          <w:p>
            <w:r>
              <w:t>Sign-off &amp; accounts</w:t>
            </w:r>
          </w:p>
        </w:tc>
        <w:tc>
          <w:tcPr>
            <w:tcW w:type="dxa" w:w="2880"/>
            <w:shd w:val="clear" w:color="auto" w:fill="F2F2F2"/>
          </w:tcPr>
          <w:p>
            <w:r>
              <w:t>Dr. Flippen</w:t>
            </w:r>
          </w:p>
        </w:tc>
        <w:tc>
          <w:tcPr>
            <w:tcW w:type="dxa" w:w="2880"/>
            <w:shd w:val="clear" w:color="auto" w:fill="F2F2F2"/>
          </w:tcPr>
          <w:p>
            <w:r>
              <w:t>Policy variables, Wise/Tremendous accounts, content approval</w:t>
            </w:r>
          </w:p>
        </w:tc>
      </w:tr>
    </w:tbl>
    <w:p/>
    <w:p>
      <w:pPr>
        <w:pStyle w:val="Heading1"/>
      </w:pPr>
      <w:r>
        <w:rPr>
          <w:color w:val="1F3864"/>
        </w:rPr>
        <w:t>Current Status</w:t>
      </w:r>
    </w:p>
    <w:p>
      <w:r>
        <w:rPr>
          <w:b/>
        </w:rPr>
        <w:t>✓ Design complete</w:t>
      </w:r>
      <w:r>
        <w:t xml:space="preserve"> — All 15 build documents locked. No open design decisions.</w:t>
        <w:br/>
      </w:r>
      <w:r>
        <w:rPr>
          <w:b/>
        </w:rPr>
        <w:t>✓ Project tasks loaded</w:t>
      </w:r>
      <w:r>
        <w:t xml:space="preserve"> — All 39 tasks with due dates and owners are live in Zoho Projects.</w:t>
        <w:br/>
      </w:r>
      <w:r>
        <w:rPr>
          <w:b/>
        </w:rPr>
        <w:t>✓ Build sprint begins</w:t>
      </w:r>
      <w:r>
        <w:t xml:space="preserve"> — July 7, 2026.</w:t>
        <w:br/>
      </w:r>
      <w:r>
        <w:rPr>
          <w:b/>
        </w:rPr>
        <w:t xml:space="preserve">Critical path: </w:t>
      </w:r>
      <w:r>
        <w:t>Wise/Tremendous verification → CRM fields → Agent 5A pass → deploy → test → launch</w:t>
      </w:r>
    </w:p>
    <w:p>
      <w:pPr>
        <w:pStyle w:val="Heading1"/>
      </w:pPr>
      <w:r>
        <w:rPr>
          <w:color w:val="1F3864"/>
        </w:rPr>
        <w:t>Key Risk</w:t>
      </w:r>
    </w:p>
    <w:p>
      <w:r>
        <w:rPr>
          <w:b/>
        </w:rPr>
        <w:t xml:space="preserve">Wise and Tremendous account verification </w:t>
      </w:r>
      <w:r>
        <w:t>has a 1–3 business day external clock and must be opened first thing Monday, July 7. If verification does not clear by July 10, we launch on PayPal only and add international routing as a fast-follow within days. All other risks are within our control.</w:t>
      </w:r>
    </w:p>
    <w:p/>
    <w:p>
      <w:r>
        <w:rPr>
          <w:color w:val="555555"/>
          <w:sz w:val="18"/>
        </w:rPr>
        <w:t>All tasks, due dates, and owners are tracked in Zoho Projects. Questions: jessica.bowman@gracelyn.edu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