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0"/>
        <w:rPr/>
      </w:pPr>
      <w:r>
        <w:rPr/>
        <w:t>ZOMBIE INVASION PREP</w:t>
      </w:r>
    </w:p>
    <w:p>
      <w:pPr>
        <w:pStyle w:val="BodyText"/>
        <w:bidi w:val="0"/>
        <w:spacing w:before="0" w:after="283"/>
        <w:jc w:val="start"/>
        <w:rPr/>
      </w:pPr>
      <w:r>
        <w:rPr/>
        <w:t>PREPARE YOUR SOCIETY — CONSTITUTIONAL CONVENTION RUBRIC</w:t>
      </w:r>
    </w:p>
    <w:p>
      <w:pPr>
        <w:pStyle w:val="BodyText"/>
        <w:bidi w:val="0"/>
        <w:spacing w:before="0" w:after="283"/>
        <w:jc w:val="start"/>
        <w:rPr/>
      </w:pPr>
      <w:r>
        <w:rPr/>
        <w:t>Name: ____________________________________    Convention: ____________________</w:t>
      </w:r>
    </w:p>
    <w:tbl>
      <w:tblPr>
        <w:tblW w:w="14139" w:type="dxa"/>
        <w:jc w:val="start"/>
        <w:tblInd w:w="-7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1710"/>
        <w:gridCol w:w="3215"/>
        <w:gridCol w:w="2214"/>
        <w:gridCol w:w="2419"/>
        <w:gridCol w:w="2289"/>
        <w:gridCol w:w="2292"/>
      </w:tblGrid>
      <w:tr>
        <w:trPr/>
        <w:tc>
          <w:tcPr>
            <w:tcW w:w="1710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215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8" w:before="0" w:after="283"/>
              <w:jc w:val="center"/>
              <w:rPr/>
            </w:pPr>
            <w:r>
              <w:rPr/>
              <w:t>5</w:t>
              <w:br/>
              <w:t>Transformative</w:t>
            </w:r>
          </w:p>
        </w:tc>
        <w:tc>
          <w:tcPr>
            <w:tcW w:w="2214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8" w:before="0" w:after="283"/>
              <w:jc w:val="center"/>
              <w:rPr/>
            </w:pPr>
            <w:r>
              <w:rPr/>
              <w:t>4</w:t>
              <w:br/>
              <w:t>Effective</w:t>
            </w:r>
          </w:p>
        </w:tc>
        <w:tc>
          <w:tcPr>
            <w:tcW w:w="2419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8" w:before="0" w:after="283"/>
              <w:jc w:val="center"/>
              <w:rPr/>
            </w:pPr>
            <w:r>
              <w:rPr/>
              <w:t>3</w:t>
              <w:br/>
              <w:t>Developing</w:t>
            </w:r>
          </w:p>
        </w:tc>
        <w:tc>
          <w:tcPr>
            <w:tcW w:w="2289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8" w:before="0" w:after="283"/>
              <w:jc w:val="center"/>
              <w:rPr/>
            </w:pPr>
            <w:r>
              <w:rPr/>
              <w:t>2</w:t>
              <w:br/>
              <w:t>Limited</w:t>
            </w:r>
          </w:p>
        </w:tc>
        <w:tc>
          <w:tcPr>
            <w:tcW w:w="229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8" w:before="0" w:after="283"/>
              <w:jc w:val="center"/>
              <w:rPr/>
            </w:pPr>
            <w:r>
              <w:rPr/>
              <w:t>1</w:t>
              <w:br/>
              <w:t>Not Yet Evident</w:t>
            </w:r>
          </w:p>
        </w:tc>
      </w:tr>
      <w:tr>
        <w:trPr/>
        <w:tc>
          <w:tcPr>
            <w:tcW w:w="171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Historical Understanding</w:t>
            </w:r>
          </w:p>
        </w:tc>
        <w:tc>
          <w:tcPr>
            <w:tcW w:w="321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convention uses history to make perceptive judgments about rebuilding society.</w:t>
            </w:r>
          </w:p>
        </w:tc>
        <w:tc>
          <w:tcPr>
            <w:tcW w:w="221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Historical evidence meaningfully informs the convention’s choices.</w:t>
            </w:r>
          </w:p>
        </w:tc>
        <w:tc>
          <w:tcPr>
            <w:tcW w:w="241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Research is present but does not consistently shape decisions.</w:t>
            </w:r>
          </w:p>
        </w:tc>
        <w:tc>
          <w:tcPr>
            <w:tcW w:w="228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Historical references are incomplete, weakly connected, or unreliable.</w:t>
            </w:r>
          </w:p>
        </w:tc>
        <w:tc>
          <w:tcPr>
            <w:tcW w:w="229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response shows little meaningful engagement with historical recovery.</w:t>
            </w:r>
          </w:p>
        </w:tc>
      </w:tr>
      <w:tr>
        <w:trPr/>
        <w:tc>
          <w:tcPr>
            <w:tcW w:w="171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Legitimacy and the Governing Agreement</w:t>
            </w:r>
          </w:p>
        </w:tc>
        <w:tc>
          <w:tcPr>
            <w:tcW w:w="321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agreement offers a compelling and coherent basis for legitimate shared government.</w:t>
            </w:r>
          </w:p>
        </w:tc>
        <w:tc>
          <w:tcPr>
            <w:tcW w:w="221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agreement presents a workable basis for authority, limits, and public trust.</w:t>
            </w:r>
          </w:p>
        </w:tc>
        <w:tc>
          <w:tcPr>
            <w:tcW w:w="241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agreement addresses the central problem but contains important gaps or tensions.</w:t>
            </w:r>
          </w:p>
        </w:tc>
        <w:tc>
          <w:tcPr>
            <w:tcW w:w="228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agreement is partial, contradictory, or difficult to use.</w:t>
            </w:r>
          </w:p>
        </w:tc>
        <w:tc>
          <w:tcPr>
            <w:tcW w:w="229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convention does not produce a coherent response to the need for government.</w:t>
            </w:r>
          </w:p>
        </w:tc>
      </w:tr>
      <w:tr>
        <w:trPr/>
        <w:tc>
          <w:tcPr>
            <w:tcW w:w="171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Recovery, Rights, and Reconciliation</w:t>
            </w:r>
          </w:p>
        </w:tc>
        <w:tc>
          <w:tcPr>
            <w:tcW w:w="321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response confronts past harm while creating credible conditions for dignity, justice, cohesion, and non-recurrence.</w:t>
            </w:r>
          </w:p>
        </w:tc>
        <w:tc>
          <w:tcPr>
            <w:tcW w:w="221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response addresses major harms and proposes a thoughtful path toward recovery.</w:t>
            </w:r>
          </w:p>
        </w:tc>
        <w:tc>
          <w:tcPr>
            <w:tcW w:w="241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response recognizes harms but treats recovery unevenly or incompletely.</w:t>
            </w:r>
          </w:p>
        </w:tc>
        <w:tc>
          <w:tcPr>
            <w:tcW w:w="228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response avoids difficult harms or relies on vague promises.</w:t>
            </w:r>
          </w:p>
        </w:tc>
        <w:tc>
          <w:tcPr>
            <w:tcW w:w="229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response does not meaningfully address the consequences of the collapse.</w:t>
            </w:r>
          </w:p>
        </w:tc>
      </w:tr>
      <w:tr>
        <w:trPr/>
        <w:tc>
          <w:tcPr>
            <w:tcW w:w="171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Collective Leadership</w:t>
            </w:r>
          </w:p>
        </w:tc>
        <w:tc>
          <w:tcPr>
            <w:tcW w:w="321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class becomes a purposeful political body capable of organizing itself, using disagreement, adapting, and completing shared work.</w:t>
            </w:r>
          </w:p>
        </w:tc>
        <w:tc>
          <w:tcPr>
            <w:tcW w:w="221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class establishes a functional process and works productively toward its mission.</w:t>
            </w:r>
          </w:p>
        </w:tc>
        <w:tc>
          <w:tcPr>
            <w:tcW w:w="241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process sometimes supports the mission but depends on uneven participation or direction.</w:t>
            </w:r>
          </w:p>
        </w:tc>
        <w:tc>
          <w:tcPr>
            <w:tcW w:w="228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group struggles to organize, adapt, or sustain shared responsibility.</w:t>
            </w:r>
          </w:p>
        </w:tc>
        <w:tc>
          <w:tcPr>
            <w:tcW w:w="229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group does not establish a sufficiently functional collective process.</w:t>
            </w:r>
          </w:p>
        </w:tc>
      </w:tr>
      <w:tr>
        <w:trPr/>
        <w:tc>
          <w:tcPr>
            <w:tcW w:w="1710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Individual Leadership and Reflection</w:t>
            </w:r>
          </w:p>
        </w:tc>
        <w:tc>
          <w:tcPr>
            <w:tcW w:w="3215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student contributes with unusual self-awareness, responsibility, judgment, and responsiveness to the group’s needs.</w:t>
            </w:r>
          </w:p>
        </w:tc>
        <w:tc>
          <w:tcPr>
            <w:tcW w:w="2214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student contributes reliably and explains their behavior with specific evidence.</w:t>
            </w:r>
          </w:p>
        </w:tc>
        <w:tc>
          <w:tcPr>
            <w:tcW w:w="2419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student participates and reflects, though evidence or follow-through is uneven.</w:t>
            </w:r>
          </w:p>
        </w:tc>
        <w:tc>
          <w:tcPr>
            <w:tcW w:w="2289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student’s contribution or reflection is limited and frequently dependent on prompting.</w:t>
            </w:r>
          </w:p>
        </w:tc>
        <w:tc>
          <w:tcPr>
            <w:tcW w:w="2292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8" w:before="0" w:after="283"/>
              <w:jc w:val="start"/>
              <w:rPr/>
            </w:pPr>
            <w:r>
              <w:rPr/>
              <w:t>The student provides little evidence of contribution, responsibility, or reflection.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>
          <w:b/>
        </w:rPr>
        <w:t>Important:</w:t>
      </w:r>
      <w:r>
        <w:rPr/>
        <w:t xml:space="preserve"> Ratification is not guaranteed. A legitimate decision not to ratify may demonstrate stronger civic judgment than quickly approving an agreement that has not earned consent.</w:t>
      </w:r>
    </w:p>
    <w:sectPr>
      <w:type w:val="nextPage"/>
      <w:pgSz w:orient="landscape" w:w="15840" w:h="122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;sans-serif" w:hAnsi="Arial;sans-serif" w:eastAsia="Arial;sans-serif" w:cs="Arial;sans-serif"/>
      <w:color w:val="111111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0"/>
      <w:jc w:val="center"/>
    </w:pPr>
    <w:rPr>
      <w:rFonts w:ascii="Noto Sans" w:hAnsi="Noto 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spacing w:lineRule="auto" w:line="268"/>
    </w:pPr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spacing w:lineRule="auto" w:line="268"/>
      <w:jc w:val="center"/>
    </w:pPr>
    <w:rPr>
      <w:b/>
      <w:bCs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349</Words>
  <Characters>2318</Characters>
  <CharactersWithSpaces>2632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Prepare Your Society — Student Rubric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