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Phylogenetically informed fossil prediction</w:t>
      </w:r>
    </w:p>
    <w:p>
      <w:pPr>
        <w:pStyle w:val="FirstParagraph"/>
      </w:pPr>
      <w:r>
        <w:t xml:space="preserve">To incorporate phylogenetic information into predictions of fossil leaf traits and paleoclimate we use the Phylogenetically Informed Predictions (PIP) model of Gardner et al. (2025). This method generates estimates for fossil species by combining a standard linear regression of physical leaf traits with an adjustment derived from the phylogenetic relationships between the fossil species and modern (extant) species. The complete prediction is defined by</w:t>
      </w:r>
    </w:p>
    <w:p>
      <w:pPr>
        <w:pStyle w:val="BodyText"/>
      </w:pPr>
      <m:oMathPara>
        <m:oMathParaPr>
          <m:jc m:val="center"/>
        </m:oMathParaPr>
        <m:oMath>
          <m:acc>
            <m:accPr>
              <m:chr m:val="̂"/>
            </m:accPr>
            <m:e>
              <m:r>
                <m:t>y</m:t>
              </m:r>
            </m:e>
          </m:acc>
          <m:r>
            <m:rPr>
              <m:sty m:val="p"/>
            </m:rPr>
            <m:t>=</m:t>
          </m:r>
          <m:r>
            <m:t>X</m:t>
          </m:r>
          <m:r>
            <m:t>β</m:t>
          </m:r>
          <m:r>
            <m:rPr>
              <m:sty m:val="p"/>
            </m:rPr>
            <m:t>+</m:t>
          </m:r>
          <m:sSubSup>
            <m:e>
              <m:r>
                <m:t>V</m:t>
              </m:r>
            </m:e>
            <m:sub>
              <m:r>
                <m:t>c</m:t>
              </m:r>
              <m:r>
                <m:t>r</m:t>
              </m:r>
              <m:r>
                <m:t>o</m:t>
              </m:r>
              <m:r>
                <m:t>s</m:t>
              </m:r>
              <m:r>
                <m:t>s</m:t>
              </m:r>
            </m:sub>
            <m:sup>
              <m:r>
                <m:t>T</m:t>
              </m:r>
            </m:sup>
          </m:sSubSup>
          <m:sSub>
            <m:e>
              <m:r>
                <m:t>V</m:t>
              </m:r>
            </m:e>
            <m:sub>
              <m:r>
                <m:t>i</m:t>
              </m:r>
              <m:r>
                <m:t>n</m:t>
              </m:r>
              <m:r>
                <m:t>v</m:t>
              </m:r>
            </m:sub>
          </m:sSub>
          <m:r>
            <m:t>e</m:t>
          </m:r>
        </m:oMath>
      </m:oMathPara>
    </w:p>
    <w:p>
      <w:pPr>
        <w:pStyle w:val="FirstParagraph"/>
      </w:pPr>
      <w:r>
        <w:t xml:space="preserve">where</w:t>
      </w:r>
      <w:r>
        <w:t xml:space="preserve"> </w:t>
      </w:r>
      <m:oMath>
        <m:r>
          <m:t>X</m:t>
        </m:r>
        <m:r>
          <m:t>β</m:t>
        </m:r>
      </m:oMath>
      <w:r>
        <w:t xml:space="preserve"> </w:t>
      </w:r>
      <w:r>
        <w:t xml:space="preserve">represents the trait-based component and</w:t>
      </w:r>
      <w:r>
        <w:t xml:space="preserve"> </w:t>
      </w:r>
      <m:oMath>
        <m:sSubSup>
          <m:e>
            <m:r>
              <m:t>V</m:t>
            </m:r>
          </m:e>
          <m:sub>
            <m:r>
              <m:t>c</m:t>
            </m:r>
            <m:r>
              <m:t>r</m:t>
            </m:r>
            <m:r>
              <m:t>o</m:t>
            </m:r>
            <m:r>
              <m:t>s</m:t>
            </m:r>
            <m:r>
              <m:t>s</m:t>
            </m:r>
          </m:sub>
          <m:sup>
            <m:r>
              <m:t>T</m:t>
            </m:r>
          </m:sup>
        </m:sSubSup>
        <m:sSub>
          <m:e>
            <m:r>
              <m:t>V</m:t>
            </m:r>
          </m:e>
          <m:sub>
            <m:r>
              <m:t>i</m:t>
            </m:r>
            <m:r>
              <m:t>n</m:t>
            </m:r>
            <m:r>
              <m:t>v</m:t>
            </m:r>
          </m:sub>
        </m:sSub>
        <m:r>
          <m:t>e</m:t>
        </m:r>
      </m:oMath>
      <w:r>
        <w:t xml:space="preserve"> </w:t>
      </w:r>
      <w:r>
        <w:t xml:space="preserve">represents the phylogenetic adjustment.</w:t>
      </w:r>
    </w:p>
    <w:p>
      <w:pPr>
        <w:pStyle w:val="BodyText"/>
      </w:pPr>
      <w:r>
        <w:t xml:space="preserve">The trait-based component calculates the expected value of the target variable based on the measured morphology of the fossil leaves.</w:t>
      </w:r>
      <w:r>
        <w:t xml:space="preserve"> </w:t>
      </w:r>
      <m:oMath>
        <m:r>
          <m:t>X</m:t>
        </m:r>
      </m:oMath>
      <w:r>
        <w:t xml:space="preserve"> </w:t>
      </w:r>
      <w:r>
        <w:t xml:space="preserve">represents the design matrix of fossil traits with dimensions</w:t>
      </w:r>
      <w:r>
        <w:t xml:space="preserve"> </w:t>
      </w:r>
      <m:oMath>
        <m:r>
          <m:t>m</m:t>
        </m:r>
        <m:r>
          <m:rPr>
            <m:sty m:val="p"/>
          </m:rPr>
          <m:t>×</m:t>
        </m:r>
        <m:r>
          <m:t>p</m:t>
        </m:r>
      </m:oMath>
      <w:r>
        <w:t xml:space="preserve">, where</w:t>
      </w:r>
      <w:r>
        <w:t xml:space="preserve"> </w:t>
      </w:r>
      <m:oMath>
        <m:r>
          <m:t>p</m:t>
        </m:r>
      </m:oMath>
      <w:r>
        <w:t xml:space="preserve"> </w:t>
      </w:r>
      <w:r>
        <w:t xml:space="preserve">is the number of trait variables plus an intercept column and</w:t>
      </w:r>
      <w:r>
        <w:t xml:space="preserve"> </w:t>
      </w:r>
      <m:oMath>
        <m:r>
          <m:t>m</m:t>
        </m:r>
      </m:oMath>
      <w:r>
        <w:t xml:space="preserve"> </w:t>
      </w:r>
      <w:r>
        <w:t xml:space="preserve">is the number of prediction rows. Each row contains the aggregated trait values for one fossil taxon.</w:t>
      </w:r>
      <w:r>
        <w:t xml:space="preserve"> </w:t>
      </w:r>
      <m:oMath>
        <m:r>
          <m:t>β</m:t>
        </m:r>
      </m:oMath>
      <w:r>
        <w:t xml:space="preserve"> </w:t>
      </w:r>
      <w:r>
        <w:t xml:space="preserve">represents a column vector of dimensions</w:t>
      </w:r>
      <w:r>
        <w:t xml:space="preserve"> </w:t>
      </w:r>
      <m:oMath>
        <m:r>
          <m:t>p</m:t>
        </m:r>
        <m:r>
          <m:rPr>
            <m:sty m:val="p"/>
          </m:rPr>
          <m:t>×</m:t>
        </m:r>
        <m:r>
          <m:t>1</m:t>
        </m:r>
      </m:oMath>
      <w:r>
        <w:t xml:space="preserve"> </w:t>
      </w:r>
      <w:r>
        <w:t xml:space="preserve">containing the regression coefficients. These coefficients were estimated from the extant species-level data using Phylogenetic Generalized Least Squares (PGLS) with Pagel’s</w:t>
      </w:r>
      <w:r>
        <w:t xml:space="preserve"> </w:t>
      </w:r>
      <m:oMath>
        <m:r>
          <m:t>λ</m:t>
        </m:r>
      </m:oMath>
      <w:r>
        <w:t xml:space="preserve"> </w:t>
      </w:r>
      <w:r>
        <w:t xml:space="preserve">jointly estimated (Gardner et al. 2025). The operation</w:t>
      </w:r>
      <w:r>
        <w:t xml:space="preserve"> </w:t>
      </w:r>
      <m:oMath>
        <m:r>
          <m:t>X</m:t>
        </m:r>
        <m:r>
          <m:t>β</m:t>
        </m:r>
      </m:oMath>
      <w:r>
        <w:t xml:space="preserve"> </w:t>
      </w:r>
      <w:r>
        <w:t xml:space="preserve">is standard matrix multiplication, where the trait values in each row of</w:t>
      </w:r>
      <w:r>
        <w:t xml:space="preserve"> </w:t>
      </w:r>
      <m:oMath>
        <m:r>
          <m:t>X</m:t>
        </m:r>
      </m:oMath>
      <w:r>
        <w:t xml:space="preserve"> </w:t>
      </w:r>
      <w:r>
        <w:t xml:space="preserve">are multiplied by their corresponding coefficients in</w:t>
      </w:r>
      <w:r>
        <w:t xml:space="preserve"> </w:t>
      </w:r>
      <m:oMath>
        <m:r>
          <m:t>β</m:t>
        </m:r>
      </m:oMath>
      <w:r>
        <w:t xml:space="preserve"> </w:t>
      </w:r>
      <w:r>
        <w:t xml:space="preserve">and summed, resulting in a base predicted value of dimensions</w:t>
      </w:r>
      <w:r>
        <w:t xml:space="preserve"> </w:t>
      </w:r>
      <m:oMath>
        <m:r>
          <m:t>m</m:t>
        </m:r>
        <m:r>
          <m:rPr>
            <m:sty m:val="p"/>
          </m:rPr>
          <m:t>×</m:t>
        </m:r>
        <m:r>
          <m:t>1</m:t>
        </m:r>
      </m:oMath>
      <w:r>
        <w:t xml:space="preserve">.</w:t>
      </w:r>
    </w:p>
    <w:p>
      <w:pPr>
        <w:pStyle w:val="BodyText"/>
      </w:pPr>
      <w:r>
        <w:t xml:space="preserve">The phylogenetic adjustment calculates the correction factor applied to the trait-based prediction. It uses the known errors of the modern species to adjust the predictions of the fossil species based on how closely related they are on the evolutionary tree. Specifically,</w:t>
      </w:r>
      <w:r>
        <w:t xml:space="preserve"> </w:t>
      </w:r>
      <m:oMath>
        <m:r>
          <m:t>e</m:t>
        </m:r>
      </m:oMath>
      <w:r>
        <w:t xml:space="preserve"> </w:t>
      </w:r>
      <w:r>
        <w:t xml:space="preserve">is a column vector of dimensions</w:t>
      </w:r>
      <w:r>
        <w:t xml:space="preserve"> </w:t>
      </w:r>
      <m:oMath>
        <m:r>
          <m:t>n</m:t>
        </m:r>
        <m:r>
          <m:rPr>
            <m:sty m:val="p"/>
          </m:rPr>
          <m:t>×</m:t>
        </m:r>
        <m:r>
          <m:t>1</m:t>
        </m:r>
      </m:oMath>
      <w:r>
        <w:t xml:space="preserve">, where</w:t>
      </w:r>
      <w:r>
        <w:t xml:space="preserve"> </w:t>
      </w:r>
      <m:oMath>
        <m:r>
          <m:t>n</m:t>
        </m:r>
      </m:oMath>
      <w:r>
        <w:t xml:space="preserve"> </w:t>
      </w:r>
      <w:r>
        <w:t xml:space="preserve">is the number of extant training species, containing the raw residuals (observed minus</w:t>
      </w:r>
      <w:r>
        <w:t xml:space="preserve"> </w:t>
      </w:r>
      <m:oMath>
        <m:r>
          <m:t>X</m:t>
        </m:r>
        <m:r>
          <m:t>β</m:t>
        </m:r>
      </m:oMath>
      <w:r>
        <w:t xml:space="preserve">) from the species-level training data.</w:t>
      </w:r>
      <w:r>
        <w:t xml:space="preserve"> </w:t>
      </w:r>
      <m:oMath>
        <m:sSub>
          <m:e>
            <m:r>
              <m:t>V</m:t>
            </m:r>
          </m:e>
          <m:sub>
            <m:r>
              <m:t>i</m:t>
            </m:r>
            <m:r>
              <m:t>n</m:t>
            </m:r>
            <m:r>
              <m:t>v</m:t>
            </m:r>
          </m:sub>
        </m:sSub>
      </m:oMath>
      <w:r>
        <w:t xml:space="preserve"> </w:t>
      </w:r>
      <w:r>
        <w:t xml:space="preserve">is an</w:t>
      </w:r>
      <w:r>
        <w:t xml:space="preserve"> </w:t>
      </w:r>
      <m:oMath>
        <m:r>
          <m:t>n</m:t>
        </m:r>
        <m:r>
          <m:rPr>
            <m:sty m:val="p"/>
          </m:rPr>
          <m:t>×</m:t>
        </m:r>
        <m:r>
          <m:t>n</m:t>
        </m:r>
      </m:oMath>
      <w:r>
        <w:t xml:space="preserve"> </w:t>
      </w:r>
      <w:r>
        <w:t xml:space="preserve">matrix equal to the inverse of the</w:t>
      </w:r>
      <w:r>
        <w:t xml:space="preserve"> </w:t>
      </w:r>
      <m:oMath>
        <m:r>
          <m:t>λ</m:t>
        </m:r>
      </m:oMath>
      <w:r>
        <w:t xml:space="preserve">-transformed phylogenetic covariance matrix</w:t>
      </w:r>
      <w:r>
        <w:t xml:space="preserve"> </w:t>
      </w:r>
      <m:oMath>
        <m:sSub>
          <m:e>
            <m:r>
              <m:t>V</m:t>
            </m:r>
          </m:e>
          <m:sub>
            <m:r>
              <m:t>l</m:t>
            </m:r>
            <m:r>
              <m:t>a</m:t>
            </m:r>
            <m:r>
              <m:t>m</m:t>
            </m:r>
          </m:sub>
        </m:sSub>
      </m:oMath>
      <w:r>
        <w:t xml:space="preserve"> </w:t>
      </w:r>
      <w:r>
        <w:t xml:space="preserve">for the extant training species. The off-diagonal entries of the raw VCV are multiplied by Pagel’s</w:t>
      </w:r>
      <w:r>
        <w:t xml:space="preserve"> </w:t>
      </w:r>
      <m:oMath>
        <m:r>
          <m:t>λ</m:t>
        </m:r>
      </m:oMath>
      <w:r>
        <w:t xml:space="preserve"> </w:t>
      </w:r>
      <w:r>
        <w:t xml:space="preserve">while the diagonal is preserved (see Gardner et al. 2025). The raw VCV represents shared evolutionary branch lengths between extant species pairs; the</w:t>
      </w:r>
      <w:r>
        <w:t xml:space="preserve"> </w:t>
      </w:r>
      <m:oMath>
        <m:r>
          <m:t>λ</m:t>
        </m:r>
      </m:oMath>
      <w:r>
        <w:t xml:space="preserve">-scaling matches the covariance structure under which</w:t>
      </w:r>
      <w:r>
        <w:t xml:space="preserve"> </w:t>
      </w:r>
      <m:oMath>
        <m:r>
          <m:t>β</m:t>
        </m:r>
      </m:oMath>
      <w:r>
        <w:t xml:space="preserve"> </w:t>
      </w:r>
      <w:r>
        <w:t xml:space="preserve">was estimated, and the inversion accounts for non-independence among the extant species. Finally,</w:t>
      </w:r>
      <w:r>
        <w:t xml:space="preserve"> </w:t>
      </w:r>
      <m:oMath>
        <m:sSub>
          <m:e>
            <m:r>
              <m:t>V</m:t>
            </m:r>
          </m:e>
          <m:sub>
            <m:r>
              <m:t>c</m:t>
            </m:r>
            <m:r>
              <m:t>r</m:t>
            </m:r>
            <m:r>
              <m:t>o</m:t>
            </m:r>
            <m:r>
              <m:t>s</m:t>
            </m:r>
            <m:r>
              <m:t>s</m:t>
            </m:r>
          </m:sub>
        </m:sSub>
      </m:oMath>
      <w:r>
        <w:t xml:space="preserve"> </w:t>
      </w:r>
      <w:r>
        <w:t xml:space="preserve">is a cross-covariance matrix of dimensions</w:t>
      </w:r>
      <w:r>
        <w:t xml:space="preserve"> </w:t>
      </w:r>
      <m:oMath>
        <m:r>
          <m:t>n</m:t>
        </m:r>
        <m:r>
          <m:rPr>
            <m:sty m:val="p"/>
          </m:rPr>
          <m:t>×</m:t>
        </m:r>
        <m:r>
          <m:t>m</m:t>
        </m:r>
      </m:oMath>
      <w:r>
        <w:t xml:space="preserve">, representing the shared evolutionary branch lengths between the</w:t>
      </w:r>
      <w:r>
        <w:t xml:space="preserve"> </w:t>
      </w:r>
      <m:oMath>
        <m:r>
          <m:t>n</m:t>
        </m:r>
      </m:oMath>
      <w:r>
        <w:t xml:space="preserve"> </w:t>
      </w:r>
      <w:r>
        <w:t xml:space="preserve">extant training species and the</w:t>
      </w:r>
      <w:r>
        <w:t xml:space="preserve"> </w:t>
      </w:r>
      <m:oMath>
        <m:r>
          <m:t>m</m:t>
        </m:r>
      </m:oMath>
      <w:r>
        <w:t xml:space="preserve"> </w:t>
      </w:r>
      <w:r>
        <w:t xml:space="preserve">fossil entries. Because no fossil species appears in the extant training dataset, the modern and fossil tip sets are disjoint with respect to the VCV the model was trained on. Every entry of</w:t>
      </w:r>
      <w:r>
        <w:t xml:space="preserve"> </w:t>
      </w:r>
      <m:oMath>
        <m:sSub>
          <m:e>
            <m:r>
              <m:t>V</m:t>
            </m:r>
          </m:e>
          <m:sub>
            <m:r>
              <m:t>c</m:t>
            </m:r>
            <m:r>
              <m:t>r</m:t>
            </m:r>
            <m:r>
              <m:t>o</m:t>
            </m:r>
            <m:r>
              <m:t>s</m:t>
            </m:r>
            <m:r>
              <m:t>s</m:t>
            </m:r>
          </m:sub>
        </m:sSub>
      </m:oMath>
      <w:r>
        <w:t xml:space="preserve"> </w:t>
      </w:r>
      <w:r>
        <w:t xml:space="preserve">is therefore an off-diagonal cell of the full VCV (a shared branch length between two different taxa, never a self-covariance). This means the entire block is uniformly scaled by</w:t>
      </w:r>
      <w:r>
        <w:t xml:space="preserve"> </w:t>
      </w:r>
      <m:oMath>
        <m:r>
          <m:t>λ</m:t>
        </m:r>
      </m:oMath>
      <w:r>
        <w:t xml:space="preserve"> </w:t>
      </w:r>
      <w:r>
        <w:t xml:space="preserve">with no diagonal exception, consistent with the</w:t>
      </w:r>
      <w:r>
        <w:t xml:space="preserve"> </w:t>
      </w:r>
      <m:oMath>
        <m:r>
          <m:t>λ</m:t>
        </m:r>
      </m:oMath>
      <w:r>
        <w:t xml:space="preserve">-scaling already implicit in</w:t>
      </w:r>
      <w:r>
        <w:t xml:space="preserve"> </w:t>
      </w:r>
      <m:oMath>
        <m:sSub>
          <m:e>
            <m:r>
              <m:t>V</m:t>
            </m:r>
          </m:e>
          <m:sub>
            <m:r>
              <m:t>i</m:t>
            </m:r>
            <m:r>
              <m:t>n</m:t>
            </m:r>
            <m:r>
              <m:t>v</m:t>
            </m:r>
          </m:sub>
        </m:sSub>
      </m:oMath>
      <w:r>
        <w:t xml:space="preserve">.</w:t>
      </w:r>
    </w:p>
    <w:p>
      <w:pPr>
        <w:pStyle w:val="BodyText"/>
      </w:pPr>
      <w:r>
        <w:t xml:space="preserve">To calculate the phylogenetic adjustment, we solve</w:t>
      </w:r>
      <w:r>
        <w:t xml:space="preserve"> </w:t>
      </w:r>
      <m:oMath>
        <m:sSub>
          <m:e>
            <m:r>
              <m:t>V</m:t>
            </m:r>
          </m:e>
          <m:sub>
            <m:r>
              <m:t>l</m:t>
            </m:r>
            <m:r>
              <m:t>a</m:t>
            </m:r>
            <m:r>
              <m:t>m</m:t>
            </m:r>
          </m:sub>
        </m:sSub>
        <m:r>
          <m:t>w</m:t>
        </m:r>
        <m:r>
          <m:rPr>
            <m:sty m:val="p"/>
          </m:rPr>
          <m:t>=</m:t>
        </m:r>
        <m:r>
          <m:t>e</m:t>
        </m:r>
      </m:oMath>
      <w:r>
        <w:t xml:space="preserve">, giving covariance-weighted residuals</w:t>
      </w:r>
      <w:r>
        <w:t xml:space="preserve"> </w:t>
      </w:r>
      <m:oMath>
        <m:r>
          <m:t>w</m:t>
        </m:r>
        <m:r>
          <m:rPr>
            <m:sty m:val="p"/>
          </m:rPr>
          <m:t>=</m:t>
        </m:r>
        <m:sSub>
          <m:e>
            <m:r>
              <m:t>V</m:t>
            </m:r>
          </m:e>
          <m:sub>
            <m:r>
              <m:t>i</m:t>
            </m:r>
            <m:r>
              <m:t>n</m:t>
            </m:r>
            <m:r>
              <m:t>v</m:t>
            </m:r>
          </m:sub>
        </m:sSub>
        <m:r>
          <m:t>e</m:t>
        </m:r>
      </m:oMath>
      <w:r>
        <w:t xml:space="preserve"> </w:t>
      </w:r>
      <w:r>
        <w:t xml:space="preserve">of dimensions</w:t>
      </w:r>
      <w:r>
        <w:t xml:space="preserve"> </w:t>
      </w:r>
      <m:oMath>
        <m:r>
          <m:t>n</m:t>
        </m:r>
        <m:r>
          <m:rPr>
            <m:sty m:val="p"/>
          </m:rPr>
          <m:t>×</m:t>
        </m:r>
        <m:r>
          <m:t>1</m:t>
        </m:r>
      </m:oMath>
      <w:r>
        <w:t xml:space="preserve">. This is inverse-covariance weighting; it does not by itself produce unit-variance independent residuals. Multiplication by</w:t>
      </w:r>
      <w:r>
        <w:t xml:space="preserve"> </w:t>
      </w:r>
      <m:oMath>
        <m:sSubSup>
          <m:e>
            <m:r>
              <m:t>V</m:t>
            </m:r>
          </m:e>
          <m:sub>
            <m:r>
              <m:t>c</m:t>
            </m:r>
            <m:r>
              <m:t>r</m:t>
            </m:r>
            <m:r>
              <m:t>o</m:t>
            </m:r>
            <m:r>
              <m:t>s</m:t>
            </m:r>
            <m:r>
              <m:t>s</m:t>
            </m:r>
          </m:sub>
          <m:sup>
            <m:r>
              <m:t>T</m:t>
            </m:r>
          </m:sup>
        </m:sSubSup>
      </m:oMath>
      <w:r>
        <w:t xml:space="preserve"> </w:t>
      </w:r>
      <w:r>
        <w:t xml:space="preserve">projects these weighted residuals onto the fossil occurrences. The correction depends jointly on their covariances with all training taxa and on the training residuals, yielding an</w:t>
      </w:r>
      <w:r>
        <w:t xml:space="preserve"> </w:t>
      </w:r>
      <m:oMath>
        <m:r>
          <m:t>m</m:t>
        </m:r>
        <m:r>
          <m:rPr>
            <m:sty m:val="p"/>
          </m:rPr>
          <m:t>×</m:t>
        </m:r>
        <m:r>
          <m:t>1</m:t>
        </m:r>
      </m:oMath>
      <w:r>
        <w:t xml:space="preserve"> </w:t>
      </w:r>
      <w:r>
        <w:t xml:space="preserve">adjustment vector.</w:t>
      </w:r>
    </w:p>
    <w:p>
      <w:pPr>
        <w:pStyle w:val="BodyText"/>
      </w:pPr>
      <w:r>
        <w:t xml:space="preserve">The two components are then added together to yield</w:t>
      </w:r>
      <w:r>
        <w:t xml:space="preserve"> </w:t>
      </w:r>
      <m:oMath>
        <m:acc>
          <m:accPr>
            <m:chr m:val="̂"/>
          </m:accPr>
          <m:e>
            <m:r>
              <m:t>y</m:t>
            </m:r>
          </m:e>
        </m:acc>
        <m:r>
          <m:rPr>
            <m:sty m:val="p"/>
          </m:rPr>
          <m:t>=</m:t>
        </m:r>
        <m:r>
          <m:t>X</m:t>
        </m:r>
        <m:r>
          <m:t>β</m:t>
        </m:r>
        <m:r>
          <m:rPr>
            <m:sty m:val="p"/>
          </m:rPr>
          <m:t>+</m:t>
        </m:r>
        <m:sSubSup>
          <m:e>
            <m:r>
              <m:t>V</m:t>
            </m:r>
          </m:e>
          <m:sub>
            <m:r>
              <m:t>c</m:t>
            </m:r>
            <m:r>
              <m:t>r</m:t>
            </m:r>
            <m:r>
              <m:t>o</m:t>
            </m:r>
            <m:r>
              <m:t>s</m:t>
            </m:r>
            <m:r>
              <m:t>s</m:t>
            </m:r>
          </m:sub>
          <m:sup>
            <m:r>
              <m:t>T</m:t>
            </m:r>
          </m:sup>
        </m:sSubSup>
        <m:sSub>
          <m:e>
            <m:r>
              <m:t>V</m:t>
            </m:r>
          </m:e>
          <m:sub>
            <m:r>
              <m:t>i</m:t>
            </m:r>
            <m:r>
              <m:t>n</m:t>
            </m:r>
            <m:r>
              <m:t>v</m:t>
            </m:r>
          </m:sub>
        </m:sSub>
        <m:r>
          <m:t>e</m:t>
        </m:r>
      </m:oMath>
      <w:r>
        <w:t xml:space="preserve">, an</w:t>
      </w:r>
      <w:r>
        <w:t xml:space="preserve"> </w:t>
      </w:r>
      <m:oMath>
        <m:r>
          <m:t>m</m:t>
        </m:r>
        <m:r>
          <m:rPr>
            <m:sty m:val="p"/>
          </m:rPr>
          <m:t>×</m:t>
        </m:r>
        <m:r>
          <m:t>1</m:t>
        </m:r>
      </m:oMath>
      <w:r>
        <w:t xml:space="preserve"> </w:t>
      </w:r>
      <w:r>
        <w:t xml:space="preserve">vector of predictions. For MAP, log predictions are averaged within each site and then exponentiated, giving the geometric mean of occurrence predictions. Validation scores the same mean log prediction. The retained LMA workflow back-transforms before arithmetic site averaging.</w:t>
      </w:r>
    </w:p>
    <w:p>
      <w:pPr>
        <w:pStyle w:val="BodyText"/>
      </w:pPr>
      <w:r>
        <w:t xml:space="preserve">This framework is applied to three targets: MAT (°C), log(MAP) (log cm), and log₁₀(LMA) (log₁₀ g m⁻²). For MAT and MAP, twelve fossil-measurable leaf traits serve as predictors and separate PGLS models are fitted for each target; the MAP model exponentiates the site-mean log prediction, while the retained LMA workflow applies</w:t>
      </w:r>
      <w:r>
        <w:t xml:space="preserve"> </w:t>
      </w:r>
      <m:oMath>
        <m:sSup>
          <m:e>
            <m:r>
              <m:t>10</m:t>
            </m:r>
          </m:e>
          <m:sup>
            <m:acc>
              <m:accPr>
                <m:chr m:val="̂"/>
              </m:accPr>
              <m:e>
                <m:r>
                  <m:t>y</m:t>
                </m:r>
              </m:e>
            </m:acc>
          </m:sup>
        </m:sSup>
      </m:oMath>
      <w:r>
        <w:t xml:space="preserve"> </w:t>
      </w:r>
      <w:r>
        <w:t xml:space="preserve">before site averaging. For LMA, the single predictor is</w:t>
      </w:r>
      <w:r>
        <w:t xml:space="preserve"> </w:t>
      </w:r>
      <m:oMath>
        <m:sSub>
          <m:e>
            <m:r>
              <m:rPr>
                <m:sty m:val="p"/>
              </m:rPr>
              <m:t>log</m:t>
            </m:r>
          </m:e>
          <m:sub>
            <m:r>
              <m:t>10</m:t>
            </m:r>
          </m:sub>
        </m:sSub>
        <m:r>
          <m:rPr>
            <m:sty m:val="p"/>
          </m:rPr>
          <m:t>(</m:t>
        </m:r>
        <m:sSup>
          <m:e>
            <m:r>
              <m:rPr>
                <m:nor/>
                <m:sty m:val="p"/>
              </m:rPr>
              <m:t>PW</m:t>
            </m:r>
          </m:e>
          <m:sup>
            <m:r>
              <m:t>2</m:t>
            </m:r>
          </m:sup>
        </m:sSup>
        <m:r>
          <m:rPr>
            <m:sty m:val="p"/>
          </m:rPr>
          <m:t>/</m:t>
        </m:r>
        <m:r>
          <m:t>A</m:t>
        </m:r>
        <m:r>
          <m:rPr>
            <m:sty m:val="p"/>
          </m:rPr>
          <m:t>)</m:t>
        </m:r>
      </m:oMath>
      <w:r>
        <w:t xml:space="preserve"> </w:t>
      </w:r>
      <w:r>
        <w:t xml:space="preserve">(petiole width squared divided by blade area), following Dana Royer (pers. comm.). This PGLS implementation uses one row per extant operational taxon and fits grand means across training sites; that is a modelling choice, not a universal requirement of phylogenetic methods. This averages away within-species cross-site variation during fitting; held-out and fossil prediction rows instead use within-site means. For the climate models, fossil occurrences are placed separately at their reported site ages, using formal genus, family, and order names in the primary analysis. Quoted ranks are excluded from primary placement and included only in a sensitivity analysis. Consequently, occurrences of the same reported species can receive different phylogenetic adjustments when their placement ages differ.</w:t>
      </w:r>
    </w:p>
    <w:bookmarkStart w:id="13" w:name="worked-example"/>
    <w:p>
      <w:pPr>
        <w:pStyle w:val="Heading1"/>
      </w:pPr>
      <w:r>
        <w:t xml:space="preserve">Worked example</w:t>
      </w:r>
    </w:p>
    <w:p>
      <w:pPr>
        <w:pStyle w:val="FirstParagraph"/>
      </w:pPr>
      <w:r>
        <w:t xml:space="preserve">This example calculates a Phylogenetically-Informed Prediction (PIP) for the Mean Annual Temperature (MAT) of a single fossil species.</w:t>
      </w:r>
    </w:p>
    <w:p>
      <w:pPr>
        <w:pStyle w:val="BodyText"/>
      </w:pPr>
      <w:r>
        <w:t xml:space="preserve">Assume the biological trait measured is the proportion of leaves with toothed margins, designated as Tooth Proportion (TP).</w:t>
      </w:r>
    </w:p>
    <w:p>
      <w:pPr>
        <w:pStyle w:val="BodyText"/>
      </w:pPr>
      <w:r>
        <w:t xml:space="preserve">For simplicity, assume Pagel’s</w:t>
      </w:r>
      <w:r>
        <w:t xml:space="preserve"> </w:t>
      </w:r>
      <m:oMath>
        <m:r>
          <m:t>λ</m:t>
        </m:r>
        <m:r>
          <m:rPr>
            <m:sty m:val="p"/>
          </m:rPr>
          <m:t>=</m:t>
        </m:r>
        <m:r>
          <m:t>1</m:t>
        </m:r>
      </m:oMath>
      <w:r>
        <w:t xml:space="preserve">, so</w:t>
      </w:r>
      <w:r>
        <w:t xml:space="preserve"> </w:t>
      </w:r>
      <m:oMath>
        <m:sSub>
          <m:e>
            <m:r>
              <m:t>V</m:t>
            </m:r>
          </m:e>
          <m:sub>
            <m:r>
              <m:t>c</m:t>
            </m:r>
            <m:r>
              <m:t>r</m:t>
            </m:r>
            <m:r>
              <m:t>o</m:t>
            </m:r>
            <m:r>
              <m:t>s</m:t>
            </m:r>
            <m:r>
              <m:t>s</m:t>
            </m:r>
          </m:sub>
        </m:sSub>
      </m:oMath>
      <w:r>
        <w:t xml:space="preserve"> </w:t>
      </w:r>
      <w:r>
        <w:t xml:space="preserve">and</w:t>
      </w:r>
      <w:r>
        <w:t xml:space="preserve"> </w:t>
      </w:r>
      <m:oMath>
        <m:sSub>
          <m:e>
            <m:r>
              <m:t>V</m:t>
            </m:r>
          </m:e>
          <m:sub>
            <m:r>
              <m:t>i</m:t>
            </m:r>
            <m:r>
              <m:t>n</m:t>
            </m:r>
            <m:r>
              <m:t>v</m:t>
            </m:r>
          </m:sub>
        </m:sSub>
      </m:oMath>
      <w:r>
        <w:t xml:space="preserve"> </w:t>
      </w:r>
      <w:r>
        <w:t xml:space="preserve">are unscaled (scaling by</w:t>
      </w:r>
      <w:r>
        <w:t xml:space="preserve"> </w:t>
      </w:r>
      <m:oMath>
        <m:r>
          <m:t>λ</m:t>
        </m:r>
      </m:oMath>
      <w:r>
        <w:t xml:space="preserve"> </w:t>
      </w:r>
      <w:r>
        <w:t xml:space="preserve">would multiply</w:t>
      </w:r>
      <w:r>
        <w:t xml:space="preserve"> </w:t>
      </w:r>
      <m:oMath>
        <m:sSub>
          <m:e>
            <m:r>
              <m:t>V</m:t>
            </m:r>
          </m:e>
          <m:sub>
            <m:r>
              <m:t>c</m:t>
            </m:r>
            <m:r>
              <m:t>r</m:t>
            </m:r>
            <m:r>
              <m:t>o</m:t>
            </m:r>
            <m:r>
              <m:t>s</m:t>
            </m:r>
            <m:r>
              <m:t>s</m:t>
            </m:r>
          </m:sub>
        </m:sSub>
      </m:oMath>
      <w:r>
        <w:t xml:space="preserve"> </w:t>
      </w:r>
      <w:r>
        <w:t xml:space="preserve">entry-wise by</w:t>
      </w:r>
      <w:r>
        <w:t xml:space="preserve"> </w:t>
      </w:r>
      <m:oMath>
        <m:r>
          <m:t>λ</m:t>
        </m:r>
      </m:oMath>
      <w:r>
        <w:t xml:space="preserve"> </w:t>
      </w:r>
      <w:r>
        <w:t xml:space="preserve">and replace</w:t>
      </w:r>
      <w:r>
        <w:t xml:space="preserve"> </w:t>
      </w:r>
      <m:oMath>
        <m:r>
          <m:t>V</m:t>
        </m:r>
      </m:oMath>
      <w:r>
        <w:t xml:space="preserve"> </w:t>
      </w:r>
      <w:r>
        <w:t xml:space="preserve">with</w:t>
      </w:r>
      <w:r>
        <w:t xml:space="preserve"> </w:t>
      </w:r>
      <m:oMath>
        <m:sSub>
          <m:e>
            <m:r>
              <m:t>V</m:t>
            </m:r>
          </m:e>
          <m:sub>
            <m:r>
              <m:t>l</m:t>
            </m:r>
            <m:r>
              <m:t>a</m:t>
            </m:r>
            <m:r>
              <m:t>m</m:t>
            </m:r>
          </m:sub>
        </m:sSub>
      </m:oMath>
      <w:r>
        <w:t xml:space="preserve"> </w:t>
      </w:r>
      <w:r>
        <w:t xml:space="preserve">before inversion).</w:t>
      </w:r>
    </w:p>
    <w:bookmarkStart w:id="9" w:name="initial-parameters-and-data"/>
    <w:p>
      <w:pPr>
        <w:pStyle w:val="Heading2"/>
      </w:pPr>
      <w:r>
        <w:t xml:space="preserve">1. Initial Parameters and Data</w:t>
      </w:r>
    </w:p>
    <w:p>
      <w:pPr>
        <w:pStyle w:val="FirstParagraph"/>
      </w:pPr>
      <w:r>
        <w:rPr>
          <w:b/>
          <w:bCs/>
        </w:rPr>
        <w:t xml:space="preserve">Modern Species Data</w:t>
      </w:r>
    </w:p>
    <w:p>
      <w:pPr>
        <w:pStyle w:val="BodyText"/>
      </w:pPr>
      <w:r>
        <w:t xml:space="preserve">There are two extant (modern) species, A and B. Their exact environmental MAT and leaf trait (TP) values are known.</w:t>
      </w:r>
    </w:p>
    <w:p>
      <w:pPr>
        <w:pStyle w:val="Compact"/>
        <w:numPr>
          <w:ilvl w:val="0"/>
          <w:numId w:val="1001"/>
        </w:numPr>
      </w:pPr>
      <w:r>
        <w:rPr>
          <w:b/>
          <w:bCs/>
        </w:rPr>
        <w:t xml:space="preserve">Species A:</w:t>
      </w:r>
      <w:r>
        <w:t xml:space="preserve"> </w:t>
      </w:r>
      <m:oMath>
        <m:r>
          <m:rPr>
            <m:nor/>
            <m:sty m:val="p"/>
          </m:rPr>
          <m:t>TP</m:t>
        </m:r>
        <m:r>
          <m:rPr>
            <m:sty m:val="p"/>
          </m:rPr>
          <m:t>=</m:t>
        </m:r>
        <m:r>
          <m:t>0.8</m:t>
        </m:r>
      </m:oMath>
      <w:r>
        <w:t xml:space="preserve">,</w:t>
      </w:r>
      <w:r>
        <w:t xml:space="preserve"> </w:t>
      </w:r>
      <m:oMath>
        <m:r>
          <m:rPr>
            <m:nor/>
            <m:sty m:val="p"/>
          </m:rPr>
          <m:t>MAT</m:t>
        </m:r>
        <m:r>
          <m:rPr>
            <m:sty m:val="p"/>
          </m:rPr>
          <m:t>=</m:t>
        </m:r>
        <m:sSup>
          <m:e>
            <m:r>
              <m:t>10</m:t>
            </m:r>
          </m:e>
          <m:sup>
            <m:r>
              <m:rPr>
                <m:sty m:val="p"/>
              </m:rPr>
              <m:t>∘</m:t>
            </m:r>
          </m:sup>
        </m:sSup>
        <m:r>
          <m:rPr>
            <m:nor/>
            <m:sty m:val="p"/>
          </m:rPr>
          <m:t>C</m:t>
        </m:r>
      </m:oMath>
    </w:p>
    <w:p>
      <w:pPr>
        <w:pStyle w:val="Compact"/>
        <w:numPr>
          <w:ilvl w:val="0"/>
          <w:numId w:val="1001"/>
        </w:numPr>
      </w:pPr>
      <w:r>
        <w:rPr>
          <w:b/>
          <w:bCs/>
        </w:rPr>
        <w:t xml:space="preserve">Species B:</w:t>
      </w:r>
      <w:r>
        <w:t xml:space="preserve"> </w:t>
      </w:r>
      <m:oMath>
        <m:r>
          <m:rPr>
            <m:nor/>
            <m:sty m:val="p"/>
          </m:rPr>
          <m:t>TP</m:t>
        </m:r>
        <m:r>
          <m:rPr>
            <m:sty m:val="p"/>
          </m:rPr>
          <m:t>=</m:t>
        </m:r>
        <m:r>
          <m:t>0.2</m:t>
        </m:r>
      </m:oMath>
      <w:r>
        <w:t xml:space="preserve">,</w:t>
      </w:r>
      <w:r>
        <w:t xml:space="preserve"> </w:t>
      </w:r>
      <m:oMath>
        <m:r>
          <m:rPr>
            <m:nor/>
            <m:sty m:val="p"/>
          </m:rPr>
          <m:t>MAT</m:t>
        </m:r>
        <m:r>
          <m:rPr>
            <m:sty m:val="p"/>
          </m:rPr>
          <m:t>=</m:t>
        </m:r>
        <m:sSup>
          <m:e>
            <m:r>
              <m:t>20</m:t>
            </m:r>
          </m:e>
          <m:sup>
            <m:r>
              <m:rPr>
                <m:sty m:val="p"/>
              </m:rPr>
              <m:t>∘</m:t>
            </m:r>
          </m:sup>
        </m:sSup>
        <m:r>
          <m:rPr>
            <m:nor/>
            <m:sty m:val="p"/>
          </m:rPr>
          <m:t>C</m:t>
        </m:r>
      </m:oMath>
    </w:p>
    <w:p>
      <w:pPr>
        <w:pStyle w:val="FirstParagraph"/>
      </w:pPr>
      <w:r>
        <w:rPr>
          <w:b/>
          <w:bCs/>
        </w:rPr>
        <w:t xml:space="preserve">Fossil Species Data</w:t>
      </w:r>
    </w:p>
    <w:p>
      <w:pPr>
        <w:pStyle w:val="BodyText"/>
      </w:pPr>
      <w:r>
        <w:t xml:space="preserve">There is one fossil species, F. Its trait is measured from the fossil record, but its MAT is unknown.</w:t>
      </w:r>
    </w:p>
    <w:p>
      <w:pPr>
        <w:pStyle w:val="Compact"/>
        <w:numPr>
          <w:ilvl w:val="0"/>
          <w:numId w:val="1002"/>
        </w:numPr>
      </w:pPr>
      <w:r>
        <w:rPr>
          <w:b/>
          <w:bCs/>
        </w:rPr>
        <w:t xml:space="preserve">Species F:</w:t>
      </w:r>
      <w:r>
        <w:t xml:space="preserve"> </w:t>
      </w:r>
      <m:oMath>
        <m:r>
          <m:rPr>
            <m:nor/>
            <m:sty m:val="p"/>
          </m:rPr>
          <m:t>TP</m:t>
        </m:r>
        <m:r>
          <m:rPr>
            <m:sty m:val="p"/>
          </m:rPr>
          <m:t>=</m:t>
        </m:r>
        <m:r>
          <m:t>0.5</m:t>
        </m:r>
      </m:oMath>
      <w:r>
        <w:t xml:space="preserve">,</w:t>
      </w:r>
      <w:r>
        <w:t xml:space="preserve"> </w:t>
      </w:r>
      <m:oMath>
        <m:r>
          <m:rPr>
            <m:nor/>
            <m:sty m:val="p"/>
          </m:rPr>
          <m:t>MAT</m:t>
        </m:r>
        <m:r>
          <m:rPr>
            <m:sty m:val="p"/>
          </m:rPr>
          <m:t>=</m:t>
        </m:r>
        <m:r>
          <m:rPr>
            <m:sty m:val="p"/>
          </m:rPr>
          <m:t>?</m:t>
        </m:r>
      </m:oMath>
    </w:p>
    <w:p>
      <w:pPr>
        <w:pStyle w:val="FirstParagraph"/>
      </w:pPr>
      <w:r>
        <w:rPr>
          <w:b/>
          <w:bCs/>
        </w:rPr>
        <w:t xml:space="preserve">The Regression Model (</w:t>
      </w:r>
      <m:oMath>
        <m:r>
          <m:t>β</m:t>
        </m:r>
      </m:oMath>
      <w:r>
        <w:rPr>
          <w:b/>
          <w:bCs/>
        </w:rPr>
        <w:t xml:space="preserve">)</w:t>
      </w:r>
    </w:p>
    <w:p>
      <w:pPr>
        <w:pStyle w:val="BodyText"/>
      </w:pPr>
      <w:r>
        <w:t xml:space="preserve">Take the PGLS coefficients as given for this illustration: intercept = 25 and slope = -15. (In the actual pipeline,</w:t>
      </w:r>
      <w:r>
        <w:t xml:space="preserve"> </w:t>
      </w:r>
      <m:oMath>
        <m:r>
          <m:t>β</m:t>
        </m:r>
      </m:oMath>
      <w:r>
        <w:t xml:space="preserve"> </w:t>
      </w:r>
      <w:r>
        <w:t xml:space="preserve">comes from</w:t>
      </w:r>
      <w:r>
        <w:t xml:space="preserve"> </w:t>
      </w:r>
      <w:r>
        <w:rPr>
          <w:rStyle w:val="VerbatimChar"/>
        </w:rPr>
        <w:t xml:space="preserve">pglmEstLambda()</w:t>
      </w:r>
      <w:r>
        <w:t xml:space="preserve"> </w:t>
      </w:r>
      <w:r>
        <w:t xml:space="preserve">fit on the full extant species dataset; here we just adopt fixed values so the rest of the algebra is concrete.)</w:t>
      </w:r>
    </w:p>
    <w:p>
      <w:pPr>
        <w:pStyle w:val="BodyText"/>
      </w:pPr>
      <m:oMathPara>
        <m:oMathParaPr>
          <m:jc m:val="center"/>
        </m:oMathParaPr>
        <m:oMath>
          <m:r>
            <m:t>β</m:t>
          </m:r>
          <m:r>
            <m:rPr>
              <m:sty m:val="p"/>
            </m:rPr>
            <m:t>=</m:t>
          </m:r>
          <m:d>
            <m:dPr>
              <m:begChr m:val="["/>
              <m:sepChr m:val=""/>
              <m:endChr m:val="]"/>
              <m:grow/>
            </m:dPr>
            <m:e>
              <m:m>
                <m:mPr>
                  <m:baseJc m:val="center"/>
                  <m:plcHide m:val="on"/>
                  <m:mcs>
                    <m:mc>
                      <m:mcPr>
                        <m:mcJc m:val="center"/>
                        <m:count m:val="1"/>
                      </m:mcPr>
                    </m:mc>
                  </m:mcs>
                </m:mPr>
                <m:mr>
                  <m:e>
                    <m:r>
                      <m:t>25</m:t>
                    </m:r>
                  </m:e>
                </m:mr>
                <m:mr>
                  <m:e>
                    <m:r>
                      <m:rPr>
                        <m:sty m:val="p"/>
                      </m:rPr>
                      <m:t>−</m:t>
                    </m:r>
                    <m:r>
                      <m:t>15</m:t>
                    </m:r>
                  </m:e>
                </m:mr>
              </m:m>
            </m:e>
          </m:d>
        </m:oMath>
      </m:oMathPara>
    </w:p>
    <w:bookmarkEnd w:id="9"/>
    <w:bookmarkStart w:id="10" w:name="X17ea13a5eb3eaca27ca7aa984dfd0272099c6b5"/>
    <w:p>
      <w:pPr>
        <w:pStyle w:val="Heading2"/>
      </w:pPr>
      <w:r>
        <w:t xml:space="preserve">2. Computing the Trait-Based Prediction (</w:t>
      </w:r>
      <m:oMath>
        <m:r>
          <m:t>X</m:t>
        </m:r>
        <m:r>
          <m:t>β</m:t>
        </m:r>
      </m:oMath>
      <w:r>
        <w:t xml:space="preserve">)</w:t>
      </w:r>
    </w:p>
    <w:p>
      <w:pPr>
        <w:pStyle w:val="FirstParagraph"/>
      </w:pPr>
      <w:r>
        <w:t xml:space="preserve">The design matrix</w:t>
      </w:r>
      <w:r>
        <w:t xml:space="preserve"> </w:t>
      </w:r>
      <m:oMath>
        <m:r>
          <m:t>X</m:t>
        </m:r>
      </m:oMath>
      <w:r>
        <w:t xml:space="preserve"> </w:t>
      </w:r>
      <w:r>
        <w:t xml:space="preserve">for the fossil species contains a column for the intercept (always 1) and a column for the measured trait (TP = 0.5).</w:t>
      </w:r>
    </w:p>
    <w:p>
      <w:pPr>
        <w:pStyle w:val="BodyText"/>
      </w:pPr>
      <m:oMathPara>
        <m:oMathParaPr>
          <m:jc m:val="center"/>
        </m:oMathParaPr>
        <m:oMath>
          <m: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0.5</m:t>
                    </m:r>
                  </m:e>
                </m:mr>
              </m:m>
            </m:e>
          </m:d>
        </m:oMath>
      </m:oMathPara>
    </w:p>
    <w:p>
      <w:pPr>
        <w:pStyle w:val="FirstParagraph"/>
      </w:pPr>
      <w:r>
        <w:t xml:space="preserve">The expected MAT based strictly on the fossil’s physical morphology is calculated via matrix multiplication:</w:t>
      </w:r>
    </w:p>
    <w:p>
      <w:pPr>
        <w:pStyle w:val="BodyText"/>
      </w:pPr>
      <m:oMathPara>
        <m:oMathParaPr>
          <m:jc m:val="center"/>
        </m:oMathParaPr>
        <m:oMath>
          <m:r>
            <m:t>X</m:t>
          </m:r>
          <m:r>
            <m:t>β</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0.5</m:t>
                    </m:r>
                  </m:e>
                </m:mr>
              </m:m>
            </m:e>
          </m:d>
          <m:d>
            <m:dPr>
              <m:begChr m:val="["/>
              <m:sepChr m:val=""/>
              <m:endChr m:val="]"/>
              <m:grow/>
            </m:dPr>
            <m:e>
              <m:m>
                <m:mPr>
                  <m:baseJc m:val="center"/>
                  <m:plcHide m:val="on"/>
                  <m:mcs>
                    <m:mc>
                      <m:mcPr>
                        <m:mcJc m:val="center"/>
                        <m:count m:val="1"/>
                      </m:mcPr>
                    </m:mc>
                  </m:mcs>
                </m:mPr>
                <m:mr>
                  <m:e>
                    <m:r>
                      <m:t>25</m:t>
                    </m:r>
                  </m:e>
                </m:mr>
                <m:mr>
                  <m:e>
                    <m:r>
                      <m:rPr>
                        <m:sty m:val="p"/>
                      </m:rPr>
                      <m:t>−</m:t>
                    </m:r>
                    <m:r>
                      <m:t>15</m:t>
                    </m:r>
                  </m:e>
                </m:mr>
              </m:m>
            </m:e>
          </m:d>
          <m:r>
            <m:rPr>
              <m:sty m:val="p"/>
            </m:rPr>
            <m:t>=</m:t>
          </m:r>
          <m:r>
            <m:rPr>
              <m:sty m:val="p"/>
            </m:rPr>
            <m:t>(</m:t>
          </m:r>
          <m:r>
            <m:t>1</m:t>
          </m:r>
          <m:r>
            <m:rPr>
              <m:sty m:val="p"/>
            </m:rPr>
            <m:t>×</m:t>
          </m:r>
          <m:r>
            <m:t>25</m:t>
          </m:r>
          <m:r>
            <m:rPr>
              <m:sty m:val="p"/>
            </m:rPr>
            <m:t>)</m:t>
          </m:r>
          <m:r>
            <m:rPr>
              <m:sty m:val="p"/>
            </m:rPr>
            <m:t>+</m:t>
          </m:r>
          <m:r>
            <m:rPr>
              <m:sty m:val="p"/>
            </m:rPr>
            <m:t>(</m:t>
          </m:r>
          <m:r>
            <m:t>0.5</m:t>
          </m:r>
          <m:r>
            <m:rPr>
              <m:sty m:val="p"/>
            </m:rPr>
            <m:t>×</m:t>
          </m:r>
          <m:r>
            <m:rPr>
              <m:sty m:val="p"/>
            </m:rPr>
            <m:t>−</m:t>
          </m:r>
          <m:r>
            <m:t>15</m:t>
          </m:r>
          <m:r>
            <m:rPr>
              <m:sty m:val="p"/>
            </m:rPr>
            <m:t>)</m:t>
          </m:r>
          <m:r>
            <m:rPr>
              <m:sty m:val="p"/>
            </m:rPr>
            <m:t>=</m:t>
          </m:r>
          <m:sSup>
            <m:e>
              <m:r>
                <m:t>17.5</m:t>
              </m:r>
            </m:e>
            <m:sup>
              <m:r>
                <m:rPr>
                  <m:sty m:val="p"/>
                </m:rPr>
                <m:t>∘</m:t>
              </m:r>
            </m:sup>
          </m:sSup>
          <m:r>
            <m:rPr>
              <m:nor/>
              <m:sty m:val="p"/>
            </m:rPr>
            <m:t>C</m:t>
          </m:r>
        </m:oMath>
      </m:oMathPara>
    </w:p>
    <w:p>
      <w:pPr>
        <w:pStyle w:val="FirstParagraph"/>
      </w:pPr>
      <w:r>
        <w:t xml:space="preserve">If evolutionary history is ignored, the predicted MAT for Fossil F is 17.5°C.</w:t>
      </w:r>
    </w:p>
    <w:bookmarkEnd w:id="10"/>
    <w:bookmarkStart w:id="11" w:name="X37ff28fc8a3ffd10d08723829bf2d067d3c2ce5"/>
    <w:p>
      <w:pPr>
        <w:pStyle w:val="Heading2"/>
      </w:pPr>
      <w:r>
        <w:t xml:space="preserve">3. Computing the Phylogenetic Adjustment (</w:t>
      </w:r>
      <m:oMath>
        <m:sSubSup>
          <m:e>
            <m:r>
              <m:t>V</m:t>
            </m:r>
          </m:e>
          <m:sub>
            <m:r>
              <m:t>c</m:t>
            </m:r>
            <m:r>
              <m:t>r</m:t>
            </m:r>
            <m:r>
              <m:t>o</m:t>
            </m:r>
            <m:r>
              <m:t>s</m:t>
            </m:r>
            <m:r>
              <m:t>s</m:t>
            </m:r>
          </m:sub>
          <m:sup>
            <m:r>
              <m:t>T</m:t>
            </m:r>
          </m:sup>
        </m:sSubSup>
        <m:sSub>
          <m:e>
            <m:r>
              <m:t>V</m:t>
            </m:r>
          </m:e>
          <m:sub>
            <m:r>
              <m:t>i</m:t>
            </m:r>
            <m:r>
              <m:t>n</m:t>
            </m:r>
            <m:r>
              <m:t>v</m:t>
            </m:r>
          </m:sub>
        </m:sSub>
        <m:r>
          <m:t>e</m:t>
        </m:r>
      </m:oMath>
      <w:r>
        <w:t xml:space="preserve">)</w:t>
      </w:r>
    </w:p>
    <w:p>
      <w:pPr>
        <w:pStyle w:val="FirstParagraph"/>
      </w:pPr>
      <w:r>
        <w:t xml:space="preserve">To adjust the 17.5°C prediction, the model calculates the error in the modern species and applies it to the fossil species based on their evolutionary relatedness.</w:t>
      </w:r>
    </w:p>
    <w:p>
      <w:pPr>
        <w:pStyle w:val="BodyText"/>
      </w:pPr>
      <w:r>
        <w:rPr>
          <w:b/>
          <w:bCs/>
        </w:rPr>
        <w:t xml:space="preserve">Step 3a: Calculate Modern Residuals (</w:t>
      </w:r>
      <m:oMath>
        <m:r>
          <m:t>e</m:t>
        </m:r>
      </m:oMath>
      <w:r>
        <w:rPr>
          <w:b/>
          <w:bCs/>
        </w:rPr>
        <w:t xml:space="preserve">)</w:t>
      </w:r>
    </w:p>
    <w:p>
      <w:pPr>
        <w:pStyle w:val="BodyText"/>
      </w:pPr>
      <w:r>
        <w:t xml:space="preserve">First, calculate the base trait prediction for the modern species using the same</w:t>
      </w:r>
      <w:r>
        <w:t xml:space="preserve"> </w:t>
      </w:r>
      <m:oMath>
        <m:r>
          <m:t>β</m:t>
        </m:r>
      </m:oMath>
      <w:r>
        <w:t xml:space="preserve"> </w:t>
      </w:r>
      <w:r>
        <w:t xml:space="preserve">coefficients.</w:t>
      </w:r>
    </w:p>
    <w:p>
      <w:pPr>
        <w:pStyle w:val="Compact"/>
        <w:numPr>
          <w:ilvl w:val="0"/>
          <w:numId w:val="1003"/>
        </w:numPr>
      </w:pPr>
      <w:r>
        <w:t xml:space="preserve">Predicted</w:t>
      </w:r>
      <w:r>
        <w:t xml:space="preserve"> </w:t>
      </w:r>
      <m:oMath>
        <m:sSub>
          <m:e>
            <m:r>
              <m:rPr>
                <m:nor/>
                <m:sty m:val="p"/>
              </m:rPr>
              <m:t>MAT</m:t>
            </m:r>
          </m:e>
          <m:sub>
            <m:r>
              <m:t>A</m:t>
            </m:r>
          </m:sub>
        </m:sSub>
        <m:r>
          <m:rPr>
            <m:sty m:val="p"/>
          </m:rPr>
          <m:t>=</m:t>
        </m:r>
        <m:r>
          <m:t>25</m:t>
        </m:r>
        <m:r>
          <m:rPr>
            <m:sty m:val="p"/>
          </m:rPr>
          <m:t>−</m:t>
        </m:r>
        <m:r>
          <m:t>15</m:t>
        </m:r>
        <m:r>
          <m:rPr>
            <m:sty m:val="p"/>
          </m:rPr>
          <m:t>(</m:t>
        </m:r>
        <m:r>
          <m:t>0.8</m:t>
        </m:r>
        <m:r>
          <m:rPr>
            <m:sty m:val="p"/>
          </m:rPr>
          <m:t>)</m:t>
        </m:r>
        <m:r>
          <m:rPr>
            <m:sty m:val="p"/>
          </m:rPr>
          <m:t>=</m:t>
        </m:r>
        <m:sSup>
          <m:e>
            <m:r>
              <m:t>13</m:t>
            </m:r>
          </m:e>
          <m:sup>
            <m:r>
              <m:rPr>
                <m:sty m:val="p"/>
              </m:rPr>
              <m:t>∘</m:t>
            </m:r>
          </m:sup>
        </m:sSup>
        <m:r>
          <m:rPr>
            <m:nor/>
            <m:sty m:val="p"/>
          </m:rPr>
          <m:t>C</m:t>
        </m:r>
      </m:oMath>
    </w:p>
    <w:p>
      <w:pPr>
        <w:pStyle w:val="Compact"/>
        <w:numPr>
          <w:ilvl w:val="0"/>
          <w:numId w:val="1003"/>
        </w:numPr>
      </w:pPr>
      <w:r>
        <w:t xml:space="preserve">Predicted</w:t>
      </w:r>
      <w:r>
        <w:t xml:space="preserve"> </w:t>
      </w:r>
      <m:oMath>
        <m:sSub>
          <m:e>
            <m:r>
              <m:rPr>
                <m:nor/>
                <m:sty m:val="p"/>
              </m:rPr>
              <m:t>MAT</m:t>
            </m:r>
          </m:e>
          <m:sub>
            <m:r>
              <m:t>B</m:t>
            </m:r>
          </m:sub>
        </m:sSub>
        <m:r>
          <m:rPr>
            <m:sty m:val="p"/>
          </m:rPr>
          <m:t>=</m:t>
        </m:r>
        <m:r>
          <m:t>25</m:t>
        </m:r>
        <m:r>
          <m:rPr>
            <m:sty m:val="p"/>
          </m:rPr>
          <m:t>−</m:t>
        </m:r>
        <m:r>
          <m:t>15</m:t>
        </m:r>
        <m:r>
          <m:rPr>
            <m:sty m:val="p"/>
          </m:rPr>
          <m:t>(</m:t>
        </m:r>
        <m:r>
          <m:t>0.2</m:t>
        </m:r>
        <m:r>
          <m:rPr>
            <m:sty m:val="p"/>
          </m:rPr>
          <m:t>)</m:t>
        </m:r>
        <m:r>
          <m:rPr>
            <m:sty m:val="p"/>
          </m:rPr>
          <m:t>=</m:t>
        </m:r>
        <m:sSup>
          <m:e>
            <m:r>
              <m:t>22</m:t>
            </m:r>
          </m:e>
          <m:sup>
            <m:r>
              <m:rPr>
                <m:sty m:val="p"/>
              </m:rPr>
              <m:t>∘</m:t>
            </m:r>
          </m:sup>
        </m:sSup>
        <m:r>
          <m:rPr>
            <m:nor/>
            <m:sty m:val="p"/>
          </m:rPr>
          <m:t>C</m:t>
        </m:r>
      </m:oMath>
    </w:p>
    <w:p>
      <w:pPr>
        <w:pStyle w:val="FirstParagraph"/>
      </w:pPr>
      <w:r>
        <w:t xml:space="preserve">The residual error (</w:t>
      </w:r>
      <m:oMath>
        <m:r>
          <m:t>e</m:t>
        </m:r>
      </m:oMath>
      <w:r>
        <w:t xml:space="preserve">) is the actual MAT minus the predicted MAT.</w:t>
      </w:r>
    </w:p>
    <w:p>
      <w:pPr>
        <w:pStyle w:val="Compact"/>
        <w:numPr>
          <w:ilvl w:val="0"/>
          <w:numId w:val="1004"/>
        </w:numPr>
      </w:pPr>
      <m:oMath>
        <m:sSub>
          <m:e>
            <m:r>
              <m:t>e</m:t>
            </m:r>
          </m:e>
          <m:sub>
            <m:r>
              <m:t>A</m:t>
            </m:r>
          </m:sub>
        </m:sSub>
        <m:r>
          <m:rPr>
            <m:sty m:val="p"/>
          </m:rPr>
          <m:t>=</m:t>
        </m:r>
        <m:r>
          <m:t>10</m:t>
        </m:r>
        <m:r>
          <m:rPr>
            <m:sty m:val="p"/>
          </m:rPr>
          <m:t>−</m:t>
        </m:r>
        <m:r>
          <m:t>13</m:t>
        </m:r>
        <m:r>
          <m:rPr>
            <m:sty m:val="p"/>
          </m:rPr>
          <m:t>=</m:t>
        </m:r>
        <m:r>
          <m:rPr>
            <m:sty m:val="p"/>
          </m:rPr>
          <m:t>−</m:t>
        </m:r>
        <m:r>
          <m:t>3</m:t>
        </m:r>
      </m:oMath>
    </w:p>
    <w:p>
      <w:pPr>
        <w:pStyle w:val="Compact"/>
        <w:numPr>
          <w:ilvl w:val="0"/>
          <w:numId w:val="1004"/>
        </w:numPr>
      </w:pPr>
      <m:oMath>
        <m:sSub>
          <m:e>
            <m:r>
              <m:t>e</m:t>
            </m:r>
          </m:e>
          <m:sub>
            <m:r>
              <m:t>B</m:t>
            </m:r>
          </m:sub>
        </m:sSub>
        <m:r>
          <m:rPr>
            <m:sty m:val="p"/>
          </m:rPr>
          <m:t>=</m:t>
        </m:r>
        <m:r>
          <m:t>20</m:t>
        </m:r>
        <m:r>
          <m:rPr>
            <m:sty m:val="p"/>
          </m:rPr>
          <m:t>−</m:t>
        </m:r>
        <m:r>
          <m:t>22</m:t>
        </m:r>
        <m:r>
          <m:rPr>
            <m:sty m:val="p"/>
          </m:rPr>
          <m:t>=</m:t>
        </m:r>
        <m:r>
          <m:rPr>
            <m:sty m:val="p"/>
          </m:rPr>
          <m:t>−</m:t>
        </m:r>
        <m:r>
          <m:t>2</m:t>
        </m:r>
      </m:oMath>
    </w:p>
    <w:p>
      <w:pPr>
        <w:pStyle w:val="FirstParagraph"/>
      </w:pPr>
      <m:oMathPara>
        <m:oMathParaPr>
          <m:jc m:val="center"/>
        </m:oMathParaPr>
        <m:oMath>
          <m:r>
            <m:t>e</m:t>
          </m:r>
          <m:r>
            <m:rPr>
              <m:sty m:val="p"/>
            </m:rPr>
            <m:t>=</m:t>
          </m:r>
          <m:d>
            <m:dPr>
              <m:begChr m:val="["/>
              <m:sepChr m:val=""/>
              <m:endChr m:val="]"/>
              <m:grow/>
            </m:dPr>
            <m:e>
              <m:m>
                <m:mPr>
                  <m:baseJc m:val="center"/>
                  <m:plcHide m:val="on"/>
                  <m:mcs>
                    <m:mc>
                      <m:mcPr>
                        <m:mcJc m:val="center"/>
                        <m:count m:val="1"/>
                      </m:mcPr>
                    </m:mc>
                  </m:mcs>
                </m:mPr>
                <m:mr>
                  <m:e>
                    <m:r>
                      <m:rPr>
                        <m:sty m:val="p"/>
                      </m:rPr>
                      <m:t>−</m:t>
                    </m:r>
                    <m:r>
                      <m:t>3</m:t>
                    </m:r>
                  </m:e>
                </m:mr>
                <m:mr>
                  <m:e>
                    <m:r>
                      <m:rPr>
                        <m:sty m:val="p"/>
                      </m:rPr>
                      <m:t>−</m:t>
                    </m:r>
                    <m:r>
                      <m:t>2</m:t>
                    </m:r>
                  </m:e>
                </m:mr>
              </m:m>
            </m:e>
          </m:d>
        </m:oMath>
      </m:oMathPara>
    </w:p>
    <w:p>
      <w:pPr>
        <w:pStyle w:val="FirstParagraph"/>
      </w:pPr>
      <w:r>
        <w:rPr>
          <w:b/>
          <w:bCs/>
        </w:rPr>
        <w:t xml:space="preserve">Step 3b: Define Evolutionary Relationships (</w:t>
      </w:r>
      <m:oMath>
        <m:r>
          <m:t>V</m:t>
        </m:r>
      </m:oMath>
      <w:r>
        <w:rPr>
          <w:b/>
          <w:bCs/>
        </w:rPr>
        <w:t xml:space="preserve"> </w:t>
      </w:r>
      <w:r>
        <w:rPr>
          <w:b/>
          <w:bCs/>
        </w:rPr>
        <w:t xml:space="preserve">and</w:t>
      </w:r>
      <w:r>
        <w:rPr>
          <w:b/>
          <w:bCs/>
        </w:rPr>
        <w:t xml:space="preserve"> </w:t>
      </w:r>
      <m:oMath>
        <m:sSub>
          <m:e>
            <m:r>
              <m:t>V</m:t>
            </m:r>
          </m:e>
          <m:sub>
            <m:r>
              <m:t>c</m:t>
            </m:r>
            <m:r>
              <m:t>r</m:t>
            </m:r>
            <m:r>
              <m:t>o</m:t>
            </m:r>
            <m:r>
              <m:t>s</m:t>
            </m:r>
            <m:r>
              <m:t>s</m:t>
            </m:r>
          </m:sub>
        </m:sSub>
      </m:oMath>
      <w:r>
        <w:rPr>
          <w:b/>
          <w:bCs/>
        </w:rPr>
        <w:t xml:space="preserve">)</w:t>
      </w:r>
    </w:p>
    <w:p>
      <w:pPr>
        <w:pStyle w:val="BodyText"/>
      </w:pPr>
      <w:r>
        <w:t xml:space="preserve">Assume the total height of the evolutionary tree from root to tip is 1.0 unit of time.</w:t>
      </w:r>
    </w:p>
    <w:p>
      <w:pPr>
        <w:pStyle w:val="Compact"/>
        <w:numPr>
          <w:ilvl w:val="0"/>
          <w:numId w:val="1005"/>
        </w:numPr>
      </w:pPr>
      <w:r>
        <w:t xml:space="preserve">Species A and B share an evolutionary branch for 0.4 units of time before diverging.</w:t>
      </w:r>
    </w:p>
    <w:p>
      <w:pPr>
        <w:pStyle w:val="Compact"/>
        <w:numPr>
          <w:ilvl w:val="0"/>
          <w:numId w:val="1005"/>
        </w:numPr>
      </w:pPr>
      <w:r>
        <w:t xml:space="preserve">Fossil F is closely related to Species A, sharing 0.7 units of time with A, but only 0.4 units of time with B.</w:t>
      </w:r>
    </w:p>
    <w:p>
      <w:pPr>
        <w:pStyle w:val="FirstParagraph"/>
      </w:pPr>
      <w:r>
        <w:t xml:space="preserve">The variance-covariance matrix for the modern species (</w:t>
      </w:r>
      <m:oMath>
        <m:r>
          <m:t>V</m:t>
        </m:r>
      </m:oMath>
      <w:r>
        <w:t xml:space="preserve">) and its inverse (</w:t>
      </w:r>
      <m:oMath>
        <m:sSub>
          <m:e>
            <m:r>
              <m:t>V</m:t>
            </m:r>
          </m:e>
          <m:sub>
            <m:r>
              <m:t>i</m:t>
            </m:r>
            <m:r>
              <m:t>n</m:t>
            </m:r>
            <m:r>
              <m:t>v</m:t>
            </m:r>
          </m:sub>
        </m:sSub>
      </m:oMath>
      <w:r>
        <w:t xml:space="preserve">) are:</w:t>
      </w:r>
    </w:p>
    <w:p>
      <w:pPr>
        <w:pStyle w:val="BodyText"/>
      </w:pPr>
      <m:oMathPara>
        <m:oMathParaPr>
          <m:jc m:val="center"/>
        </m:oMathParaPr>
        <m:oMath>
          <m:r>
            <m:t>V</m:t>
          </m:r>
          <m:r>
            <m:rPr>
              <m:sty m:val="p"/>
            </m:rPr>
            <m:t>=</m:t>
          </m:r>
          <m:d>
            <m:dPr>
              <m:begChr m:val="["/>
              <m:sepChr m:val=""/>
              <m:endChr m:val="]"/>
              <m:grow/>
            </m:dPr>
            <m:e>
              <m:m>
                <m:mPr>
                  <m:baseJc m:val="center"/>
                  <m:plcHide m:val="on"/>
                  <m:mcs>
                    <m:mc>
                      <m:mcPr>
                        <m:mcJc m:val="center"/>
                        <m:count m:val="1"/>
                      </m:mcPr>
                    </m:mc>
                    <m:mc>
                      <m:mcPr>
                        <m:mcJc m:val="center"/>
                        <m:count m:val="1"/>
                      </m:mcPr>
                    </m:mc>
                  </m:mcs>
                </m:mPr>
                <m:mr>
                  <m:e>
                    <m:r>
                      <m:t>1.0</m:t>
                    </m:r>
                  </m:e>
                  <m:e>
                    <m:r>
                      <m:t>0.4</m:t>
                    </m:r>
                  </m:e>
                </m:mr>
                <m:mr>
                  <m:e>
                    <m:r>
                      <m:t>0.4</m:t>
                    </m:r>
                  </m:e>
                  <m:e>
                    <m:r>
                      <m:t>1.0</m:t>
                    </m:r>
                  </m:e>
                </m:mr>
              </m:m>
            </m:e>
          </m:d>
        </m:oMath>
      </m:oMathPara>
    </w:p>
    <w:p>
      <w:pPr>
        <w:pStyle w:val="FirstParagraph"/>
      </w:pPr>
      <m:oMathPara>
        <m:oMathParaPr>
          <m:jc m:val="center"/>
        </m:oMathParaPr>
        <m:oMath>
          <m:sSub>
            <m:e>
              <m:r>
                <m:t>V</m:t>
              </m:r>
            </m:e>
            <m:sub>
              <m:r>
                <m:t>i</m:t>
              </m:r>
              <m:r>
                <m:t>n</m:t>
              </m:r>
              <m:r>
                <m:t>v</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1.19</m:t>
                    </m:r>
                  </m:e>
                  <m:e>
                    <m:r>
                      <m:rPr>
                        <m:sty m:val="p"/>
                      </m:rPr>
                      <m:t>−</m:t>
                    </m:r>
                    <m:r>
                      <m:t>0.48</m:t>
                    </m:r>
                  </m:e>
                </m:mr>
                <m:mr>
                  <m:e>
                    <m:r>
                      <m:rPr>
                        <m:sty m:val="p"/>
                      </m:rPr>
                      <m:t>−</m:t>
                    </m:r>
                    <m:r>
                      <m:t>0.48</m:t>
                    </m:r>
                  </m:e>
                  <m:e>
                    <m:r>
                      <m:t>1.19</m:t>
                    </m:r>
                  </m:e>
                </m:mr>
              </m:m>
            </m:e>
          </m:d>
        </m:oMath>
      </m:oMathPara>
    </w:p>
    <w:p>
      <w:pPr>
        <w:pStyle w:val="FirstParagraph"/>
      </w:pPr>
      <w:r>
        <w:t xml:space="preserve">The transposed cross-covariance matrix (</w:t>
      </w:r>
      <m:oMath>
        <m:sSubSup>
          <m:e>
            <m:r>
              <m:t>V</m:t>
            </m:r>
          </m:e>
          <m:sub>
            <m:r>
              <m:t>c</m:t>
            </m:r>
            <m:r>
              <m:t>r</m:t>
            </m:r>
            <m:r>
              <m:t>o</m:t>
            </m:r>
            <m:r>
              <m:t>s</m:t>
            </m:r>
            <m:r>
              <m:t>s</m:t>
            </m:r>
          </m:sub>
          <m:sup>
            <m:r>
              <m:t>T</m:t>
            </m:r>
          </m:sup>
        </m:sSubSup>
      </m:oMath>
      <w:r>
        <w:t xml:space="preserve">) linking the fossil to the modern species is:</w:t>
      </w:r>
    </w:p>
    <w:p>
      <w:pPr>
        <w:pStyle w:val="BodyText"/>
      </w:pPr>
      <m:oMathPara>
        <m:oMathParaPr>
          <m:jc m:val="center"/>
        </m:oMathParaPr>
        <m:oMath>
          <m:sSubSup>
            <m:e>
              <m:r>
                <m:t>V</m:t>
              </m:r>
            </m:e>
            <m:sub>
              <m:r>
                <m:t>c</m:t>
              </m:r>
              <m:r>
                <m:t>r</m:t>
              </m:r>
              <m:r>
                <m:t>o</m:t>
              </m:r>
              <m:r>
                <m:t>s</m:t>
              </m:r>
              <m:r>
                <m:t>s</m:t>
              </m:r>
            </m:sub>
            <m:sup>
              <m:r>
                <m:t>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0.7</m:t>
                    </m:r>
                  </m:e>
                  <m:e>
                    <m:r>
                      <m:t>0.4</m:t>
                    </m:r>
                  </m:e>
                </m:mr>
              </m:m>
            </m:e>
          </m:d>
        </m:oMath>
      </m:oMathPara>
    </w:p>
    <w:p>
      <w:pPr>
        <w:pStyle w:val="FirstParagraph"/>
      </w:pPr>
      <w:r>
        <w:rPr>
          <w:b/>
          <w:bCs/>
        </w:rPr>
        <w:t xml:space="preserve">Step 3c: Execute the Adjustment Algebra</w:t>
      </w:r>
    </w:p>
    <w:p>
      <w:pPr>
        <w:pStyle w:val="BodyText"/>
      </w:pPr>
      <w:r>
        <w:t xml:space="preserve">Multiply the inverse covariance matrix by the modern residuals to obtain covariance-weighted residuals.</w:t>
      </w:r>
    </w:p>
    <w:p>
      <w:pPr>
        <w:pStyle w:val="BodyText"/>
      </w:pPr>
      <m:oMathPara>
        <m:oMathParaPr>
          <m:jc m:val="center"/>
        </m:oMathParaPr>
        <m:oMath>
          <m:sSub>
            <m:e>
              <m:r>
                <m:t>V</m:t>
              </m:r>
            </m:e>
            <m:sub>
              <m:r>
                <m:t>i</m:t>
              </m:r>
              <m:r>
                <m:t>n</m:t>
              </m:r>
              <m:r>
                <m:t>v</m:t>
              </m:r>
            </m:sub>
          </m:sSub>
          <m:r>
            <m:t>e</m:t>
          </m:r>
          <m:r>
            <m:rPr>
              <m:sty m:val="p"/>
            </m:rPr>
            <m:t>=</m:t>
          </m:r>
          <m:d>
            <m:dPr>
              <m:begChr m:val="["/>
              <m:sepChr m:val=""/>
              <m:endChr m:val="]"/>
              <m:grow/>
            </m:dPr>
            <m:e>
              <m:m>
                <m:mPr>
                  <m:baseJc m:val="center"/>
                  <m:plcHide m:val="on"/>
                  <m:mcs>
                    <m:mc>
                      <m:mcPr>
                        <m:mcJc m:val="center"/>
                        <m:count m:val="1"/>
                      </m:mcPr>
                    </m:mc>
                    <m:mc>
                      <m:mcPr>
                        <m:mcJc m:val="center"/>
                        <m:count m:val="1"/>
                      </m:mcPr>
                    </m:mc>
                  </m:mcs>
                </m:mPr>
                <m:mr>
                  <m:e>
                    <m:r>
                      <m:t>1.19</m:t>
                    </m:r>
                  </m:e>
                  <m:e>
                    <m:r>
                      <m:rPr>
                        <m:sty m:val="p"/>
                      </m:rPr>
                      <m:t>−</m:t>
                    </m:r>
                    <m:r>
                      <m:t>0.48</m:t>
                    </m:r>
                  </m:e>
                </m:mr>
                <m:mr>
                  <m:e>
                    <m:r>
                      <m:rPr>
                        <m:sty m:val="p"/>
                      </m:rPr>
                      <m:t>−</m:t>
                    </m:r>
                    <m:r>
                      <m:t>0.48</m:t>
                    </m:r>
                  </m:e>
                  <m:e>
                    <m:r>
                      <m:t>1.19</m:t>
                    </m:r>
                  </m:e>
                </m:mr>
              </m:m>
            </m:e>
          </m:d>
          <m:d>
            <m:dPr>
              <m:begChr m:val="["/>
              <m:sepChr m:val=""/>
              <m:endChr m:val="]"/>
              <m:grow/>
            </m:dPr>
            <m:e>
              <m:m>
                <m:mPr>
                  <m:baseJc m:val="center"/>
                  <m:plcHide m:val="on"/>
                  <m:mcs>
                    <m:mc>
                      <m:mcPr>
                        <m:mcJc m:val="center"/>
                        <m:count m:val="1"/>
                      </m:mcPr>
                    </m:mc>
                  </m:mcs>
                </m:mPr>
                <m:mr>
                  <m:e>
                    <m:r>
                      <m:rPr>
                        <m:sty m:val="p"/>
                      </m:rPr>
                      <m:t>−</m:t>
                    </m:r>
                    <m:r>
                      <m:t>3</m:t>
                    </m:r>
                  </m:e>
                </m:mr>
                <m:mr>
                  <m:e>
                    <m:r>
                      <m:rPr>
                        <m:sty m:val="p"/>
                      </m:rPr>
                      <m:t>−</m:t>
                    </m:r>
                    <m:r>
                      <m:t>2</m:t>
                    </m:r>
                  </m:e>
                </m:mr>
              </m:m>
            </m:e>
          </m:d>
          <m:r>
            <m:rPr>
              <m:sty m:val="p"/>
            </m:rPr>
            <m:t>=</m:t>
          </m:r>
          <m:d>
            <m:dPr>
              <m:begChr m:val="["/>
              <m:sepChr m:val=""/>
              <m:endChr m:val="]"/>
              <m:grow/>
            </m:dPr>
            <m:e>
              <m:m>
                <m:mPr>
                  <m:baseJc m:val="center"/>
                  <m:plcHide m:val="on"/>
                  <m:mcs>
                    <m:mc>
                      <m:mcPr>
                        <m:mcJc m:val="center"/>
                        <m:count m:val="1"/>
                      </m:mcPr>
                    </m:mc>
                  </m:mcs>
                </m:mPr>
                <m:mr>
                  <m:e>
                    <m:r>
                      <m:rPr>
                        <m:sty m:val="p"/>
                      </m:rPr>
                      <m:t>−</m:t>
                    </m:r>
                    <m:r>
                      <m:t>2.61</m:t>
                    </m:r>
                  </m:e>
                </m:mr>
                <m:mr>
                  <m:e>
                    <m:r>
                      <m:rPr>
                        <m:sty m:val="p"/>
                      </m:rPr>
                      <m:t>−</m:t>
                    </m:r>
                    <m:r>
                      <m:t>0.94</m:t>
                    </m:r>
                  </m:e>
                </m:mr>
              </m:m>
            </m:e>
          </m:d>
        </m:oMath>
      </m:oMathPara>
    </w:p>
    <w:p>
      <w:pPr>
        <w:pStyle w:val="FirstParagraph"/>
      </w:pPr>
      <w:r>
        <w:t xml:space="preserve">Multiply the cross-covariance matrix by the weighted residuals to project the adjustment onto the fossil species.</w:t>
      </w:r>
    </w:p>
    <w:p>
      <w:pPr>
        <w:pStyle w:val="BodyText"/>
      </w:pPr>
      <m:oMathPara>
        <m:oMathParaPr>
          <m:jc m:val="center"/>
        </m:oMathParaPr>
        <m:oMath>
          <m:sSubSup>
            <m:e>
              <m:r>
                <m:t>V</m:t>
              </m:r>
            </m:e>
            <m:sub>
              <m:r>
                <m:t>c</m:t>
              </m:r>
              <m:r>
                <m:t>r</m:t>
              </m:r>
              <m:r>
                <m:t>o</m:t>
              </m:r>
              <m:r>
                <m:t>s</m:t>
              </m:r>
              <m:r>
                <m:t>s</m:t>
              </m:r>
            </m:sub>
            <m:sup>
              <m:r>
                <m:t>T</m:t>
              </m:r>
            </m:sup>
          </m:sSubSup>
          <m:r>
            <m:rPr>
              <m:sty m:val="p"/>
            </m:rPr>
            <m:t>(</m:t>
          </m:r>
          <m:sSub>
            <m:e>
              <m:r>
                <m:t>V</m:t>
              </m:r>
            </m:e>
            <m:sub>
              <m:r>
                <m:t>i</m:t>
              </m:r>
              <m:r>
                <m:t>n</m:t>
              </m:r>
              <m:r>
                <m:t>v</m:t>
              </m:r>
            </m:sub>
          </m:sSub>
          <m:r>
            <m:t>e</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0.7</m:t>
                    </m:r>
                  </m:e>
                  <m:e>
                    <m:r>
                      <m:t>0.4</m:t>
                    </m:r>
                  </m:e>
                </m:mr>
              </m:m>
            </m:e>
          </m:d>
          <m:d>
            <m:dPr>
              <m:begChr m:val="["/>
              <m:sepChr m:val=""/>
              <m:endChr m:val="]"/>
              <m:grow/>
            </m:dPr>
            <m:e>
              <m:m>
                <m:mPr>
                  <m:baseJc m:val="center"/>
                  <m:plcHide m:val="on"/>
                  <m:mcs>
                    <m:mc>
                      <m:mcPr>
                        <m:mcJc m:val="center"/>
                        <m:count m:val="1"/>
                      </m:mcPr>
                    </m:mc>
                  </m:mcs>
                </m:mPr>
                <m:mr>
                  <m:e>
                    <m:r>
                      <m:rPr>
                        <m:sty m:val="p"/>
                      </m:rPr>
                      <m:t>−</m:t>
                    </m:r>
                    <m:r>
                      <m:t>2.61</m:t>
                    </m:r>
                  </m:e>
                </m:mr>
                <m:mr>
                  <m:e>
                    <m:r>
                      <m:rPr>
                        <m:sty m:val="p"/>
                      </m:rPr>
                      <m:t>−</m:t>
                    </m:r>
                    <m:r>
                      <m:t>0.94</m:t>
                    </m:r>
                  </m:e>
                </m:mr>
              </m:m>
            </m:e>
          </m:d>
        </m:oMath>
      </m:oMathPara>
    </w:p>
    <w:p>
      <w:pPr>
        <w:pStyle w:val="FirstParagraph"/>
      </w:pPr>
      <m:oMathPara>
        <m:oMathParaPr>
          <m:jc m:val="center"/>
        </m:oMathParaPr>
        <m:oMath>
          <m:r>
            <m:rPr>
              <m:sty m:val="p"/>
            </m:rPr>
            <m:t>=</m:t>
          </m:r>
          <m:r>
            <m:rPr>
              <m:sty m:val="p"/>
            </m:rPr>
            <m:t>(</m:t>
          </m:r>
          <m:r>
            <m:t>0.7</m:t>
          </m:r>
          <m:r>
            <m:rPr>
              <m:sty m:val="p"/>
            </m:rPr>
            <m:t>×</m:t>
          </m:r>
          <m:r>
            <m:rPr>
              <m:sty m:val="p"/>
            </m:rPr>
            <m:t>−</m:t>
          </m:r>
          <m:r>
            <m:t>2.61</m:t>
          </m:r>
          <m:r>
            <m:rPr>
              <m:sty m:val="p"/>
            </m:rPr>
            <m:t>)</m:t>
          </m:r>
          <m:r>
            <m:rPr>
              <m:sty m:val="p"/>
            </m:rPr>
            <m:t>+</m:t>
          </m:r>
          <m:r>
            <m:rPr>
              <m:sty m:val="p"/>
            </m:rPr>
            <m:t>(</m:t>
          </m:r>
          <m:r>
            <m:t>0.4</m:t>
          </m:r>
          <m:r>
            <m:rPr>
              <m:sty m:val="p"/>
            </m:rPr>
            <m:t>×</m:t>
          </m:r>
          <m:r>
            <m:rPr>
              <m:sty m:val="p"/>
            </m:rPr>
            <m:t>−</m:t>
          </m:r>
          <m:r>
            <m:t>0.94</m:t>
          </m:r>
          <m:r>
            <m:rPr>
              <m:sty m:val="p"/>
            </m:rPr>
            <m:t>)</m:t>
          </m:r>
          <m:r>
            <m:rPr>
              <m:sty m:val="p"/>
            </m:rPr>
            <m:t>=</m:t>
          </m:r>
          <m:r>
            <m:rPr>
              <m:sty m:val="p"/>
            </m:rPr>
            <m:t>−</m:t>
          </m:r>
          <m:r>
            <m:t>1.827</m:t>
          </m:r>
          <m:r>
            <m:rPr>
              <m:sty m:val="p"/>
            </m:rPr>
            <m:t>−</m:t>
          </m:r>
          <m:r>
            <m:t>0.376</m:t>
          </m:r>
          <m:r>
            <m:rPr>
              <m:sty m:val="p"/>
            </m:rPr>
            <m:t>=</m:t>
          </m:r>
          <m:r>
            <m:rPr>
              <m:sty m:val="p"/>
            </m:rPr>
            <m:t>−</m:t>
          </m:r>
          <m:sSup>
            <m:e>
              <m:r>
                <m:t>2.203</m:t>
              </m:r>
            </m:e>
            <m:sup>
              <m:r>
                <m:rPr>
                  <m:sty m:val="p"/>
                </m:rPr>
                <m:t>∘</m:t>
              </m:r>
            </m:sup>
          </m:sSup>
          <m:r>
            <m:rPr>
              <m:nor/>
              <m:sty m:val="p"/>
            </m:rPr>
            <m:t>C</m:t>
          </m:r>
        </m:oMath>
      </m:oMathPara>
    </w:p>
    <w:p>
      <w:pPr>
        <w:pStyle w:val="FirstParagraph"/>
      </w:pPr>
      <w:r>
        <w:t xml:space="preserve">The phylogenetic adjustment for Fossil F is -2.203°C. This negative adjustment occurs because its closest relative, Species A, resides in an environment 3°C colder than its leaf traits alone would predict.</w:t>
      </w:r>
    </w:p>
    <w:bookmarkEnd w:id="11"/>
    <w:bookmarkStart w:id="12" w:name="the-final-prediction"/>
    <w:p>
      <w:pPr>
        <w:pStyle w:val="Heading2"/>
      </w:pPr>
      <w:r>
        <w:t xml:space="preserve">4. The Final Prediction</w:t>
      </w:r>
    </w:p>
    <w:p>
      <w:pPr>
        <w:pStyle w:val="FirstParagraph"/>
      </w:pPr>
      <w:r>
        <w:t xml:space="preserve">Add the phylogenetic adjustment to the trait-based prediction.</w:t>
      </w:r>
    </w:p>
    <w:p>
      <w:pPr>
        <w:pStyle w:val="BodyText"/>
      </w:pPr>
      <m:oMathPara>
        <m:oMathParaPr>
          <m:jc m:val="center"/>
        </m:oMathParaPr>
        <m:oMath>
          <m:acc>
            <m:accPr>
              <m:chr m:val="̂"/>
            </m:accPr>
            <m:e>
              <m:r>
                <m:t>y</m:t>
              </m:r>
            </m:e>
          </m:acc>
          <m:r>
            <m:rPr>
              <m:sty m:val="p"/>
            </m:rPr>
            <m:t>=</m:t>
          </m:r>
          <m:r>
            <m:t>X</m:t>
          </m:r>
          <m:r>
            <m:t>β</m:t>
          </m:r>
          <m:r>
            <m:rPr>
              <m:sty m:val="p"/>
            </m:rPr>
            <m:t>+</m:t>
          </m:r>
          <m:sSubSup>
            <m:e>
              <m:r>
                <m:t>V</m:t>
              </m:r>
            </m:e>
            <m:sub>
              <m:r>
                <m:t>c</m:t>
              </m:r>
              <m:r>
                <m:t>r</m:t>
              </m:r>
              <m:r>
                <m:t>o</m:t>
              </m:r>
              <m:r>
                <m:t>s</m:t>
              </m:r>
              <m:r>
                <m:t>s</m:t>
              </m:r>
            </m:sub>
            <m:sup>
              <m:r>
                <m:t>T</m:t>
              </m:r>
            </m:sup>
          </m:sSubSup>
          <m:sSub>
            <m:e>
              <m:r>
                <m:t>V</m:t>
              </m:r>
            </m:e>
            <m:sub>
              <m:r>
                <m:t>i</m:t>
              </m:r>
              <m:r>
                <m:t>n</m:t>
              </m:r>
              <m:r>
                <m:t>v</m:t>
              </m:r>
            </m:sub>
          </m:sSub>
          <m:r>
            <m:t>e</m:t>
          </m:r>
        </m:oMath>
      </m:oMathPara>
    </w:p>
    <w:p>
      <w:pPr>
        <w:pStyle w:val="FirstParagraph"/>
      </w:pPr>
      <m:oMathPara>
        <m:oMathParaPr>
          <m:jc m:val="center"/>
        </m:oMathParaPr>
        <m:oMath>
          <m:acc>
            <m:accPr>
              <m:chr m:val="̂"/>
            </m:accPr>
            <m:e>
              <m:r>
                <m:t>y</m:t>
              </m:r>
            </m:e>
          </m:acc>
          <m:r>
            <m:rPr>
              <m:sty m:val="p"/>
            </m:rPr>
            <m:t>=</m:t>
          </m:r>
          <m:r>
            <m:t>17.5</m:t>
          </m:r>
          <m:r>
            <m:rPr>
              <m:sty m:val="p"/>
            </m:rPr>
            <m:t>+</m:t>
          </m:r>
          <m:r>
            <m:rPr>
              <m:sty m:val="p"/>
            </m:rPr>
            <m:t>(</m:t>
          </m:r>
          <m:r>
            <m:rPr>
              <m:sty m:val="p"/>
            </m:rPr>
            <m:t>−</m:t>
          </m:r>
          <m:r>
            <m:t>2.203</m:t>
          </m:r>
          <m:r>
            <m:rPr>
              <m:sty m:val="p"/>
            </m:rPr>
            <m:t>)</m:t>
          </m:r>
          <m:r>
            <m:rPr>
              <m:sty m:val="p"/>
            </m:rPr>
            <m:t>=</m:t>
          </m:r>
          <m:sSup>
            <m:e>
              <m:r>
                <m:t>15.297</m:t>
              </m:r>
            </m:e>
            <m:sup>
              <m:r>
                <m:rPr>
                  <m:sty m:val="p"/>
                </m:rPr>
                <m:t>∘</m:t>
              </m:r>
            </m:sup>
          </m:sSup>
          <m:r>
            <m:rPr>
              <m:nor/>
              <m:sty m:val="p"/>
            </m:rPr>
            <m:t>C</m:t>
          </m:r>
        </m:oMath>
      </m:oMathPara>
    </w:p>
    <w:p>
      <w:pPr>
        <w:pStyle w:val="FirstParagraph"/>
      </w:pPr>
      <w:r>
        <w:t xml:space="preserve">The final Phylogenetically-Informed Prediction for the fossil species’ Mean Annual Temperature is 15.3°C.</w:t>
      </w:r>
    </w:p>
    <w:bookmarkEnd w:id="12"/>
    <w:bookmarkEnd w:id="13"/>
    <w:sectPr>
      <w:footnotePr>
        <w:numRestart w:val="eachSect"/>
      </w:footnotePr>
      <w:pgSz w:w="12240" w:h="15840"/>
      <w:pgMar w:top="1080" w:bottom="108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2" w:lineRule="auto"/>
    </w:pPr>
    <w:rPr>
      <w:rFonts w:ascii="Cambria" w:hAnsi="Cambria"/>
      <w:color w:val="000000"/>
      <w:sz w:val="22"/>
    </w:rPr>
  </w:style>
  <w:style w:styleId="BodyText" w:type="paragraph">
    <w:name w:val="Body Text"/>
    <w:basedOn w:val="Normal"/>
    <w:link w:val="BodyTextChar"/>
    <w:qFormat/>
    <w:pPr>
      <w:spacing w:after="180" w:before="180"/>
    </w:pPr>
    <w:rPr>
      <w:rFonts w:ascii="Cambria" w:hAnsi="Cambria"/>
      <w:color w:val="000000"/>
    </w:rPr>
  </w:style>
  <w:style w:customStyle="1" w:styleId="FirstParagraph" w:type="paragraph">
    <w:name w:val="First Paragraph"/>
    <w:basedOn w:val="BodyText"/>
    <w:next w:val="BodyText"/>
    <w:qFormat/>
    <w:rPr>
      <w:rFonts w:ascii="Cambria" w:hAnsi="Cambria"/>
      <w:color w:val="000000"/>
    </w:rPr>
  </w:style>
  <w:style w:customStyle="1" w:styleId="Compact" w:type="paragraph">
    <w:name w:val="Compact"/>
    <w:basedOn w:val="BodyText"/>
    <w:qFormat/>
    <w:pPr>
      <w:spacing w:after="36" w:before="36"/>
    </w:pPr>
    <w:rPr>
      <w:rFonts w:ascii="Cambria" w:hAnsi="Cambria"/>
      <w:color w:val="000000"/>
    </w:rPr>
  </w:style>
  <w:style w:styleId="Title" w:type="paragraph">
    <w:name w:val="Title"/>
    <w:basedOn w:val="Normal"/>
    <w:next w:val="BodyText"/>
    <w:link w:val="TitleChar"/>
    <w:uiPriority w:val="10"/>
    <w:qFormat/>
    <w:rsid w:val="00A10FD9"/>
    <w:pPr>
      <w:spacing w:after="240" w:line="240" w:lineRule="auto"/>
      <w:contextualSpacing/>
      <w:jc w:val="center"/>
    </w:pPr>
    <w:rPr>
      <w:rFonts w:asciiTheme="majorHAnsi" w:cstheme="majorBidi" w:eastAsiaTheme="majorEastAsia" w:hAnsiTheme="majorHAnsi" w:ascii="Cambria" w:hAnsi="Cambria"/>
      <w:color w:val="000000"/>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mbria" w:hAnsi="Cambr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mbria" w:hAnsi="Cambria"/>
      <w:color w:val="000000"/>
      <w:sz w:val="24"/>
      <w:szCs w:val="24"/>
    </w:rPr>
  </w:style>
  <w:style w:styleId="Date" w:type="paragraph">
    <w:name w:val="Date"/>
    <w:basedOn w:val="Title"/>
    <w:next w:val="BodyText"/>
    <w:qFormat/>
    <w:pPr>
      <w:keepNext/>
      <w:keepLines/>
    </w:pPr>
    <w:rPr>
      <w:rFonts w:ascii="Cambria" w:hAnsi="Cambria"/>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mbria" w:hAnsi="Cambria"/>
      <w:b/>
      <w:color w:val="000000"/>
      <w:sz w:val="20"/>
      <w:szCs w:val="20"/>
    </w:rPr>
  </w:style>
  <w:style w:customStyle="1" w:styleId="Abstract" w:type="paragraph">
    <w:name w:val="Abstract"/>
    <w:basedOn w:val="Normal"/>
    <w:next w:val="BodyText"/>
    <w:qFormat/>
    <w:pPr>
      <w:keepNext/>
      <w:keepLines/>
      <w:spacing w:after="300" w:before="100"/>
    </w:pPr>
    <w:rPr>
      <w:rFonts w:ascii="Cambria" w:hAnsi="Cambria"/>
      <w:color w:val="000000"/>
      <w:sz w:val="20"/>
      <w:szCs w:val="20"/>
    </w:rPr>
  </w:style>
  <w:style w:styleId="Bibliography" w:type="paragraph">
    <w:name w:val="Bibliography"/>
    <w:basedOn w:val="Normal"/>
    <w:next w:val="Bibliography"/>
    <w:qFormat/>
    <w:pPr/>
    <w:rPr>
      <w:rFonts w:ascii="Cambria" w:hAnsi="Cambria"/>
      <w:color w:val="000000"/>
    </w:rPr>
  </w:style>
  <w:style w:styleId="Heading1" w:type="paragraph">
    <w:name w:val="heading 1"/>
    <w:basedOn w:val="Normal"/>
    <w:next w:val="BodyText"/>
    <w:link w:val="Heading1Char"/>
    <w:uiPriority w:val="9"/>
    <w:qFormat/>
    <w:rsid w:val="00A10FD9"/>
    <w:pPr>
      <w:keepNext/>
      <w:keepLines/>
      <w:spacing w:after="100" w:before="240"/>
      <w:outlineLvl w:val="0"/>
    </w:pPr>
    <w:rPr>
      <w:rFonts w:asciiTheme="majorHAnsi" w:cstheme="majorBidi" w:eastAsiaTheme="majorEastAsia" w:hAnsiTheme="majorHAnsi" w:ascii="Cambria" w:hAnsi="Cambria"/>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Cambria" w:hAnsi="Cambria"/>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Cambria" w:hAnsi="Cambria"/>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mbria" w:hAnsi="Cambr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mbria" w:hAnsi="Cambr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mbria" w:hAnsi="Cambr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mbria" w:hAnsi="Cambr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mbria" w:hAnsi="Cambr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mbria" w:hAnsi="Cambr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color w:val="000000"/>
    </w:rPr>
  </w:style>
  <w:style w:styleId="FootnoteText" w:type="paragraph">
    <w:name w:val="Footnote Text"/>
    <w:basedOn w:val="Normal"/>
    <w:next w:val="FootnoteText"/>
    <w:uiPriority w:val="9"/>
    <w:unhideWhenUsed/>
    <w:qFormat/>
    <w:rPr>
      <w:rFonts w:ascii="Cambria" w:hAnsi="Cambria"/>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mbria" w:hAnsi="Cambria"/>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mbria" w:hAnsi="Cambria"/>
      <w:b/>
      <w:color w:val="000000"/>
    </w:rPr>
  </w:style>
  <w:style w:customStyle="1" w:styleId="Definition" w:type="paragraph">
    <w:name w:val="Definition"/>
    <w:basedOn w:val="Normal"/>
    <w:rPr>
      <w:rFonts w:ascii="Cambria" w:hAnsi="Cambria"/>
      <w:color w:val="000000"/>
    </w:rPr>
  </w:style>
  <w:style w:styleId="Caption" w:type="paragraph">
    <w:name w:val="Caption"/>
    <w:basedOn w:val="Normal"/>
    <w:link w:val="BodyTextChar"/>
    <w:pPr>
      <w:spacing w:after="120" w:before="0"/>
    </w:pPr>
    <w:rPr>
      <w:rFonts w:ascii="Cambria" w:hAnsi="Cambria"/>
      <w:i/>
      <w:color w:val="000000"/>
    </w:rPr>
  </w:style>
  <w:style w:customStyle="1" w:styleId="TableCaption" w:type="paragraph">
    <w:name w:val="Table Caption"/>
    <w:basedOn w:val="Caption"/>
    <w:pPr>
      <w:keepNext/>
    </w:pPr>
    <w:rPr>
      <w:rFonts w:ascii="Cambria" w:hAnsi="Cambria"/>
      <w:color w:val="000000"/>
    </w:rPr>
  </w:style>
  <w:style w:customStyle="1" w:styleId="ImageCaption" w:type="paragraph">
    <w:name w:val="Image Caption"/>
    <w:basedOn w:val="Caption"/>
    <w:rPr>
      <w:rFonts w:ascii="Cambria" w:hAnsi="Cambria"/>
      <w:color w:val="000000"/>
    </w:rPr>
  </w:style>
  <w:style w:customStyle="1" w:styleId="Figure" w:type="paragraph">
    <w:name w:val="Figure"/>
    <w:basedOn w:val="Normal"/>
    <w:rPr>
      <w:rFonts w:ascii="Cambria" w:hAnsi="Cambria"/>
      <w:color w:val="000000"/>
    </w:rPr>
  </w:style>
  <w:style w:customStyle="1" w:styleId="CaptionedFigure" w:type="paragraph">
    <w:name w:val="Captioned Figure"/>
    <w:basedOn w:val="Figure"/>
    <w:pPr>
      <w:keepNext/>
    </w:pPr>
    <w:rPr>
      <w:rFonts w:ascii="Cambria" w:hAnsi="Cambria"/>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mbria" w:hAnsi="Cambria"/>
      <w:b w:val="0"/>
      <w:bCs w:val="0"/>
      <w:color w:val="000000"/>
    </w:rPr>
  </w:style>
  <w:style w:type="paragraph" w:customStyle="1" w:styleId="SourceCode">
    <w:name w:val="Source Code"/>
    <w:basedOn w:val="Normal"/>
    <w:link w:val="VerbatimChar"/>
    <w:pPr>
      <w:wordWrap w:val="off"/>
    </w:pPr>
    <w:rPr>
      <w:rFonts w:ascii="Cambria" w:hAnsi="Cambria"/>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Phylogenetically informed fossil prediction</dc:title>
  <dc:creator/>
  <cp:keywords/>
  <dcterms:created xsi:type="dcterms:W3CDTF">2026-09-08T13:40:23Z</dcterms:created>
  <dcterms:modified xsi:type="dcterms:W3CDTF">2026-09-08T13:40:23Z</dcterms:modified>
</cp:coreProperties>
</file>

<file path=docProps/custom.xml><?xml version="1.0" encoding="utf-8"?>
<Properties xmlns="http://schemas.openxmlformats.org/officeDocument/2006/custom-properties" xmlns:vt="http://schemas.openxmlformats.org/officeDocument/2006/docPropsVTypes"/>
</file>