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discussion"/>
    <w:p>
      <w:pPr>
        <w:pStyle w:val="Heading1"/>
      </w:pPr>
      <w:r>
        <w:t xml:space="preserve">Discussion</w:t>
      </w:r>
    </w:p>
    <w:bookmarkStart w:id="20" w:name="X63922ed33e4194e3d8ded0d4582166f42309171"/>
    <w:p>
      <w:pPr>
        <w:pStyle w:val="Heading2"/>
      </w:pPr>
      <w:r>
        <w:t xml:space="preserve">Why the phylogenetic adjustment improves prediction</w:t>
      </w:r>
    </w:p>
    <w:p>
      <w:pPr>
        <w:pStyle w:val="FirstParagraph"/>
      </w:pPr>
      <w:r>
        <w:t xml:space="preserve">PIP has lower RMSE than LM for all three targets, and in each case the gain comes from reduced residual variance. For climate, PIP carries slightly more mean bias than LM site (Peppe) but substantially less site-to-site variability in prediction errors, and the net effect is lower RMSE. This pattern is consistent with regularization (a small bias increase traded for a larger variance reduction). But, the LMA result shows the improvement is not just the result of regularization. For LMA, bias is similar across all three models and PIP reduces residual variance without any bias cost, which suggests the adjustment is recovering genuine predictive signal rather than simply shrinking predictions toward the mean.</w:t>
      </w:r>
    </w:p>
    <w:p>
      <w:pPr>
        <w:pStyle w:val="BodyText"/>
      </w:pPr>
      <w:r>
        <w:t xml:space="preserve">Even after accounting for measurable leaf morphology, related species tend to depart from the trait-based prediction in the same direction. These shared departures reflect variation in traits that are phylogenetically conserved but not measurable from fossil specimens. Leaf habit could be one example. Evergreen versus deciduous status is among the strongest predictors of both LMA and local climate but cannot be determined from fossil material, so its signal persists in the residuals of any trait-based model. The adjustment term</w:t>
      </w:r>
      <w:r>
        <w:t xml:space="preserve"> </w:t>
      </w:r>
      <m:oMath>
        <m:sSubSup>
          <m:e>
            <m:r>
              <m:t>V</m:t>
            </m:r>
          </m:e>
          <m:sub>
            <m:r>
              <m:t>c</m:t>
            </m:r>
            <m:r>
              <m:t>r</m:t>
            </m:r>
            <m:r>
              <m:t>o</m:t>
            </m:r>
            <m:r>
              <m:t>s</m:t>
            </m:r>
            <m:r>
              <m:t>s</m:t>
            </m:r>
          </m:sub>
          <m:sup>
            <m:r>
              <m:t>T</m:t>
            </m:r>
          </m:sup>
        </m:sSubSup>
        <m:sSub>
          <m:e>
            <m:r>
              <m:t>V</m:t>
            </m:r>
          </m:e>
          <m:sub>
            <m:r>
              <m:t>i</m:t>
            </m:r>
            <m:r>
              <m:t>n</m:t>
            </m:r>
            <m:r>
              <m:t>v</m:t>
            </m:r>
          </m:sub>
        </m:sSub>
        <m:r>
          <m:t>e</m:t>
        </m:r>
      </m:oMath>
      <w:r>
        <w:t xml:space="preserve"> </w:t>
      </w:r>
      <w:r>
        <w:t xml:space="preserve">borrows those decorrelated residuals from close extant relatives and projects them onto the prediction. Where those relatives carry consistent residuals, the adjustment corrects the prediction accordingly.</w:t>
      </w:r>
    </w:p>
    <w:p>
      <w:pPr>
        <w:pStyle w:val="BodyText"/>
      </w:pPr>
      <w:r>
        <w:t xml:space="preserve">Comparing PGLS and PIP isolates the contribution of the adjustment term directly, because both share the same regression coefficients and phylogenetic covariance structure. PGLS accounts for phylogenetic non-independence during fitting but reverts to</w:t>
      </w:r>
      <w:r>
        <w:t xml:space="preserve"> </w:t>
      </w:r>
      <m:oMath>
        <m:r>
          <m:t>X</m:t>
        </m:r>
        <m:r>
          <m:t>β</m:t>
        </m:r>
      </m:oMath>
      <w:r>
        <w:t xml:space="preserve"> </w:t>
      </w:r>
      <w:r>
        <w:t xml:space="preserve">alone at prediction time, discarding the information contained in the training residuals. PIP retains and applies it through the correction term. For both climate targets, PGLS has higher RMSE than the non-phylogenetic LM, which shows that correcting for phylogenetic structure in estimation alone is not sufficient. The improvement comes from using evolutionary relationships to borrow residual signal at the moment of prediction.</w:t>
      </w:r>
    </w:p>
    <w:p>
      <w:pPr>
        <w:pStyle w:val="BodyText"/>
      </w:pPr>
      <w:r>
        <w:t xml:space="preserve">One additional benefit of the PIP model is that the adjustment is indexed by a species’ position on the phylogeny, not by the number of specimens measured from it. This matters for fossil reconstruction. A fossil species identified to genus and placed near extant relatives with consistent residuals receives a correction regardless of specimen count. The benefit is largest where it is most needed: sparse collections, incomplete taxonomy, and small numbers of species per site. Fossils known only to family or order are placed at a higher-level MRCA and receive a weaker, more diffuse adjustment. Where placement is too coarse to resolve phylogenetic signal, the adjustment shrinks toward zero and PIP reduces to PGLS. In those cases, an LM model would provide the best prediction.</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2026-05-04T19:53:55Z</dcterms:created>
  <dcterms:modified xsi:type="dcterms:W3CDTF">2026-05-04T19:53:55Z</dcterms:modified>
</cp:coreProperties>
</file>

<file path=docProps/custom.xml><?xml version="1.0" encoding="utf-8"?>
<Properties xmlns="http://schemas.openxmlformats.org/officeDocument/2006/custom-properties" xmlns:vt="http://schemas.openxmlformats.org/officeDocument/2006/docPropsVTypes"/>
</file>