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B49AA" w14:textId="77777777" w:rsidR="00F85753" w:rsidRPr="008C6BB2" w:rsidRDefault="00F85753" w:rsidP="00F85753">
      <w:pPr>
        <w:pStyle w:val="ListParagraph"/>
        <w:numPr>
          <w:ilvl w:val="0"/>
          <w:numId w:val="1"/>
        </w:numPr>
        <w:rPr>
          <w:rFonts w:ascii="Century Schoolbook" w:hAnsi="Century Schoolbook"/>
        </w:rPr>
      </w:pPr>
      <w:r w:rsidRPr="008C6BB2">
        <w:rPr>
          <w:rFonts w:ascii="Century Schoolbook" w:hAnsi="Century Schoolbook"/>
        </w:rPr>
        <w:t>Dismissals—function, form, and variance</w:t>
      </w:r>
    </w:p>
    <w:p w14:paraId="4E75D8AC" w14:textId="6BF93634" w:rsidR="00F85753" w:rsidRPr="008C6BB2" w:rsidRDefault="00F85753" w:rsidP="00F85753">
      <w:pPr>
        <w:ind w:firstLine="720"/>
        <w:rPr>
          <w:rFonts w:ascii="Century Schoolbook" w:hAnsi="Century Schoolbook"/>
        </w:rPr>
      </w:pPr>
      <w:r w:rsidRPr="008C6BB2">
        <w:rPr>
          <w:rFonts w:ascii="Century Schoolbook" w:hAnsi="Century Schoolbook"/>
        </w:rPr>
        <w:t>Dismissals are end points. But not all endings are the same. They can arise for different reasons: Compare, for example, a</w:t>
      </w:r>
      <w:r w:rsidR="00DB20DE" w:rsidRPr="008C6BB2">
        <w:rPr>
          <w:rFonts w:ascii="Century Schoolbook" w:hAnsi="Century Schoolbook"/>
        </w:rPr>
        <w:t xml:space="preserve"> case </w:t>
      </w:r>
      <w:r w:rsidRPr="008C6BB2">
        <w:rPr>
          <w:rFonts w:ascii="Century Schoolbook" w:hAnsi="Century Schoolbook"/>
        </w:rPr>
        <w:t xml:space="preserve">in which a plaintiff decides voluntarily to dismiss </w:t>
      </w:r>
      <w:r w:rsidR="00DB20DE" w:rsidRPr="008C6BB2">
        <w:rPr>
          <w:rFonts w:ascii="Century Schoolbook" w:hAnsi="Century Schoolbook"/>
        </w:rPr>
        <w:t>the</w:t>
      </w:r>
      <w:r w:rsidRPr="008C6BB2">
        <w:rPr>
          <w:rFonts w:ascii="Century Schoolbook" w:hAnsi="Century Schoolbook"/>
        </w:rPr>
        <w:t xml:space="preserve"> case with one in which a judge dismisses the case because the plaintiff fails to serve the defendant. And they can mean different things for what might come next in the case. For instance, both a voluntary dismissal and a dismissal because of failure to serve are likely to be without prejudice to refiling the case; other dismissals, like a dismissal for failure to state a claim under Federal Rule of Civil Procedure 12(b)(6), may be with prejudice, such that the plaintiff’s only recourse is to appeal.  </w:t>
      </w:r>
    </w:p>
    <w:p w14:paraId="1A061721" w14:textId="77777777" w:rsidR="00F85753" w:rsidRPr="008C6BB2" w:rsidRDefault="00F85753" w:rsidP="00F85753">
      <w:pPr>
        <w:ind w:firstLine="720"/>
        <w:rPr>
          <w:rFonts w:ascii="Century Schoolbook" w:hAnsi="Century Schoolbook"/>
        </w:rPr>
      </w:pPr>
      <w:r w:rsidRPr="008C6BB2">
        <w:rPr>
          <w:rFonts w:ascii="Century Schoolbook" w:hAnsi="Century Schoolbook"/>
        </w:rPr>
        <w:t>Dismissals are a procedural device that contain their own categories, a catch-all for a variety of types of case-endings, from the temporary to the final. Indeed, unlike summary judgment, which is largely confined to a single, albeit broad rule—Rule 56—the rules of dismissal spread across Rules 8 through 12 (pleading requirements and motions to dismiss), to Rule 15 (amendments), all the way through Rule 41 (dismissals), to say nothing of the many other rules that either touch on or offer their own grounds for a case to be dismissed.</w:t>
      </w:r>
      <w:r w:rsidRPr="008C6BB2">
        <w:rPr>
          <w:rStyle w:val="FootnoteReference"/>
          <w:rFonts w:ascii="Century Schoolbook" w:hAnsi="Century Schoolbook"/>
        </w:rPr>
        <w:footnoteReference w:id="1"/>
      </w:r>
      <w:r w:rsidRPr="008C6BB2">
        <w:rPr>
          <w:rFonts w:ascii="Century Schoolbook" w:hAnsi="Century Schoolbook"/>
        </w:rPr>
        <w:t xml:space="preserve">  </w:t>
      </w:r>
    </w:p>
    <w:p w14:paraId="76B1FBE4" w14:textId="308293CA" w:rsidR="00F85753" w:rsidRPr="008C6BB2" w:rsidRDefault="00F85753" w:rsidP="00F85753">
      <w:pPr>
        <w:ind w:firstLine="720"/>
        <w:rPr>
          <w:rFonts w:ascii="Century Schoolbook" w:hAnsi="Century Schoolbook"/>
        </w:rPr>
      </w:pPr>
      <w:r w:rsidRPr="008C6BB2">
        <w:rPr>
          <w:rFonts w:ascii="Century Schoolbook" w:hAnsi="Century Schoolbook"/>
        </w:rPr>
        <w:t xml:space="preserve">In this Part, we provide a </w:t>
      </w:r>
      <w:r w:rsidR="00DB20DE" w:rsidRPr="008C6BB2">
        <w:rPr>
          <w:rFonts w:ascii="Century Schoolbook" w:hAnsi="Century Schoolbook"/>
        </w:rPr>
        <w:t>simple</w:t>
      </w:r>
      <w:r w:rsidRPr="008C6BB2">
        <w:rPr>
          <w:rFonts w:ascii="Century Schoolbook" w:hAnsi="Century Schoolbook"/>
        </w:rPr>
        <w:t xml:space="preserve"> analytic framework through which to understand dismissals as a procedural mechanism. In charting the main fault-lines of</w:t>
      </w:r>
      <w:r w:rsidR="00DB20DE" w:rsidRPr="008C6BB2">
        <w:rPr>
          <w:rFonts w:ascii="Century Schoolbook" w:hAnsi="Century Schoolbook"/>
        </w:rPr>
        <w:t xml:space="preserve"> the doctrine of</w:t>
      </w:r>
      <w:r w:rsidRPr="008C6BB2">
        <w:rPr>
          <w:rFonts w:ascii="Century Schoolbook" w:hAnsi="Century Schoolbook"/>
        </w:rPr>
        <w:t xml:space="preserve"> dismissals—the</w:t>
      </w:r>
      <w:r w:rsidR="00720D17" w:rsidRPr="008C6BB2">
        <w:rPr>
          <w:rFonts w:ascii="Century Schoolbook" w:hAnsi="Century Schoolbook"/>
        </w:rPr>
        <w:t xml:space="preserve"> ultimately</w:t>
      </w:r>
      <w:r w:rsidRPr="008C6BB2">
        <w:rPr>
          <w:rFonts w:ascii="Century Schoolbook" w:hAnsi="Century Schoolbook"/>
        </w:rPr>
        <w:t xml:space="preserve"> blurry distinction between with and without prejudice, and then again within the many varieties of dismissals without prejudice—we suggest that dismissals are concerned with a certain type of defects in parties’ cases. These defects are legal, not evidentiary</w:t>
      </w:r>
      <w:r w:rsidR="00DB20DE" w:rsidRPr="008C6BB2">
        <w:rPr>
          <w:rFonts w:ascii="Century Schoolbook" w:hAnsi="Century Schoolbook"/>
        </w:rPr>
        <w:t xml:space="preserve">; that is the </w:t>
      </w:r>
      <w:r w:rsidRPr="008C6BB2">
        <w:rPr>
          <w:rFonts w:ascii="Century Schoolbook" w:hAnsi="Century Schoolbook"/>
        </w:rPr>
        <w:t>difference between a dismissal and summary judgment.</w:t>
      </w:r>
      <w:r w:rsidRPr="008C6BB2">
        <w:rPr>
          <w:rStyle w:val="FootnoteReference"/>
          <w:rFonts w:ascii="Century Schoolbook" w:hAnsi="Century Schoolbook"/>
        </w:rPr>
        <w:footnoteReference w:id="2"/>
      </w:r>
      <w:r w:rsidRPr="008C6BB2">
        <w:rPr>
          <w:rFonts w:ascii="Century Schoolbook" w:hAnsi="Century Schoolbook"/>
        </w:rPr>
        <w:t xml:space="preserve"> And, at least in principle, the nature of the dismissal should turn on the type of defect at issue, or at least the court’s classification of that defect. Some defects require courts to consider the merits of the case; others simply the process of getting to the merits. Some defects can be remedied; some cannot—or, in the mind of the court, should not be. </w:t>
      </w:r>
    </w:p>
    <w:p w14:paraId="7BD252DB" w14:textId="254AB44E" w:rsidR="00A37C0B" w:rsidRPr="008C6BB2" w:rsidRDefault="00DB20DE" w:rsidP="00DB20DE">
      <w:pPr>
        <w:pStyle w:val="ListParagraph"/>
        <w:numPr>
          <w:ilvl w:val="0"/>
          <w:numId w:val="2"/>
        </w:numPr>
        <w:rPr>
          <w:rFonts w:ascii="Century Schoolbook" w:hAnsi="Century Schoolbook"/>
        </w:rPr>
      </w:pPr>
      <w:r w:rsidRPr="008C6BB2">
        <w:rPr>
          <w:rFonts w:ascii="Century Schoolbook" w:hAnsi="Century Schoolbook"/>
        </w:rPr>
        <w:t xml:space="preserve">With </w:t>
      </w:r>
      <w:r w:rsidR="004C0ED6" w:rsidRPr="008C6BB2">
        <w:rPr>
          <w:rFonts w:ascii="Century Schoolbook" w:hAnsi="Century Schoolbook"/>
        </w:rPr>
        <w:t>and</w:t>
      </w:r>
      <w:r w:rsidRPr="008C6BB2">
        <w:rPr>
          <w:rFonts w:ascii="Century Schoolbook" w:hAnsi="Century Schoolbook"/>
        </w:rPr>
        <w:t xml:space="preserve"> Without Prejudice</w:t>
      </w:r>
    </w:p>
    <w:p w14:paraId="1E31395B" w14:textId="26A39618" w:rsidR="00DB20DE" w:rsidRPr="008C6BB2" w:rsidRDefault="00DB20DE" w:rsidP="008130B3">
      <w:pPr>
        <w:ind w:firstLine="720"/>
        <w:rPr>
          <w:rFonts w:ascii="Century Schoolbook" w:hAnsi="Century Schoolbook"/>
        </w:rPr>
      </w:pPr>
      <w:r w:rsidRPr="008C6BB2">
        <w:rPr>
          <w:rFonts w:ascii="Century Schoolbook" w:hAnsi="Century Schoolbook"/>
        </w:rPr>
        <w:t>In theory, a brightline cleaves dismissals: Some are with prejudice to refiling, and others are without prejudice.</w:t>
      </w:r>
      <w:r w:rsidR="00A14FFD" w:rsidRPr="008C6BB2">
        <w:rPr>
          <w:rFonts w:ascii="Century Schoolbook" w:hAnsi="Century Schoolbook"/>
        </w:rPr>
        <w:t xml:space="preserve"> “With prejudice,” as Wright and Miller </w:t>
      </w:r>
      <w:r w:rsidR="004C0ED6" w:rsidRPr="008C6BB2">
        <w:rPr>
          <w:rFonts w:ascii="Century Schoolbook" w:hAnsi="Century Schoolbook"/>
        </w:rPr>
        <w:t>put it</w:t>
      </w:r>
      <w:r w:rsidR="00A14FFD" w:rsidRPr="008C6BB2">
        <w:rPr>
          <w:rFonts w:ascii="Century Schoolbook" w:hAnsi="Century Schoolbook"/>
        </w:rPr>
        <w:t xml:space="preserve">, “is </w:t>
      </w:r>
      <w:r w:rsidR="00A14FFD" w:rsidRPr="008C6BB2">
        <w:rPr>
          <w:rFonts w:ascii="Century Schoolbook" w:hAnsi="Century Schoolbook"/>
        </w:rPr>
        <w:lastRenderedPageBreak/>
        <w:t>an acceptable form of shorthand for ‘an adjudication upon the merits</w:t>
      </w:r>
      <w:r w:rsidR="004C0ED6" w:rsidRPr="008C6BB2">
        <w:rPr>
          <w:rFonts w:ascii="Century Schoolbook" w:hAnsi="Century Schoolbook"/>
        </w:rPr>
        <w:t>,</w:t>
      </w:r>
      <w:r w:rsidR="005F4E37" w:rsidRPr="008C6BB2">
        <w:rPr>
          <w:rFonts w:ascii="Century Schoolbook" w:hAnsi="Century Schoolbook"/>
        </w:rPr>
        <w:t>’”</w:t>
      </w:r>
      <w:r w:rsidR="004C0ED6" w:rsidRPr="008C6BB2">
        <w:rPr>
          <w:rFonts w:ascii="Century Schoolbook" w:hAnsi="Century Schoolbook"/>
        </w:rPr>
        <w:t xml:space="preserve"> such that</w:t>
      </w:r>
      <w:r w:rsidR="00A14FFD" w:rsidRPr="008C6BB2">
        <w:rPr>
          <w:rFonts w:ascii="Century Schoolbook" w:hAnsi="Century Schoolbook"/>
        </w:rPr>
        <w:t xml:space="preserve"> that </w:t>
      </w:r>
      <w:r w:rsidR="0094699B" w:rsidRPr="008C6BB2">
        <w:rPr>
          <w:rFonts w:ascii="Century Schoolbook" w:hAnsi="Century Schoolbook"/>
        </w:rPr>
        <w:t>a</w:t>
      </w:r>
      <w:r w:rsidR="00A14FFD" w:rsidRPr="008C6BB2">
        <w:rPr>
          <w:rFonts w:ascii="Century Schoolbook" w:hAnsi="Century Schoolbook"/>
        </w:rPr>
        <w:t xml:space="preserve"> plaintiff is barred from returning</w:t>
      </w:r>
      <w:r w:rsidR="004C0ED6" w:rsidRPr="008C6BB2">
        <w:rPr>
          <w:rFonts w:ascii="Century Schoolbook" w:hAnsi="Century Schoolbook"/>
        </w:rPr>
        <w:t xml:space="preserve"> to the district court</w:t>
      </w:r>
      <w:r w:rsidR="0094699B" w:rsidRPr="008C6BB2">
        <w:rPr>
          <w:rFonts w:ascii="Century Schoolbook" w:hAnsi="Century Schoolbook"/>
        </w:rPr>
        <w:t xml:space="preserve"> with the same case</w:t>
      </w:r>
      <w:r w:rsidR="00BB73E6" w:rsidRPr="008C6BB2">
        <w:rPr>
          <w:rFonts w:ascii="Century Schoolbook" w:hAnsi="Century Schoolbook"/>
        </w:rPr>
        <w:t xml:space="preserve">. </w:t>
      </w:r>
      <w:r w:rsidR="00720D17" w:rsidRPr="008C6BB2">
        <w:rPr>
          <w:rFonts w:ascii="Century Schoolbook" w:hAnsi="Century Schoolbook"/>
        </w:rPr>
        <w:t>And, b</w:t>
      </w:r>
      <w:r w:rsidR="00BB73E6" w:rsidRPr="008C6BB2">
        <w:rPr>
          <w:rFonts w:ascii="Century Schoolbook" w:hAnsi="Century Schoolbook"/>
        </w:rPr>
        <w:t>ecause of substantive preclusion law,</w:t>
      </w:r>
      <w:r w:rsidR="003841D1" w:rsidRPr="008C6BB2">
        <w:rPr>
          <w:rStyle w:val="FootnoteReference"/>
          <w:rFonts w:ascii="Century Schoolbook" w:hAnsi="Century Schoolbook"/>
        </w:rPr>
        <w:footnoteReference w:id="3"/>
      </w:r>
      <w:r w:rsidR="00BB73E6" w:rsidRPr="008C6BB2">
        <w:rPr>
          <w:rFonts w:ascii="Century Schoolbook" w:hAnsi="Century Schoolbook"/>
        </w:rPr>
        <w:t xml:space="preserve"> </w:t>
      </w:r>
      <w:r w:rsidR="003841D1" w:rsidRPr="008C6BB2">
        <w:rPr>
          <w:rFonts w:ascii="Century Schoolbook" w:hAnsi="Century Schoolbook"/>
        </w:rPr>
        <w:t>a</w:t>
      </w:r>
      <w:r w:rsidR="0094699B" w:rsidRPr="008C6BB2">
        <w:rPr>
          <w:rFonts w:ascii="Century Schoolbook" w:hAnsi="Century Schoolbook"/>
        </w:rPr>
        <w:t xml:space="preserve"> </w:t>
      </w:r>
      <w:r w:rsidR="00720D17" w:rsidRPr="008C6BB2">
        <w:rPr>
          <w:rFonts w:ascii="Century Schoolbook" w:hAnsi="Century Schoolbook"/>
        </w:rPr>
        <w:t>dismissal</w:t>
      </w:r>
      <w:r w:rsidR="003841D1" w:rsidRPr="008C6BB2">
        <w:rPr>
          <w:rFonts w:ascii="Century Schoolbook" w:hAnsi="Century Schoolbook"/>
        </w:rPr>
        <w:t xml:space="preserve"> with prejudice</w:t>
      </w:r>
      <w:r w:rsidR="00720D17" w:rsidRPr="008C6BB2">
        <w:rPr>
          <w:rFonts w:ascii="Century Schoolbook" w:hAnsi="Century Schoolbook"/>
        </w:rPr>
        <w:t xml:space="preserve"> also bars the </w:t>
      </w:r>
      <w:r w:rsidR="0094699B" w:rsidRPr="008C6BB2">
        <w:rPr>
          <w:rFonts w:ascii="Century Schoolbook" w:hAnsi="Century Schoolbook"/>
        </w:rPr>
        <w:t>plaintiff</w:t>
      </w:r>
      <w:r w:rsidR="00720D17" w:rsidRPr="008C6BB2">
        <w:rPr>
          <w:rFonts w:ascii="Century Schoolbook" w:hAnsi="Century Schoolbook"/>
        </w:rPr>
        <w:t xml:space="preserve"> from filing the same suit elsewhere, so the</w:t>
      </w:r>
      <w:r w:rsidR="0094699B" w:rsidRPr="008C6BB2">
        <w:rPr>
          <w:rFonts w:ascii="Century Schoolbook" w:hAnsi="Century Schoolbook"/>
        </w:rPr>
        <w:t xml:space="preserve"> only option is up—an appeal.</w:t>
      </w:r>
      <w:r w:rsidR="00A14FFD" w:rsidRPr="008C6BB2">
        <w:rPr>
          <w:rFonts w:ascii="Century Schoolbook" w:hAnsi="Century Schoolbook"/>
        </w:rPr>
        <w:t xml:space="preserve"> By contrast,</w:t>
      </w:r>
      <w:r w:rsidRPr="008C6BB2">
        <w:rPr>
          <w:rFonts w:ascii="Century Schoolbook" w:hAnsi="Century Schoolbook"/>
        </w:rPr>
        <w:t xml:space="preserve"> </w:t>
      </w:r>
      <w:r w:rsidR="00A14FFD" w:rsidRPr="008C6BB2">
        <w:rPr>
          <w:rFonts w:ascii="Century Schoolbook" w:hAnsi="Century Schoolbook"/>
        </w:rPr>
        <w:t>“the primary meaning of ‘dismissal without prejudice’ . . . is dismissal without barring the plaintiff from returning later, to the same court, with the same underlying claim.”</w:t>
      </w:r>
      <w:r w:rsidR="00A14FFD" w:rsidRPr="008C6BB2">
        <w:rPr>
          <w:rStyle w:val="FootnoteReference"/>
          <w:rFonts w:ascii="Century Schoolbook" w:hAnsi="Century Schoolbook"/>
        </w:rPr>
        <w:footnoteReference w:id="4"/>
      </w:r>
      <w:r w:rsidR="00531162" w:rsidRPr="008C6BB2">
        <w:rPr>
          <w:rFonts w:ascii="Century Schoolbook" w:hAnsi="Century Schoolbook"/>
        </w:rPr>
        <w:t xml:space="preserve"> </w:t>
      </w:r>
      <w:r w:rsidR="003E4572" w:rsidRPr="008C6BB2">
        <w:rPr>
          <w:rFonts w:ascii="Century Schoolbook" w:hAnsi="Century Schoolbook"/>
        </w:rPr>
        <w:t>In other words, to go back to our endings, c</w:t>
      </w:r>
      <w:r w:rsidR="00BB73E6" w:rsidRPr="008C6BB2">
        <w:rPr>
          <w:rFonts w:ascii="Century Schoolbook" w:hAnsi="Century Schoolbook"/>
        </w:rPr>
        <w:t xml:space="preserve">ases dismissed without prejudice are at least not quite dead yet in the trial court, where cases dismissed without prejudice are dead at the trial court. </w:t>
      </w:r>
    </w:p>
    <w:p w14:paraId="19EA5790" w14:textId="19988E48" w:rsidR="006C6743" w:rsidRPr="008C6BB2" w:rsidRDefault="004C0ED6" w:rsidP="008130B3">
      <w:pPr>
        <w:ind w:firstLine="720"/>
        <w:rPr>
          <w:rFonts w:ascii="Century Schoolbook" w:hAnsi="Century Schoolbook"/>
        </w:rPr>
      </w:pPr>
      <w:r w:rsidRPr="008C6BB2">
        <w:rPr>
          <w:rFonts w:ascii="Century Schoolbook" w:hAnsi="Century Schoolbook"/>
        </w:rPr>
        <w:t xml:space="preserve">But </w:t>
      </w:r>
      <w:r w:rsidR="00BB73E6" w:rsidRPr="008C6BB2">
        <w:rPr>
          <w:rFonts w:ascii="Century Schoolbook" w:hAnsi="Century Schoolbook"/>
        </w:rPr>
        <w:t>any hope of a stable brightline faces two</w:t>
      </w:r>
      <w:r w:rsidR="00720D17" w:rsidRPr="008C6BB2">
        <w:rPr>
          <w:rFonts w:ascii="Century Schoolbook" w:hAnsi="Century Schoolbook"/>
        </w:rPr>
        <w:t xml:space="preserve"> functional</w:t>
      </w:r>
      <w:r w:rsidR="00BB73E6" w:rsidRPr="008C6BB2">
        <w:rPr>
          <w:rFonts w:ascii="Century Schoolbook" w:hAnsi="Century Schoolbook"/>
        </w:rPr>
        <w:t xml:space="preserve"> challenges. The first is that there’s </w:t>
      </w:r>
      <w:r w:rsidR="006C6743" w:rsidRPr="008C6BB2">
        <w:rPr>
          <w:rFonts w:ascii="Century Schoolbook" w:hAnsi="Century Schoolbook"/>
        </w:rPr>
        <w:t xml:space="preserve">generally </w:t>
      </w:r>
      <w:r w:rsidR="00BB73E6" w:rsidRPr="008C6BB2">
        <w:rPr>
          <w:rFonts w:ascii="Century Schoolbook" w:hAnsi="Century Schoolbook"/>
        </w:rPr>
        <w:t>not an equivalently brightline way of determining which dismissals should fit into which category.</w:t>
      </w:r>
      <w:r w:rsidR="00F63ACD" w:rsidRPr="008C6BB2">
        <w:rPr>
          <w:rFonts w:ascii="Century Schoolbook" w:hAnsi="Century Schoolbook"/>
        </w:rPr>
        <w:t xml:space="preserve"> </w:t>
      </w:r>
      <w:r w:rsidR="00720D17" w:rsidRPr="008C6BB2">
        <w:rPr>
          <w:rFonts w:ascii="Century Schoolbook" w:hAnsi="Century Schoolbook"/>
        </w:rPr>
        <w:t>A</w:t>
      </w:r>
      <w:r w:rsidR="00BB73E6" w:rsidRPr="008C6BB2">
        <w:rPr>
          <w:rFonts w:ascii="Century Schoolbook" w:hAnsi="Century Schoolbook"/>
        </w:rPr>
        <w:t>s Stephen Burbank recounts, the drafters of the Federal Rules of Civil Procedure initially</w:t>
      </w:r>
      <w:r w:rsidR="003E4572" w:rsidRPr="008C6BB2">
        <w:rPr>
          <w:rFonts w:ascii="Century Schoolbook" w:hAnsi="Century Schoolbook"/>
        </w:rPr>
        <w:t xml:space="preserve"> tried to </w:t>
      </w:r>
      <w:r w:rsidR="00A3155D" w:rsidRPr="008C6BB2">
        <w:rPr>
          <w:rFonts w:ascii="Century Schoolbook" w:hAnsi="Century Schoolbook"/>
        </w:rPr>
        <w:t>inject clarity by</w:t>
      </w:r>
      <w:r w:rsidR="00BB73E6" w:rsidRPr="008C6BB2">
        <w:rPr>
          <w:rFonts w:ascii="Century Schoolbook" w:hAnsi="Century Schoolbook"/>
        </w:rPr>
        <w:t xml:space="preserve"> </w:t>
      </w:r>
      <w:r w:rsidR="00720D17" w:rsidRPr="008C6BB2">
        <w:rPr>
          <w:rFonts w:ascii="Century Schoolbook" w:hAnsi="Century Schoolbook"/>
        </w:rPr>
        <w:t>“stat</w:t>
      </w:r>
      <w:r w:rsidR="00A3155D" w:rsidRPr="008C6BB2">
        <w:rPr>
          <w:rFonts w:ascii="Century Schoolbook" w:hAnsi="Century Schoolbook"/>
        </w:rPr>
        <w:t>[</w:t>
      </w:r>
      <w:proofErr w:type="spellStart"/>
      <w:r w:rsidR="00A3155D" w:rsidRPr="008C6BB2">
        <w:rPr>
          <w:rFonts w:ascii="Century Schoolbook" w:hAnsi="Century Schoolbook"/>
        </w:rPr>
        <w:t>ing</w:t>
      </w:r>
      <w:proofErr w:type="spellEnd"/>
      <w:r w:rsidR="00A3155D" w:rsidRPr="008C6BB2">
        <w:rPr>
          <w:rFonts w:ascii="Century Schoolbook" w:hAnsi="Century Schoolbook"/>
        </w:rPr>
        <w:t>]</w:t>
      </w:r>
      <w:r w:rsidR="00720D17" w:rsidRPr="008C6BB2">
        <w:rPr>
          <w:rFonts w:ascii="Century Schoolbook" w:hAnsi="Century Schoolbook"/>
        </w:rPr>
        <w:t xml:space="preserve"> two separate rules governing dismissals without and with prejudice.” They abandoned the effort </w:t>
      </w:r>
      <w:r w:rsidR="006C6743" w:rsidRPr="008C6BB2">
        <w:rPr>
          <w:rFonts w:ascii="Century Schoolbook" w:hAnsi="Century Schoolbook"/>
        </w:rPr>
        <w:t>when they</w:t>
      </w:r>
      <w:r w:rsidR="00720D17" w:rsidRPr="008C6BB2">
        <w:rPr>
          <w:rFonts w:ascii="Century Schoolbook" w:hAnsi="Century Schoolbook"/>
        </w:rPr>
        <w:t xml:space="preserve"> </w:t>
      </w:r>
      <w:r w:rsidR="006C6743" w:rsidRPr="008C6BB2">
        <w:rPr>
          <w:rFonts w:ascii="Century Schoolbook" w:hAnsi="Century Schoolbook"/>
        </w:rPr>
        <w:t>determined</w:t>
      </w:r>
      <w:r w:rsidR="00720D17" w:rsidRPr="008C6BB2">
        <w:rPr>
          <w:rFonts w:ascii="Century Schoolbook" w:hAnsi="Century Schoolbook"/>
        </w:rPr>
        <w:t xml:space="preserve"> “that there was ‘practically complete </w:t>
      </w:r>
      <w:proofErr w:type="gramStart"/>
      <w:r w:rsidR="00720D17" w:rsidRPr="008C6BB2">
        <w:rPr>
          <w:rFonts w:ascii="Century Schoolbook" w:hAnsi="Century Schoolbook"/>
        </w:rPr>
        <w:t>overlap</w:t>
      </w:r>
      <w:r w:rsidR="006C6743" w:rsidRPr="008C6BB2">
        <w:rPr>
          <w:rFonts w:ascii="Century Schoolbook" w:hAnsi="Century Schoolbook"/>
        </w:rPr>
        <w:t>[</w:t>
      </w:r>
      <w:proofErr w:type="gramEnd"/>
      <w:r w:rsidR="006C6743" w:rsidRPr="008C6BB2">
        <w:rPr>
          <w:rFonts w:ascii="Century Schoolbook" w:hAnsi="Century Schoolbook"/>
        </w:rPr>
        <w:t>]</w:t>
      </w:r>
      <w:r w:rsidR="00720D17" w:rsidRPr="008C6BB2">
        <w:rPr>
          <w:rFonts w:ascii="Century Schoolbook" w:hAnsi="Century Schoolbook"/>
        </w:rPr>
        <w:t xml:space="preserve"> between</w:t>
      </w:r>
      <w:r w:rsidR="006C6743" w:rsidRPr="008C6BB2">
        <w:rPr>
          <w:rFonts w:ascii="Century Schoolbook" w:hAnsi="Century Schoolbook"/>
        </w:rPr>
        <w:t>’</w:t>
      </w:r>
      <w:r w:rsidR="00720D17" w:rsidRPr="008C6BB2">
        <w:rPr>
          <w:rFonts w:ascii="Century Schoolbook" w:hAnsi="Century Schoolbook"/>
        </w:rPr>
        <w:t>” the</w:t>
      </w:r>
      <w:r w:rsidR="006C6743" w:rsidRPr="008C6BB2">
        <w:rPr>
          <w:rFonts w:ascii="Century Schoolbook" w:hAnsi="Century Schoolbook"/>
        </w:rPr>
        <w:t xml:space="preserve"> two proposed rules</w:t>
      </w:r>
      <w:r w:rsidR="00720D17" w:rsidRPr="008C6BB2">
        <w:rPr>
          <w:rFonts w:ascii="Century Schoolbook" w:hAnsi="Century Schoolbook"/>
        </w:rPr>
        <w:t xml:space="preserve"> and </w:t>
      </w:r>
      <w:r w:rsidR="006C6743" w:rsidRPr="008C6BB2">
        <w:rPr>
          <w:rFonts w:ascii="Century Schoolbook" w:hAnsi="Century Schoolbook"/>
        </w:rPr>
        <w:t>started to worry that</w:t>
      </w:r>
      <w:r w:rsidR="00720D17" w:rsidRPr="008C6BB2">
        <w:rPr>
          <w:rFonts w:ascii="Century Schoolbook" w:hAnsi="Century Schoolbook"/>
        </w:rPr>
        <w:t xml:space="preserve"> </w:t>
      </w:r>
      <w:r w:rsidR="008130B3" w:rsidRPr="008C6BB2">
        <w:rPr>
          <w:rFonts w:ascii="Century Schoolbook" w:hAnsi="Century Schoolbook"/>
        </w:rPr>
        <w:t>“</w:t>
      </w:r>
      <w:r w:rsidR="006C6743" w:rsidRPr="008C6BB2">
        <w:rPr>
          <w:rFonts w:ascii="Century Schoolbook" w:hAnsi="Century Schoolbook"/>
        </w:rPr>
        <w:t>[l]</w:t>
      </w:r>
      <w:proofErr w:type="spellStart"/>
      <w:r w:rsidR="00720D17" w:rsidRPr="008C6BB2">
        <w:rPr>
          <w:rFonts w:ascii="Century Schoolbook" w:hAnsi="Century Schoolbook"/>
        </w:rPr>
        <w:t>isting</w:t>
      </w:r>
      <w:proofErr w:type="spellEnd"/>
      <w:r w:rsidR="006C6743" w:rsidRPr="008C6BB2">
        <w:rPr>
          <w:rFonts w:ascii="Century Schoolbook" w:hAnsi="Century Schoolbook"/>
        </w:rPr>
        <w:t>” each type of dismissal would be</w:t>
      </w:r>
      <w:r w:rsidR="00720D17" w:rsidRPr="008C6BB2">
        <w:rPr>
          <w:rFonts w:ascii="Century Schoolbook" w:hAnsi="Century Schoolbook"/>
        </w:rPr>
        <w:t xml:space="preserve"> </w:t>
      </w:r>
      <w:r w:rsidR="006C6743" w:rsidRPr="008C6BB2">
        <w:rPr>
          <w:rFonts w:ascii="Century Schoolbook" w:hAnsi="Century Schoolbook"/>
        </w:rPr>
        <w:t>“</w:t>
      </w:r>
      <w:r w:rsidR="00720D17" w:rsidRPr="008C6BB2">
        <w:rPr>
          <w:rFonts w:ascii="Century Schoolbook" w:hAnsi="Century Schoolbook"/>
        </w:rPr>
        <w:t>dangerous because of possible omissions</w:t>
      </w:r>
      <w:r w:rsidR="006C6743" w:rsidRPr="008C6BB2">
        <w:rPr>
          <w:rFonts w:ascii="Century Schoolbook" w:hAnsi="Century Schoolbook"/>
        </w:rPr>
        <w:t xml:space="preserve">.” </w:t>
      </w:r>
    </w:p>
    <w:p w14:paraId="38384B17" w14:textId="2CDEA6BA" w:rsidR="003E4572" w:rsidRPr="008C6BB2" w:rsidRDefault="003E4572" w:rsidP="008130B3">
      <w:pPr>
        <w:ind w:firstLine="720"/>
        <w:rPr>
          <w:rFonts w:ascii="Century Schoolbook" w:hAnsi="Century Schoolbook"/>
        </w:rPr>
      </w:pPr>
      <w:r w:rsidRPr="008C6BB2">
        <w:rPr>
          <w:rFonts w:ascii="Century Schoolbook" w:hAnsi="Century Schoolbook"/>
        </w:rPr>
        <w:t xml:space="preserve">At bottom, the challenge is that, because dismissals don’t </w:t>
      </w:r>
      <w:proofErr w:type="gramStart"/>
      <w:r w:rsidRPr="008C6BB2">
        <w:rPr>
          <w:rFonts w:ascii="Century Schoolbook" w:hAnsi="Century Schoolbook"/>
        </w:rPr>
        <w:t>actually involve</w:t>
      </w:r>
      <w:proofErr w:type="gramEnd"/>
      <w:r w:rsidRPr="008C6BB2">
        <w:rPr>
          <w:rFonts w:ascii="Century Schoolbook" w:hAnsi="Century Schoolbook"/>
        </w:rPr>
        <w:t xml:space="preserve"> adjudication upon the merits, there is no one-size-fits-all way to determine what types of dismissals allow a court to say that it did, effectively, adjudicate the case on the merits when dismissing the case</w:t>
      </w:r>
      <w:r w:rsidR="00BB7B36" w:rsidRPr="008C6BB2">
        <w:rPr>
          <w:rFonts w:ascii="Century Schoolbook" w:hAnsi="Century Schoolbook"/>
        </w:rPr>
        <w:t xml:space="preserve"> such that the dismissal is final</w:t>
      </w:r>
      <w:r w:rsidRPr="008C6BB2">
        <w:rPr>
          <w:rFonts w:ascii="Century Schoolbook" w:hAnsi="Century Schoolbook"/>
        </w:rPr>
        <w:t>.</w:t>
      </w:r>
      <w:r w:rsidR="00BB7B36" w:rsidRPr="008C6BB2">
        <w:rPr>
          <w:rFonts w:ascii="Century Schoolbook" w:hAnsi="Century Schoolbook"/>
        </w:rPr>
        <w:t xml:space="preserve"> Instead,</w:t>
      </w:r>
      <w:r w:rsidRPr="008C6BB2">
        <w:rPr>
          <w:rFonts w:ascii="Century Schoolbook" w:hAnsi="Century Schoolbook"/>
        </w:rPr>
        <w:t xml:space="preserve"> </w:t>
      </w:r>
      <w:r w:rsidR="00BB7B36" w:rsidRPr="008C6BB2">
        <w:rPr>
          <w:rFonts w:ascii="Century Schoolbook" w:hAnsi="Century Schoolbook"/>
        </w:rPr>
        <w:t>t</w:t>
      </w:r>
      <w:r w:rsidR="006C6743" w:rsidRPr="008C6BB2">
        <w:rPr>
          <w:rFonts w:ascii="Century Schoolbook" w:hAnsi="Century Schoolbook"/>
        </w:rPr>
        <w:t xml:space="preserve">oday’s Rule 41 </w:t>
      </w:r>
      <w:r w:rsidR="00F63ACD" w:rsidRPr="008C6BB2">
        <w:rPr>
          <w:rFonts w:ascii="Century Schoolbook" w:hAnsi="Century Schoolbook"/>
        </w:rPr>
        <w:t>adopts</w:t>
      </w:r>
      <w:r w:rsidR="006C6743" w:rsidRPr="008C6BB2">
        <w:rPr>
          <w:rFonts w:ascii="Century Schoolbook" w:hAnsi="Century Schoolbook"/>
        </w:rPr>
        <w:t xml:space="preserve"> </w:t>
      </w:r>
      <w:r w:rsidR="008130B3" w:rsidRPr="008C6BB2">
        <w:rPr>
          <w:rFonts w:ascii="Century Schoolbook" w:hAnsi="Century Schoolbook"/>
        </w:rPr>
        <w:t>what amounts to a</w:t>
      </w:r>
      <w:r w:rsidR="006C6743" w:rsidRPr="008C6BB2">
        <w:rPr>
          <w:rFonts w:ascii="Century Schoolbook" w:hAnsi="Century Schoolbook"/>
        </w:rPr>
        <w:t xml:space="preserve"> case specific approach. Under the rule, voluntar</w:t>
      </w:r>
      <w:r w:rsidR="008130B3" w:rsidRPr="008C6BB2">
        <w:rPr>
          <w:rFonts w:ascii="Century Schoolbook" w:hAnsi="Century Schoolbook"/>
        </w:rPr>
        <w:t>y</w:t>
      </w:r>
      <w:r w:rsidR="006C6743" w:rsidRPr="008C6BB2">
        <w:rPr>
          <w:rFonts w:ascii="Century Schoolbook" w:hAnsi="Century Schoolbook"/>
        </w:rPr>
        <w:t xml:space="preserve"> dismissals are (generally)</w:t>
      </w:r>
      <w:r w:rsidR="00F63ACD" w:rsidRPr="008C6BB2">
        <w:rPr>
          <w:rStyle w:val="FootnoteReference"/>
          <w:rFonts w:ascii="Century Schoolbook" w:hAnsi="Century Schoolbook"/>
        </w:rPr>
        <w:footnoteReference w:id="5"/>
      </w:r>
      <w:r w:rsidR="006C6743" w:rsidRPr="008C6BB2">
        <w:rPr>
          <w:rFonts w:ascii="Century Schoolbook" w:hAnsi="Century Schoolbook"/>
        </w:rPr>
        <w:t xml:space="preserve"> without prejudice, while involuntarily dismissals are (</w:t>
      </w:r>
      <w:r w:rsidR="00A3155D" w:rsidRPr="008C6BB2">
        <w:rPr>
          <w:rFonts w:ascii="Century Schoolbook" w:hAnsi="Century Schoolbook"/>
        </w:rPr>
        <w:t>far</w:t>
      </w:r>
      <w:r w:rsidR="000F3FFE" w:rsidRPr="008C6BB2">
        <w:rPr>
          <w:rFonts w:ascii="Century Schoolbook" w:hAnsi="Century Schoolbook"/>
        </w:rPr>
        <w:t xml:space="preserve"> less</w:t>
      </w:r>
      <w:r w:rsidR="00F63ACD" w:rsidRPr="008C6BB2">
        <w:rPr>
          <w:rFonts w:ascii="Century Schoolbook" w:hAnsi="Century Schoolbook"/>
        </w:rPr>
        <w:t xml:space="preserve"> </w:t>
      </w:r>
      <w:r w:rsidR="006C6743" w:rsidRPr="008C6BB2">
        <w:rPr>
          <w:rFonts w:ascii="Century Schoolbook" w:hAnsi="Century Schoolbook"/>
        </w:rPr>
        <w:t>generally) with prejudice. But</w:t>
      </w:r>
      <w:r w:rsidR="00F63ACD" w:rsidRPr="008C6BB2">
        <w:rPr>
          <w:rFonts w:ascii="Century Schoolbook" w:hAnsi="Century Schoolbook"/>
        </w:rPr>
        <w:t xml:space="preserve"> the exceptions are wide. Notably, dismissals for lack of jurisdiction, improper venue, and failure to join a necessary party are </w:t>
      </w:r>
      <w:r w:rsidR="000F3FFE" w:rsidRPr="008C6BB2">
        <w:rPr>
          <w:rFonts w:ascii="Century Schoolbook" w:hAnsi="Century Schoolbook"/>
        </w:rPr>
        <w:t xml:space="preserve">all </w:t>
      </w:r>
      <w:r w:rsidR="00F63ACD" w:rsidRPr="008C6BB2">
        <w:rPr>
          <w:rFonts w:ascii="Century Schoolbook" w:hAnsi="Century Schoolbook"/>
        </w:rPr>
        <w:t>presumptively without prejudice.</w:t>
      </w:r>
      <w:r w:rsidR="000F3FFE" w:rsidRPr="008C6BB2">
        <w:rPr>
          <w:rFonts w:ascii="Century Schoolbook" w:hAnsi="Century Schoolbook"/>
        </w:rPr>
        <w:t xml:space="preserve"> So, generally, are dismissals for failure to serve </w:t>
      </w:r>
      <w:r w:rsidRPr="008C6BB2">
        <w:rPr>
          <w:rFonts w:ascii="Century Schoolbook" w:hAnsi="Century Schoolbook"/>
        </w:rPr>
        <w:t>and even</w:t>
      </w:r>
      <w:r w:rsidR="000F3FFE" w:rsidRPr="008C6BB2">
        <w:rPr>
          <w:rFonts w:ascii="Century Schoolbook" w:hAnsi="Century Schoolbook"/>
        </w:rPr>
        <w:t xml:space="preserve"> failure to</w:t>
      </w:r>
      <w:r w:rsidRPr="008C6BB2">
        <w:rPr>
          <w:rFonts w:ascii="Century Schoolbook" w:hAnsi="Century Schoolbook"/>
        </w:rPr>
        <w:t xml:space="preserve"> state a claim upon which relief may be granted</w:t>
      </w:r>
      <w:r w:rsidR="000F3FFE" w:rsidRPr="008C6BB2">
        <w:rPr>
          <w:rFonts w:ascii="Century Schoolbook" w:hAnsi="Century Schoolbook"/>
        </w:rPr>
        <w:t>.</w:t>
      </w:r>
      <w:r w:rsidR="00744A9B" w:rsidRPr="008C6BB2">
        <w:rPr>
          <w:rFonts w:ascii="Century Schoolbook" w:hAnsi="Century Schoolbook"/>
        </w:rPr>
        <w:t xml:space="preserve"> </w:t>
      </w:r>
      <w:r w:rsidR="000F3FFE" w:rsidRPr="008C6BB2">
        <w:rPr>
          <w:rFonts w:ascii="Century Schoolbook" w:hAnsi="Century Schoolbook"/>
        </w:rPr>
        <w:t xml:space="preserve"> </w:t>
      </w:r>
    </w:p>
    <w:p w14:paraId="11B9F8BD" w14:textId="77F5ED3F" w:rsidR="008527AA" w:rsidRPr="008C6BB2" w:rsidRDefault="00744A9B" w:rsidP="00744A9B">
      <w:pPr>
        <w:ind w:firstLine="720"/>
        <w:rPr>
          <w:rFonts w:ascii="Century Schoolbook" w:hAnsi="Century Schoolbook"/>
        </w:rPr>
      </w:pPr>
      <w:r w:rsidRPr="008C6BB2">
        <w:rPr>
          <w:rFonts w:ascii="Century Schoolbook" w:hAnsi="Century Schoolbook"/>
        </w:rPr>
        <w:t>Turning to the defects</w:t>
      </w:r>
      <w:r w:rsidR="00A3155D" w:rsidRPr="008C6BB2">
        <w:rPr>
          <w:rFonts w:ascii="Century Schoolbook" w:hAnsi="Century Schoolbook"/>
        </w:rPr>
        <w:t xml:space="preserve"> at issue</w:t>
      </w:r>
      <w:r w:rsidRPr="008C6BB2">
        <w:rPr>
          <w:rFonts w:ascii="Century Schoolbook" w:hAnsi="Century Schoolbook"/>
        </w:rPr>
        <w:t xml:space="preserve"> helps to explain the tilt toward dismissing without prejudice. A plaintiff can remedy a failure to serve by serving the defendant properly; correct improper venue by re-filing the case in a court where venue is </w:t>
      </w:r>
      <w:r w:rsidRPr="008C6BB2">
        <w:rPr>
          <w:rFonts w:ascii="Century Schoolbook" w:hAnsi="Century Schoolbook"/>
        </w:rPr>
        <w:lastRenderedPageBreak/>
        <w:t>proper; join a necessary party; and so on. The defects are, on their face, fixable</w:t>
      </w:r>
      <w:r w:rsidR="00BB7B36" w:rsidRPr="008C6BB2">
        <w:rPr>
          <w:rFonts w:ascii="Century Schoolbook" w:hAnsi="Century Schoolbook"/>
        </w:rPr>
        <w:t>,</w:t>
      </w:r>
      <w:r w:rsidRPr="008C6BB2">
        <w:rPr>
          <w:rFonts w:ascii="Century Schoolbook" w:hAnsi="Century Schoolbook"/>
        </w:rPr>
        <w:t xml:space="preserve"> so something else needs to drive </w:t>
      </w:r>
      <w:r w:rsidR="00177F2B" w:rsidRPr="008C6BB2">
        <w:rPr>
          <w:rFonts w:ascii="Century Schoolbook" w:hAnsi="Century Schoolbook"/>
        </w:rPr>
        <w:t>a judge’s decision to dismiss with prejudice</w:t>
      </w:r>
      <w:proofErr w:type="gramStart"/>
      <w:r w:rsidR="00177F2B" w:rsidRPr="008C6BB2">
        <w:rPr>
          <w:rFonts w:ascii="Century Schoolbook" w:hAnsi="Century Schoolbook"/>
        </w:rPr>
        <w:t>—[</w:t>
      </w:r>
      <w:proofErr w:type="gramEnd"/>
      <w:r w:rsidR="00177F2B" w:rsidRPr="008C6BB2">
        <w:rPr>
          <w:rFonts w:ascii="Century Schoolbook" w:hAnsi="Century Schoolbook"/>
        </w:rPr>
        <w:t xml:space="preserve">the litigant’s behavior, which suggests that, at least in that case, the defect isn’t </w:t>
      </w:r>
      <w:proofErr w:type="gramStart"/>
      <w:r w:rsidR="00177F2B" w:rsidRPr="008C6BB2">
        <w:rPr>
          <w:rFonts w:ascii="Century Schoolbook" w:hAnsi="Century Schoolbook"/>
        </w:rPr>
        <w:t>actually fixable</w:t>
      </w:r>
      <w:proofErr w:type="gramEnd"/>
      <w:r w:rsidR="00177F2B" w:rsidRPr="008C6BB2">
        <w:rPr>
          <w:rFonts w:ascii="Century Schoolbook" w:hAnsi="Century Schoolbook"/>
        </w:rPr>
        <w:t>].</w:t>
      </w:r>
      <w:r w:rsidRPr="008C6BB2">
        <w:rPr>
          <w:rFonts w:ascii="Century Schoolbook" w:hAnsi="Century Schoolbook"/>
        </w:rPr>
        <w:t xml:space="preserve"> The result is that</w:t>
      </w:r>
      <w:r w:rsidR="00177F2B" w:rsidRPr="008C6BB2">
        <w:rPr>
          <w:rFonts w:ascii="Century Schoolbook" w:hAnsi="Century Schoolbook"/>
        </w:rPr>
        <w:t>, although the</w:t>
      </w:r>
      <w:r w:rsidR="000F3FFE" w:rsidRPr="008C6BB2">
        <w:rPr>
          <w:rFonts w:ascii="Century Schoolbook" w:hAnsi="Century Schoolbook"/>
        </w:rPr>
        <w:t xml:space="preserve"> rules try </w:t>
      </w:r>
      <w:r w:rsidR="003E4572" w:rsidRPr="008C6BB2">
        <w:rPr>
          <w:rFonts w:ascii="Century Schoolbook" w:hAnsi="Century Schoolbook"/>
        </w:rPr>
        <w:t>to</w:t>
      </w:r>
      <w:r w:rsidR="000F3FFE" w:rsidRPr="008C6BB2">
        <w:rPr>
          <w:rFonts w:ascii="Century Schoolbook" w:hAnsi="Century Schoolbook"/>
        </w:rPr>
        <w:t xml:space="preserve"> dist</w:t>
      </w:r>
      <w:r w:rsidR="003E4572" w:rsidRPr="008C6BB2">
        <w:rPr>
          <w:rFonts w:ascii="Century Schoolbook" w:hAnsi="Century Schoolbook"/>
        </w:rPr>
        <w:t>inguish</w:t>
      </w:r>
      <w:r w:rsidR="000F3FFE" w:rsidRPr="008C6BB2">
        <w:rPr>
          <w:rFonts w:ascii="Century Schoolbook" w:hAnsi="Century Schoolbook"/>
        </w:rPr>
        <w:t xml:space="preserve"> between the types of </w:t>
      </w:r>
      <w:r w:rsidR="00177F2B" w:rsidRPr="008C6BB2">
        <w:rPr>
          <w:rFonts w:ascii="Century Schoolbook" w:hAnsi="Century Schoolbook"/>
        </w:rPr>
        <w:t>defects that</w:t>
      </w:r>
      <w:r w:rsidR="000F3FFE" w:rsidRPr="008C6BB2">
        <w:rPr>
          <w:rFonts w:ascii="Century Schoolbook" w:hAnsi="Century Schoolbook"/>
        </w:rPr>
        <w:t xml:space="preserve"> should yield one type of dismissal versus another</w:t>
      </w:r>
      <w:r w:rsidR="00177F2B" w:rsidRPr="008C6BB2">
        <w:rPr>
          <w:rFonts w:ascii="Century Schoolbook" w:hAnsi="Century Schoolbook"/>
        </w:rPr>
        <w:t xml:space="preserve">, much of the work rests on case-specific considerations </w:t>
      </w:r>
      <w:r w:rsidR="00A3155D" w:rsidRPr="008C6BB2">
        <w:rPr>
          <w:rFonts w:ascii="Century Schoolbook" w:hAnsi="Century Schoolbook"/>
        </w:rPr>
        <w:t>and, ultimately,</w:t>
      </w:r>
      <w:r w:rsidR="00177F2B" w:rsidRPr="008C6BB2">
        <w:rPr>
          <w:rFonts w:ascii="Century Schoolbook" w:hAnsi="Century Schoolbook"/>
        </w:rPr>
        <w:t xml:space="preserve"> judicial discretion.</w:t>
      </w:r>
      <w:r w:rsidR="000F3FFE" w:rsidRPr="008C6BB2">
        <w:rPr>
          <w:rFonts w:ascii="Century Schoolbook" w:hAnsi="Century Schoolbook"/>
        </w:rPr>
        <w:t xml:space="preserve"> </w:t>
      </w:r>
    </w:p>
    <w:p w14:paraId="03432887" w14:textId="304FCF2C" w:rsidR="00894551" w:rsidRPr="008C6BB2" w:rsidRDefault="00177F2B" w:rsidP="00744A9B">
      <w:pPr>
        <w:ind w:firstLine="720"/>
        <w:rPr>
          <w:rFonts w:ascii="Century Schoolbook" w:hAnsi="Century Schoolbook"/>
        </w:rPr>
      </w:pPr>
      <w:r w:rsidRPr="008C6BB2">
        <w:rPr>
          <w:rFonts w:ascii="Century Schoolbook" w:hAnsi="Century Schoolbook"/>
        </w:rPr>
        <w:t>The s</w:t>
      </w:r>
      <w:r w:rsidR="000F3FFE" w:rsidRPr="008C6BB2">
        <w:rPr>
          <w:rFonts w:ascii="Century Schoolbook" w:hAnsi="Century Schoolbook"/>
        </w:rPr>
        <w:t>econd</w:t>
      </w:r>
      <w:r w:rsidRPr="008C6BB2">
        <w:rPr>
          <w:rFonts w:ascii="Century Schoolbook" w:hAnsi="Century Schoolbook"/>
        </w:rPr>
        <w:t xml:space="preserve"> challenge is that </w:t>
      </w:r>
      <w:r w:rsidR="00BB7B36" w:rsidRPr="008C6BB2">
        <w:rPr>
          <w:rFonts w:ascii="Century Schoolbook" w:hAnsi="Century Schoolbook"/>
        </w:rPr>
        <w:t>the labels themselves don’t necessarily mean anything. In a variety of circumstances, appellate courts have crafted functional rules to determine whether a dismissal is sufficiently final for an appeal to be taken, regardless of how the order is designated below.</w:t>
      </w:r>
      <w:r w:rsidR="00894551" w:rsidRPr="008C6BB2">
        <w:rPr>
          <w:rFonts w:ascii="Century Schoolbook" w:hAnsi="Century Schoolbook"/>
        </w:rPr>
        <w:t xml:space="preserve"> For instance,</w:t>
      </w:r>
      <w:r w:rsidR="00BB7B36" w:rsidRPr="008C6BB2">
        <w:rPr>
          <w:rFonts w:ascii="Century Schoolbook" w:hAnsi="Century Schoolbook"/>
        </w:rPr>
        <w:t xml:space="preserve"> </w:t>
      </w:r>
      <w:r w:rsidR="00894551" w:rsidRPr="008C6BB2">
        <w:rPr>
          <w:rFonts w:ascii="Century Schoolbook" w:hAnsi="Century Schoolbook"/>
        </w:rPr>
        <w:t>a</w:t>
      </w:r>
      <w:r w:rsidR="00BB7B36" w:rsidRPr="008C6BB2">
        <w:rPr>
          <w:rFonts w:ascii="Century Schoolbook" w:hAnsi="Century Schoolbook"/>
        </w:rPr>
        <w:t xml:space="preserve">s the Seventh Circuit has explained, </w:t>
      </w:r>
      <w:r w:rsidR="00894551" w:rsidRPr="008C6BB2">
        <w:rPr>
          <w:rFonts w:ascii="Century Schoolbook" w:hAnsi="Century Schoolbook"/>
        </w:rPr>
        <w:t>“the phrase ‘without prejudice’ makes jurisdictional antennae twitch for appellate judges and other mavens of appellate jurisdiction.”</w:t>
      </w:r>
      <w:r w:rsidR="00894551" w:rsidRPr="008C6BB2">
        <w:rPr>
          <w:rStyle w:val="FootnoteReference"/>
          <w:rFonts w:ascii="Century Schoolbook" w:hAnsi="Century Schoolbook"/>
        </w:rPr>
        <w:footnoteReference w:id="6"/>
      </w:r>
      <w:r w:rsidR="00BB7B36" w:rsidRPr="008C6BB2">
        <w:rPr>
          <w:rFonts w:ascii="Century Schoolbook" w:hAnsi="Century Schoolbook"/>
        </w:rPr>
        <w:t xml:space="preserve"> </w:t>
      </w:r>
      <w:r w:rsidR="00894551" w:rsidRPr="008C6BB2">
        <w:rPr>
          <w:rFonts w:ascii="Century Schoolbook" w:hAnsi="Century Schoolbook"/>
        </w:rPr>
        <w:t>So,</w:t>
      </w:r>
      <w:r w:rsidR="004B3ECD" w:rsidRPr="008C6BB2">
        <w:rPr>
          <w:rFonts w:ascii="Century Schoolbook" w:hAnsi="Century Schoolbook"/>
        </w:rPr>
        <w:t xml:space="preserve"> in the Seventh Circuit,</w:t>
      </w:r>
      <w:r w:rsidR="00894551" w:rsidRPr="008C6BB2">
        <w:rPr>
          <w:rFonts w:ascii="Century Schoolbook" w:hAnsi="Century Schoolbook"/>
        </w:rPr>
        <w:t xml:space="preserve"> dismissals “based on a lack of subject-matter or personal jurisdiction or improper venue, are final for purposes of appeal,” because they “signal clearly that the district court has finished with the case but is leaving open the possibility that the parties may pursue the dispute in another forum.”</w:t>
      </w:r>
      <w:r w:rsidR="004B3ECD" w:rsidRPr="008C6BB2">
        <w:rPr>
          <w:rStyle w:val="FootnoteReference"/>
          <w:rFonts w:ascii="Century Schoolbook" w:hAnsi="Century Schoolbook"/>
        </w:rPr>
        <w:footnoteReference w:id="7"/>
      </w:r>
      <w:r w:rsidR="00894551" w:rsidRPr="008C6BB2">
        <w:rPr>
          <w:rFonts w:ascii="Century Schoolbook" w:hAnsi="Century Schoolbook"/>
        </w:rPr>
        <w:t xml:space="preserve">   </w:t>
      </w:r>
    </w:p>
    <w:p w14:paraId="569C3341" w14:textId="6B152C89" w:rsidR="00894551" w:rsidRPr="008C6BB2" w:rsidRDefault="004B3ECD" w:rsidP="00744A9B">
      <w:pPr>
        <w:ind w:firstLine="720"/>
        <w:rPr>
          <w:rFonts w:ascii="Century Schoolbook" w:hAnsi="Century Schoolbook"/>
        </w:rPr>
      </w:pPr>
      <w:r w:rsidRPr="008C6BB2">
        <w:rPr>
          <w:rFonts w:ascii="Century Schoolbook" w:hAnsi="Century Schoolbook"/>
        </w:rPr>
        <w:t xml:space="preserve">[Defects again are helpful, because they sort which cases </w:t>
      </w:r>
      <w:r w:rsidR="003841D1" w:rsidRPr="008C6BB2">
        <w:rPr>
          <w:rFonts w:ascii="Century Schoolbook" w:hAnsi="Century Schoolbook"/>
        </w:rPr>
        <w:t xml:space="preserve">generally </w:t>
      </w:r>
      <w:r w:rsidRPr="008C6BB2">
        <w:rPr>
          <w:rFonts w:ascii="Century Schoolbook" w:hAnsi="Century Schoolbook"/>
        </w:rPr>
        <w:t xml:space="preserve">done before that </w:t>
      </w:r>
      <w:proofErr w:type="gramStart"/>
      <w:r w:rsidRPr="008C6BB2">
        <w:rPr>
          <w:rFonts w:ascii="Century Schoolbook" w:hAnsi="Century Schoolbook"/>
        </w:rPr>
        <w:t>particular district</w:t>
      </w:r>
      <w:proofErr w:type="gramEnd"/>
      <w:r w:rsidRPr="008C6BB2">
        <w:rPr>
          <w:rFonts w:ascii="Century Schoolbook" w:hAnsi="Century Schoolbook"/>
        </w:rPr>
        <w:t xml:space="preserve"> court.</w:t>
      </w:r>
      <w:r w:rsidR="000F09F5" w:rsidRPr="008C6BB2">
        <w:rPr>
          <w:rFonts w:ascii="Century Schoolbook" w:hAnsi="Century Schoolbook"/>
        </w:rPr>
        <w:t xml:space="preserve"> Not just an “easily fixable problem,” see 586 F.3d 500, 506-07, but rather a problem that can be fixed by the plaintiff without an intervening action by a third party. (</w:t>
      </w:r>
      <w:r w:rsidR="0013723C" w:rsidRPr="008C6BB2">
        <w:rPr>
          <w:rFonts w:ascii="Century Schoolbook" w:hAnsi="Century Schoolbook"/>
        </w:rPr>
        <w:t>Even this, however, breaks down.)]</w:t>
      </w:r>
    </w:p>
    <w:p w14:paraId="47A59AFA" w14:textId="1DC12AAB" w:rsidR="00C0761A" w:rsidRPr="008C6BB2" w:rsidRDefault="00C0761A" w:rsidP="00C0761A">
      <w:pPr>
        <w:pStyle w:val="ListParagraph"/>
        <w:numPr>
          <w:ilvl w:val="0"/>
          <w:numId w:val="2"/>
        </w:numPr>
        <w:rPr>
          <w:rFonts w:ascii="Century Schoolbook" w:hAnsi="Century Schoolbook"/>
        </w:rPr>
      </w:pPr>
      <w:r w:rsidRPr="008C6BB2">
        <w:rPr>
          <w:rFonts w:ascii="Century Schoolbook" w:hAnsi="Century Schoolbook"/>
        </w:rPr>
        <w:t>Varieties of Dismissal</w:t>
      </w:r>
      <w:r w:rsidRPr="008C6BB2">
        <w:rPr>
          <w:rFonts w:ascii="Century Schoolbook" w:hAnsi="Century Schoolbook"/>
        </w:rPr>
        <w:t xml:space="preserve"> Without Prejudice</w:t>
      </w:r>
    </w:p>
    <w:p w14:paraId="28790D00" w14:textId="7E3A8BD3" w:rsidR="00DB20DE" w:rsidRPr="008C6BB2" w:rsidRDefault="00C0761A" w:rsidP="00B45F83">
      <w:pPr>
        <w:ind w:firstLine="720"/>
        <w:rPr>
          <w:rFonts w:ascii="Century Schoolbook" w:hAnsi="Century Schoolbook"/>
        </w:rPr>
      </w:pPr>
      <w:r w:rsidRPr="008C6BB2">
        <w:rPr>
          <w:rFonts w:ascii="Century Schoolbook" w:hAnsi="Century Schoolbook"/>
        </w:rPr>
        <w:t xml:space="preserve">The distinction between dismissals </w:t>
      </w:r>
      <w:r w:rsidRPr="008C6BB2">
        <w:rPr>
          <w:rFonts w:ascii="Century Schoolbook" w:hAnsi="Century Schoolbook"/>
          <w:i/>
          <w:iCs/>
        </w:rPr>
        <w:t>with</w:t>
      </w:r>
      <w:r w:rsidRPr="008C6BB2">
        <w:rPr>
          <w:rFonts w:ascii="Century Schoolbook" w:hAnsi="Century Schoolbook"/>
        </w:rPr>
        <w:t xml:space="preserve"> and </w:t>
      </w:r>
      <w:r w:rsidRPr="008C6BB2">
        <w:rPr>
          <w:rFonts w:ascii="Century Schoolbook" w:hAnsi="Century Schoolbook"/>
          <w:i/>
          <w:iCs/>
        </w:rPr>
        <w:t xml:space="preserve">without </w:t>
      </w:r>
      <w:r w:rsidRPr="008C6BB2">
        <w:rPr>
          <w:rFonts w:ascii="Century Schoolbook" w:hAnsi="Century Schoolbook"/>
        </w:rPr>
        <w:t xml:space="preserve">prejudice gets at a major </w:t>
      </w:r>
      <w:r w:rsidRPr="008C6BB2">
        <w:rPr>
          <w:rFonts w:ascii="Century Schoolbook" w:hAnsi="Century Schoolbook"/>
        </w:rPr>
        <w:t xml:space="preserve">(if elusive) </w:t>
      </w:r>
      <w:r w:rsidRPr="008C6BB2">
        <w:rPr>
          <w:rFonts w:ascii="Century Schoolbook" w:hAnsi="Century Schoolbook"/>
        </w:rPr>
        <w:t xml:space="preserve">fault line in the law of dismissals, but </w:t>
      </w:r>
      <w:r w:rsidRPr="008C6BB2">
        <w:rPr>
          <w:rFonts w:ascii="Century Schoolbook" w:hAnsi="Century Schoolbook"/>
        </w:rPr>
        <w:t xml:space="preserve">like the beetles of the Galápagos Islands, such simplistic categories belie considerable diversity. </w:t>
      </w:r>
      <w:r w:rsidRPr="008C6BB2">
        <w:rPr>
          <w:rFonts w:ascii="Century Schoolbook" w:hAnsi="Century Schoolbook"/>
        </w:rPr>
        <w:t xml:space="preserve">Actions or claims can be dismissed without prejudice for a variety of reasons and in a variety of manners. To be sure, these species of dismissal are neither </w:t>
      </w:r>
      <w:r w:rsidR="00B45F83" w:rsidRPr="008C6BB2">
        <w:rPr>
          <w:rFonts w:ascii="Century Schoolbook" w:hAnsi="Century Schoolbook"/>
        </w:rPr>
        <w:t xml:space="preserve">perfectly </w:t>
      </w:r>
      <w:r w:rsidRPr="008C6BB2">
        <w:rPr>
          <w:rFonts w:ascii="Century Schoolbook" w:hAnsi="Century Schoolbook"/>
        </w:rPr>
        <w:t>mutually exclusive nor wholly conceptually coherent.</w:t>
      </w:r>
      <w:r w:rsidR="00B45F83" w:rsidRPr="008C6BB2">
        <w:rPr>
          <w:rFonts w:ascii="Century Schoolbook" w:hAnsi="Century Schoolbook"/>
        </w:rPr>
        <w:t xml:space="preserve"> In any case, by surveying the field and searching for distinctions, we hope to learn some general principles of dismissal while also shining a light on a few outstanding puzzles. </w:t>
      </w:r>
    </w:p>
    <w:p w14:paraId="7DD662CC" w14:textId="58C5E7F4" w:rsidR="008C6BB2" w:rsidRPr="008C6BB2" w:rsidRDefault="008C6BB2" w:rsidP="008058C4">
      <w:pPr>
        <w:ind w:firstLine="720"/>
        <w:rPr>
          <w:rFonts w:ascii="Century Schoolbook" w:hAnsi="Century Schoolbook"/>
        </w:rPr>
      </w:pPr>
      <w:r w:rsidRPr="008C6BB2">
        <w:rPr>
          <w:rFonts w:ascii="Century Schoolbook" w:hAnsi="Century Schoolbook"/>
        </w:rPr>
        <w:lastRenderedPageBreak/>
        <w:t>Our best attempt at a close-to-exhaustive enumeration of dismissals without prejudice is as follows:</w:t>
      </w:r>
      <w:r>
        <w:rPr>
          <w:rStyle w:val="FootnoteReference"/>
          <w:rFonts w:ascii="Century Schoolbook" w:hAnsi="Century Schoolbook"/>
        </w:rPr>
        <w:footnoteReference w:id="8"/>
      </w:r>
      <w:r w:rsidRPr="008C6BB2">
        <w:rPr>
          <w:rFonts w:ascii="Century Schoolbook" w:hAnsi="Century Schoolbook"/>
        </w:rPr>
        <w:t xml:space="preserve"> </w:t>
      </w:r>
      <w:r w:rsidR="00FD550A">
        <w:rPr>
          <w:rFonts w:ascii="Century Schoolbook" w:hAnsi="Century Schoolbook"/>
        </w:rPr>
        <w:t>dismissals for lack of standing;</w:t>
      </w:r>
      <w:r w:rsidR="00FD550A">
        <w:rPr>
          <w:rStyle w:val="FootnoteReference"/>
          <w:rFonts w:ascii="Century Schoolbook" w:hAnsi="Century Schoolbook"/>
        </w:rPr>
        <w:footnoteReference w:id="9"/>
      </w:r>
      <w:r w:rsidR="00FD550A">
        <w:rPr>
          <w:rFonts w:ascii="Century Schoolbook" w:hAnsi="Century Schoolbook"/>
        </w:rPr>
        <w:t xml:space="preserve"> </w:t>
      </w:r>
      <w:r w:rsidRPr="008C6BB2">
        <w:rPr>
          <w:rFonts w:ascii="Century Schoolbook" w:hAnsi="Century Schoolbook"/>
        </w:rPr>
        <w:t>dismissal for failure to timely serve the defendant;</w:t>
      </w:r>
      <w:r w:rsidRPr="008C6BB2">
        <w:rPr>
          <w:rFonts w:ascii="Century Schoolbook" w:hAnsi="Century Schoolbook"/>
          <w:vertAlign w:val="superscript"/>
        </w:rPr>
        <w:footnoteReference w:id="10"/>
      </w:r>
      <w:r w:rsidRPr="008C6BB2">
        <w:rPr>
          <w:rFonts w:ascii="Century Schoolbook" w:hAnsi="Century Schoolbook"/>
        </w:rPr>
        <w:t xml:space="preserve"> dismissal for lack of subject matter jurisdiction;</w:t>
      </w:r>
      <w:r w:rsidRPr="008C6BB2">
        <w:rPr>
          <w:rFonts w:ascii="Century Schoolbook" w:hAnsi="Century Schoolbook"/>
          <w:vertAlign w:val="superscript"/>
        </w:rPr>
        <w:footnoteReference w:id="11"/>
      </w:r>
      <w:r w:rsidRPr="008C6BB2">
        <w:rPr>
          <w:rFonts w:ascii="Century Schoolbook" w:hAnsi="Century Schoolbook"/>
        </w:rPr>
        <w:t xml:space="preserve"> dismissal for lack of personal jurisdiction;</w:t>
      </w:r>
      <w:r w:rsidRPr="008C6BB2">
        <w:rPr>
          <w:rFonts w:ascii="Century Schoolbook" w:hAnsi="Century Schoolbook"/>
          <w:vertAlign w:val="superscript"/>
        </w:rPr>
        <w:footnoteReference w:id="12"/>
      </w:r>
      <w:r w:rsidRPr="008C6BB2">
        <w:rPr>
          <w:rFonts w:ascii="Century Schoolbook" w:hAnsi="Century Schoolbook"/>
        </w:rPr>
        <w:t xml:space="preserve"> dismissal for improper venue;</w:t>
      </w:r>
      <w:r w:rsidRPr="008C6BB2">
        <w:rPr>
          <w:rFonts w:ascii="Century Schoolbook" w:hAnsi="Century Schoolbook"/>
          <w:vertAlign w:val="superscript"/>
        </w:rPr>
        <w:footnoteReference w:id="13"/>
      </w:r>
      <w:r w:rsidRPr="008C6BB2">
        <w:rPr>
          <w:rFonts w:ascii="Century Schoolbook" w:hAnsi="Century Schoolbook"/>
        </w:rPr>
        <w:t xml:space="preserve"> dismissal for insufficiency of process;</w:t>
      </w:r>
      <w:r w:rsidRPr="008C6BB2">
        <w:rPr>
          <w:rFonts w:ascii="Century Schoolbook" w:hAnsi="Century Schoolbook"/>
          <w:vertAlign w:val="superscript"/>
        </w:rPr>
        <w:footnoteReference w:id="14"/>
      </w:r>
      <w:r w:rsidRPr="008C6BB2">
        <w:rPr>
          <w:rFonts w:ascii="Century Schoolbook" w:hAnsi="Century Schoolbook"/>
        </w:rPr>
        <w:t xml:space="preserve"> dismissal for insufficiency of service of process;</w:t>
      </w:r>
      <w:r w:rsidRPr="008C6BB2">
        <w:rPr>
          <w:rFonts w:ascii="Century Schoolbook" w:hAnsi="Century Schoolbook"/>
          <w:vertAlign w:val="superscript"/>
        </w:rPr>
        <w:footnoteReference w:id="15"/>
      </w:r>
      <w:r w:rsidRPr="008C6BB2">
        <w:rPr>
          <w:rFonts w:ascii="Century Schoolbook" w:hAnsi="Century Schoolbook"/>
        </w:rPr>
        <w:t xml:space="preserve"> dismissal for failure to state a claim upon which relief can be granted;</w:t>
      </w:r>
      <w:r w:rsidRPr="008C6BB2">
        <w:rPr>
          <w:rFonts w:ascii="Century Schoolbook" w:hAnsi="Century Schoolbook"/>
          <w:vertAlign w:val="superscript"/>
        </w:rPr>
        <w:footnoteReference w:id="16"/>
      </w:r>
      <w:r w:rsidRPr="008C6BB2">
        <w:rPr>
          <w:rFonts w:ascii="Century Schoolbook" w:hAnsi="Century Schoolbook"/>
        </w:rPr>
        <w:t xml:space="preserve"> dismissal for failure to join a necessary party;</w:t>
      </w:r>
      <w:r w:rsidRPr="008C6BB2">
        <w:rPr>
          <w:rFonts w:ascii="Century Schoolbook" w:hAnsi="Century Schoolbook"/>
          <w:vertAlign w:val="superscript"/>
        </w:rPr>
        <w:footnoteReference w:id="17"/>
      </w:r>
      <w:r w:rsidRPr="008C6BB2">
        <w:rPr>
          <w:rFonts w:ascii="Century Schoolbook" w:hAnsi="Century Schoolbook"/>
        </w:rPr>
        <w:t xml:space="preserve"> failure to prosecute the action in the name of the real party in interest;</w:t>
      </w:r>
      <w:r>
        <w:rPr>
          <w:rStyle w:val="FootnoteReference"/>
          <w:rFonts w:ascii="Century Schoolbook" w:hAnsi="Century Schoolbook"/>
        </w:rPr>
        <w:footnoteReference w:id="18"/>
      </w:r>
      <w:r w:rsidR="001A4D51">
        <w:rPr>
          <w:rFonts w:ascii="Century Schoolbook" w:hAnsi="Century Schoolbook"/>
        </w:rPr>
        <w:t xml:space="preserve"> failure to timely move for substitution following a party’s death;</w:t>
      </w:r>
      <w:r w:rsidR="001A4D51">
        <w:rPr>
          <w:rStyle w:val="FootnoteReference"/>
          <w:rFonts w:ascii="Century Schoolbook" w:hAnsi="Century Schoolbook"/>
        </w:rPr>
        <w:footnoteReference w:id="19"/>
      </w:r>
      <w:r w:rsidR="001A4D51">
        <w:rPr>
          <w:rFonts w:ascii="Century Schoolbook" w:hAnsi="Century Schoolbook"/>
        </w:rPr>
        <w:t xml:space="preserve"> failure to provide or permit discovery or to </w:t>
      </w:r>
      <w:proofErr w:type="spellStart"/>
      <w:r w:rsidR="001A4D51">
        <w:rPr>
          <w:rFonts w:ascii="Century Schoolbook" w:hAnsi="Century Schoolbook"/>
        </w:rPr>
        <w:t>oetherwise</w:t>
      </w:r>
      <w:proofErr w:type="spellEnd"/>
      <w:r w:rsidR="001A4D51">
        <w:rPr>
          <w:rFonts w:ascii="Century Schoolbook" w:hAnsi="Century Schoolbook"/>
        </w:rPr>
        <w:t xml:space="preserve"> obey a discovery order;</w:t>
      </w:r>
      <w:r w:rsidR="001A4D51">
        <w:rPr>
          <w:rStyle w:val="FootnoteReference"/>
          <w:rFonts w:ascii="Century Schoolbook" w:hAnsi="Century Schoolbook"/>
        </w:rPr>
        <w:footnoteReference w:id="20"/>
      </w:r>
      <w:r w:rsidR="001A4D51">
        <w:rPr>
          <w:rFonts w:ascii="Century Schoolbook" w:hAnsi="Century Schoolbook"/>
        </w:rPr>
        <w:t xml:space="preserve"> failure to attend, participate in, or obey orders entered pursuant to a scheduling or other pretrial conference;</w:t>
      </w:r>
      <w:r w:rsidR="001A4D51">
        <w:rPr>
          <w:rStyle w:val="FootnoteReference"/>
          <w:rFonts w:ascii="Century Schoolbook" w:hAnsi="Century Schoolbook"/>
        </w:rPr>
        <w:footnoteReference w:id="21"/>
      </w:r>
      <w:r w:rsidR="001A4D51">
        <w:rPr>
          <w:rFonts w:ascii="Century Schoolbook" w:hAnsi="Century Schoolbook"/>
        </w:rPr>
        <w:t xml:space="preserve"> failure to preserve electronically stored information and doing so with an intent to deprive another party of the information’s use in litigation;</w:t>
      </w:r>
      <w:r w:rsidR="001A4D51">
        <w:rPr>
          <w:rStyle w:val="FootnoteReference"/>
          <w:rFonts w:ascii="Century Schoolbook" w:hAnsi="Century Schoolbook"/>
        </w:rPr>
        <w:footnoteReference w:id="22"/>
      </w:r>
      <w:r w:rsidR="001A4D51">
        <w:rPr>
          <w:rFonts w:ascii="Century Schoolbook" w:hAnsi="Century Schoolbook"/>
        </w:rPr>
        <w:t xml:space="preserve"> failure of the plaintiff to prosecute or to comply </w:t>
      </w:r>
      <w:r w:rsidR="001A4D51">
        <w:rPr>
          <w:rFonts w:ascii="Century Schoolbook" w:hAnsi="Century Schoolbook"/>
        </w:rPr>
        <w:lastRenderedPageBreak/>
        <w:t>with the Federal Rules of Civil Procedure or any order of court;</w:t>
      </w:r>
      <w:r w:rsidR="001A4D51">
        <w:rPr>
          <w:rStyle w:val="FootnoteReference"/>
          <w:rFonts w:ascii="Century Schoolbook" w:hAnsi="Century Schoolbook"/>
        </w:rPr>
        <w:footnoteReference w:id="23"/>
      </w:r>
      <w:r w:rsidR="005559B9">
        <w:rPr>
          <w:rFonts w:ascii="Century Schoolbook" w:hAnsi="Century Schoolbook"/>
        </w:rPr>
        <w:t xml:space="preserve"> dismissal when deemed by a judge the appropriate sanction for a Rule 11 violation;</w:t>
      </w:r>
      <w:r w:rsidR="005559B9">
        <w:rPr>
          <w:rStyle w:val="FootnoteReference"/>
          <w:rFonts w:ascii="Century Schoolbook" w:hAnsi="Century Schoolbook"/>
        </w:rPr>
        <w:footnoteReference w:id="24"/>
      </w:r>
      <w:r w:rsidR="005559B9">
        <w:rPr>
          <w:rFonts w:ascii="Century Schoolbook" w:hAnsi="Century Schoolbook"/>
        </w:rPr>
        <w:t xml:space="preserve"> voluntary dismissal by a plaintiff </w:t>
      </w:r>
      <w:r w:rsidR="008058C4">
        <w:rPr>
          <w:rFonts w:ascii="Century Schoolbook" w:hAnsi="Century Schoolbook"/>
        </w:rPr>
        <w:t>following the filing of a timely notice or a stipulation signed by all parties;</w:t>
      </w:r>
      <w:r w:rsidR="008058C4">
        <w:rPr>
          <w:rStyle w:val="FootnoteReference"/>
          <w:rFonts w:ascii="Century Schoolbook" w:hAnsi="Century Schoolbook"/>
        </w:rPr>
        <w:footnoteReference w:id="25"/>
      </w:r>
      <w:r w:rsidR="008058C4">
        <w:rPr>
          <w:rFonts w:ascii="Century Schoolbook" w:hAnsi="Century Schoolbook"/>
        </w:rPr>
        <w:t xml:space="preserve"> and, if the time limit for a voluntary dismissal by notice has expired, dismissal upon the granting of a plaintiff’s motion for voluntary dismissal.</w:t>
      </w:r>
      <w:r w:rsidR="008058C4">
        <w:rPr>
          <w:rStyle w:val="FootnoteReference"/>
          <w:rFonts w:ascii="Century Schoolbook" w:hAnsi="Century Schoolbook"/>
        </w:rPr>
        <w:footnoteReference w:id="26"/>
      </w:r>
      <w:r w:rsidR="008058C4">
        <w:rPr>
          <w:rFonts w:ascii="Century Schoolbook" w:hAnsi="Century Schoolbook"/>
        </w:rPr>
        <w:t xml:space="preserve"> </w:t>
      </w:r>
      <w:r w:rsidRPr="008C6BB2">
        <w:rPr>
          <w:rFonts w:ascii="Century Schoolbook" w:hAnsi="Century Schoolbook"/>
        </w:rPr>
        <w:t>Dismissals are frequently</w:t>
      </w:r>
      <w:r w:rsidR="008058C4">
        <w:rPr>
          <w:rFonts w:ascii="Century Schoolbook" w:hAnsi="Century Schoolbook"/>
        </w:rPr>
        <w:t xml:space="preserve"> and categorically</w:t>
      </w:r>
      <w:r w:rsidRPr="008C6BB2">
        <w:rPr>
          <w:rFonts w:ascii="Century Schoolbook" w:hAnsi="Century Schoolbook"/>
        </w:rPr>
        <w:t xml:space="preserve"> described as involving defects in “procedure” rather than in the merits of a claim or action.</w:t>
      </w:r>
      <w:r w:rsidRPr="008C6BB2">
        <w:rPr>
          <w:rFonts w:ascii="Century Schoolbook" w:hAnsi="Century Schoolbook"/>
          <w:vertAlign w:val="superscript"/>
        </w:rPr>
        <w:footnoteReference w:id="27"/>
      </w:r>
      <w:r w:rsidRPr="008C6BB2">
        <w:rPr>
          <w:rFonts w:ascii="Century Schoolbook" w:hAnsi="Century Schoolbook"/>
        </w:rPr>
        <w:t xml:space="preserve"> There is truth to this description, but</w:t>
      </w:r>
      <w:r w:rsidR="008058C4">
        <w:rPr>
          <w:rFonts w:ascii="Century Schoolbook" w:hAnsi="Century Schoolbook"/>
        </w:rPr>
        <w:t xml:space="preserve"> as the forgoing list illustrates,</w:t>
      </w:r>
      <w:r w:rsidRPr="008C6BB2">
        <w:rPr>
          <w:rFonts w:ascii="Century Schoolbook" w:hAnsi="Century Schoolbook"/>
        </w:rPr>
        <w:t xml:space="preserve"> it also </w:t>
      </w:r>
      <w:r w:rsidR="00534414">
        <w:rPr>
          <w:rFonts w:ascii="Century Schoolbook" w:hAnsi="Century Schoolbook"/>
        </w:rPr>
        <w:t>papers over</w:t>
      </w:r>
      <w:r w:rsidRPr="008C6BB2">
        <w:rPr>
          <w:rFonts w:ascii="Century Schoolbook" w:hAnsi="Century Schoolbook"/>
        </w:rPr>
        <w:t xml:space="preserve"> real practical and conceptual differences between various modes of dismissal</w:t>
      </w:r>
      <w:r w:rsidR="008058C4">
        <w:rPr>
          <w:rFonts w:ascii="Century Schoolbook" w:hAnsi="Century Schoolbook"/>
        </w:rPr>
        <w:t xml:space="preserve">. </w:t>
      </w:r>
    </w:p>
    <w:p w14:paraId="24992738" w14:textId="77777777" w:rsidR="008C6BB2" w:rsidRDefault="008C6BB2" w:rsidP="008C6BB2">
      <w:pPr>
        <w:ind w:firstLine="720"/>
        <w:rPr>
          <w:rFonts w:ascii="Century Schoolbook" w:hAnsi="Century Schoolbook"/>
        </w:rPr>
      </w:pPr>
      <w:r w:rsidRPr="008C6BB2">
        <w:rPr>
          <w:rFonts w:ascii="Century Schoolbook" w:hAnsi="Century Schoolbook"/>
        </w:rPr>
        <w:t xml:space="preserve">Whether with or without prejudice, every </w:t>
      </w:r>
      <w:proofErr w:type="gramStart"/>
      <w:r w:rsidRPr="008C6BB2">
        <w:rPr>
          <w:rFonts w:ascii="Century Schoolbook" w:hAnsi="Century Schoolbook"/>
        </w:rPr>
        <w:t>dismissals</w:t>
      </w:r>
      <w:proofErr w:type="gramEnd"/>
      <w:r w:rsidRPr="008C6BB2">
        <w:rPr>
          <w:rFonts w:ascii="Century Schoolbook" w:hAnsi="Century Schoolbook"/>
        </w:rPr>
        <w:t xml:space="preserve"> can be slotted into one of four roughly mutually exclusive categories: first, dismissals due to technical procedural deficiency; second, dismissals due to a lack of jurisdiction, either over the parties or the subject matter; third, dismissals due to a lack of will; and fourth, dismissals due a lack of merit. In our schema, all dismissals indeed derive from defects in the action or claim, and such defects can be plausibly label as “procedural,” but the label fits much better for some than for others. </w:t>
      </w:r>
    </w:p>
    <w:p w14:paraId="776AD2D3" w14:textId="1CB9999E" w:rsidR="00DB4E1D" w:rsidRPr="00DB4E1D" w:rsidRDefault="00DB4E1D" w:rsidP="00DB4E1D">
      <w:pPr>
        <w:pStyle w:val="ListParagraph"/>
        <w:numPr>
          <w:ilvl w:val="1"/>
          <w:numId w:val="2"/>
        </w:numPr>
        <w:rPr>
          <w:rFonts w:ascii="Century Schoolbook" w:hAnsi="Century Schoolbook"/>
          <w:i/>
          <w:iCs/>
        </w:rPr>
      </w:pPr>
      <w:r>
        <w:rPr>
          <w:rFonts w:ascii="Century Schoolbook" w:hAnsi="Century Schoolbook"/>
          <w:i/>
          <w:iCs/>
        </w:rPr>
        <w:t>Dismissals due to technical procedural deficiency</w:t>
      </w:r>
    </w:p>
    <w:p w14:paraId="54EAAD5F" w14:textId="0694CBE6" w:rsidR="008C6BB2" w:rsidRDefault="00CE6633" w:rsidP="00DB4E1D">
      <w:pPr>
        <w:ind w:firstLine="720"/>
        <w:rPr>
          <w:rFonts w:ascii="Century Schoolbook" w:hAnsi="Century Schoolbook"/>
        </w:rPr>
      </w:pPr>
      <w:r>
        <w:rPr>
          <w:rFonts w:ascii="Century Schoolbook" w:hAnsi="Century Schoolbook"/>
        </w:rPr>
        <w:t xml:space="preserve">It’s not uncommon to see a journalist or other observer describe a court’s ruling as “merely procedural.” The intended effect, it seems, is to emphasize </w:t>
      </w:r>
    </w:p>
    <w:p w14:paraId="0C1E495D" w14:textId="514B55FC" w:rsidR="00CE6633" w:rsidRDefault="00CE6633" w:rsidP="00DB4E1D">
      <w:pPr>
        <w:ind w:firstLine="720"/>
        <w:rPr>
          <w:rFonts w:ascii="Century Schoolbook" w:hAnsi="Century Schoolbook"/>
        </w:rPr>
      </w:pPr>
      <w:r>
        <w:rPr>
          <w:rFonts w:ascii="Century Schoolbook" w:hAnsi="Century Schoolbook"/>
        </w:rPr>
        <w:t>TK.</w:t>
      </w:r>
    </w:p>
    <w:p w14:paraId="267E47D3" w14:textId="1C67A73A" w:rsidR="00DB4E1D" w:rsidRPr="008E3408" w:rsidRDefault="00DB4E1D" w:rsidP="00DB4E1D">
      <w:pPr>
        <w:pStyle w:val="ListParagraph"/>
        <w:numPr>
          <w:ilvl w:val="1"/>
          <w:numId w:val="2"/>
        </w:numPr>
        <w:rPr>
          <w:rFonts w:ascii="Century Schoolbook" w:hAnsi="Century Schoolbook"/>
          <w:i/>
          <w:iCs/>
        </w:rPr>
      </w:pPr>
      <w:r w:rsidRPr="008E3408">
        <w:rPr>
          <w:rFonts w:ascii="Century Schoolbook" w:hAnsi="Century Schoolbook"/>
          <w:i/>
          <w:iCs/>
        </w:rPr>
        <w:t xml:space="preserve">Dismissals due to lack of </w:t>
      </w:r>
      <w:r w:rsidR="00CE6633">
        <w:rPr>
          <w:rFonts w:ascii="Century Schoolbook" w:hAnsi="Century Schoolbook"/>
          <w:i/>
          <w:iCs/>
        </w:rPr>
        <w:t>jurisdiction</w:t>
      </w:r>
    </w:p>
    <w:p w14:paraId="55962FA2" w14:textId="4F872AAB" w:rsidR="00DB4E1D" w:rsidRDefault="00CE6633" w:rsidP="00CE6633">
      <w:pPr>
        <w:ind w:firstLine="720"/>
        <w:rPr>
          <w:rFonts w:ascii="Century Schoolbook" w:hAnsi="Century Schoolbook"/>
        </w:rPr>
      </w:pPr>
      <w:r>
        <w:rPr>
          <w:rFonts w:ascii="Century Schoolbook" w:hAnsi="Century Schoolbook"/>
        </w:rPr>
        <w:t xml:space="preserve">TK. </w:t>
      </w:r>
    </w:p>
    <w:p w14:paraId="50FA3C13" w14:textId="673F1FC2" w:rsidR="00DB4E1D" w:rsidRPr="008E3408" w:rsidRDefault="00DB4E1D" w:rsidP="00DB4E1D">
      <w:pPr>
        <w:pStyle w:val="ListParagraph"/>
        <w:numPr>
          <w:ilvl w:val="1"/>
          <w:numId w:val="2"/>
        </w:numPr>
        <w:rPr>
          <w:rFonts w:ascii="Century Schoolbook" w:hAnsi="Century Schoolbook"/>
          <w:i/>
          <w:iCs/>
        </w:rPr>
      </w:pPr>
      <w:r w:rsidRPr="008E3408">
        <w:rPr>
          <w:rFonts w:ascii="Century Schoolbook" w:hAnsi="Century Schoolbook"/>
          <w:i/>
          <w:iCs/>
        </w:rPr>
        <w:t>Dismissals due to lack of (litigant) will</w:t>
      </w:r>
    </w:p>
    <w:p w14:paraId="2ADF77A0" w14:textId="3FECC4EE" w:rsidR="00DB4E1D" w:rsidRDefault="00CE6633" w:rsidP="00DB4E1D">
      <w:pPr>
        <w:ind w:firstLine="720"/>
        <w:rPr>
          <w:rFonts w:ascii="Century Schoolbook" w:hAnsi="Century Schoolbook"/>
        </w:rPr>
      </w:pPr>
      <w:r>
        <w:rPr>
          <w:rFonts w:ascii="Century Schoolbook" w:hAnsi="Century Schoolbook"/>
        </w:rPr>
        <w:t xml:space="preserve">Not infrequently, claimants lose the will to pursue their claims. It could be the result of strategic </w:t>
      </w:r>
      <w:proofErr w:type="spellStart"/>
      <w:r>
        <w:rPr>
          <w:rFonts w:ascii="Century Schoolbook" w:hAnsi="Century Schoolbook"/>
        </w:rPr>
        <w:t>decisionmaking</w:t>
      </w:r>
      <w:proofErr w:type="spellEnd"/>
      <w:r>
        <w:rPr>
          <w:rFonts w:ascii="Century Schoolbook" w:hAnsi="Century Schoolbook"/>
        </w:rPr>
        <w:t xml:space="preserve">—agreeing to withdraw one’s claim in exchange for a sufficiently generous settlement offer, for example—but it could just </w:t>
      </w:r>
      <w:r>
        <w:rPr>
          <w:rFonts w:ascii="Century Schoolbook" w:hAnsi="Century Schoolbook"/>
        </w:rPr>
        <w:lastRenderedPageBreak/>
        <w:t>as easily reflect exhaustion, confusion, or inattention on the part of the claimant. TK</w:t>
      </w:r>
      <w:r w:rsidR="00DB4E1D" w:rsidRPr="008C6BB2">
        <w:rPr>
          <w:rFonts w:ascii="Century Schoolbook" w:hAnsi="Century Schoolbook"/>
        </w:rPr>
        <w:t>.</w:t>
      </w:r>
    </w:p>
    <w:p w14:paraId="1EDD939B" w14:textId="603C5A6F" w:rsidR="00DB4E1D" w:rsidRPr="008E3408" w:rsidRDefault="00DB4E1D" w:rsidP="00DB4E1D">
      <w:pPr>
        <w:pStyle w:val="ListParagraph"/>
        <w:numPr>
          <w:ilvl w:val="1"/>
          <w:numId w:val="2"/>
        </w:numPr>
        <w:rPr>
          <w:rFonts w:ascii="Century Schoolbook" w:hAnsi="Century Schoolbook"/>
          <w:i/>
          <w:iCs/>
        </w:rPr>
      </w:pPr>
      <w:r w:rsidRPr="008E3408">
        <w:rPr>
          <w:rFonts w:ascii="Century Schoolbook" w:hAnsi="Century Schoolbook"/>
          <w:i/>
          <w:iCs/>
        </w:rPr>
        <w:t>Dismissals due to lack of merit</w:t>
      </w:r>
    </w:p>
    <w:p w14:paraId="35746C3D" w14:textId="0ECC0B04" w:rsidR="00DB4E1D" w:rsidRDefault="00DB4E1D" w:rsidP="00DB4E1D">
      <w:pPr>
        <w:ind w:firstLine="720"/>
        <w:rPr>
          <w:rFonts w:ascii="Century Schoolbook" w:hAnsi="Century Schoolbook"/>
        </w:rPr>
      </w:pPr>
      <w:r>
        <w:rPr>
          <w:rFonts w:ascii="Century Schoolbook" w:hAnsi="Century Schoolbook"/>
        </w:rPr>
        <w:t xml:space="preserve">Dismissals without prejudice never go to the “merits” of the claim or claims—except when they do. </w:t>
      </w:r>
      <w:r w:rsidR="00621DC3">
        <w:rPr>
          <w:rFonts w:ascii="Century Schoolbook" w:hAnsi="Century Schoolbook"/>
        </w:rPr>
        <w:t>Dismissals for failure to state a claim upon which relief can be granted under Rule 12(b)(6) stand as the sole exception to the general rule, but they are a highly notable exception.</w:t>
      </w:r>
      <w:r w:rsidR="00621DC3">
        <w:rPr>
          <w:rStyle w:val="FootnoteReference"/>
          <w:rFonts w:ascii="Century Schoolbook" w:hAnsi="Century Schoolbook"/>
        </w:rPr>
        <w:footnoteReference w:id="28"/>
      </w:r>
      <w:r w:rsidR="008E3408">
        <w:rPr>
          <w:rFonts w:ascii="Century Schoolbook" w:hAnsi="Century Schoolbook"/>
        </w:rPr>
        <w:t xml:space="preserve"> Dismissals for failure to state a claim are no doubt procedural—generally pointing to non-compliance with Rules 8 or 9, governing the content of pleadings—but not in a merely technical sense. Indeed, Rule 8 specifically provides that allegations must be “simple, concise, and direct,” but that “technical forms [are not] required</w:t>
      </w:r>
      <w:r w:rsidR="006D74A7">
        <w:rPr>
          <w:rFonts w:ascii="Century Schoolbook" w:hAnsi="Century Schoolbook"/>
        </w:rPr>
        <w:t>.”</w:t>
      </w:r>
      <w:r w:rsidR="006D74A7">
        <w:rPr>
          <w:rStyle w:val="FootnoteReference"/>
          <w:rFonts w:ascii="Century Schoolbook" w:hAnsi="Century Schoolbook"/>
        </w:rPr>
        <w:footnoteReference w:id="29"/>
      </w:r>
      <w:r w:rsidR="006D74A7">
        <w:rPr>
          <w:rFonts w:ascii="Century Schoolbook" w:hAnsi="Century Schoolbook"/>
        </w:rPr>
        <w:t xml:space="preserve"> </w:t>
      </w:r>
      <w:r w:rsidR="00723048">
        <w:rPr>
          <w:rFonts w:ascii="Century Schoolbook" w:hAnsi="Century Schoolbook"/>
        </w:rPr>
        <w:t xml:space="preserve">Rather, dismissals under Rule 12(b)(6) are generally thought to reflect either legal or factual </w:t>
      </w:r>
      <w:proofErr w:type="gramStart"/>
      <w:r w:rsidR="00723048">
        <w:rPr>
          <w:rFonts w:ascii="Century Schoolbook" w:hAnsi="Century Schoolbook"/>
        </w:rPr>
        <w:t>insufficiency’s</w:t>
      </w:r>
      <w:proofErr w:type="gramEnd"/>
      <w:r w:rsidR="00723048">
        <w:rPr>
          <w:rFonts w:ascii="Century Schoolbook" w:hAnsi="Century Schoolbook"/>
        </w:rPr>
        <w:t xml:space="preserve"> in the claimant’s claims.</w:t>
      </w:r>
      <w:r w:rsidR="00723048">
        <w:rPr>
          <w:rStyle w:val="FootnoteReference"/>
          <w:rFonts w:ascii="Century Schoolbook" w:hAnsi="Century Schoolbook"/>
        </w:rPr>
        <w:footnoteReference w:id="30"/>
      </w:r>
    </w:p>
    <w:p w14:paraId="729D919B" w14:textId="50CE420B" w:rsidR="00FD550A" w:rsidRPr="008C6BB2" w:rsidRDefault="00FD550A" w:rsidP="00DB4E1D">
      <w:pPr>
        <w:ind w:firstLine="720"/>
        <w:rPr>
          <w:rFonts w:ascii="Century Schoolbook" w:hAnsi="Century Schoolbook"/>
        </w:rPr>
      </w:pPr>
      <w:r>
        <w:rPr>
          <w:rFonts w:ascii="Century Schoolbook" w:hAnsi="Century Schoolbook"/>
        </w:rPr>
        <w:t xml:space="preserve">Somewhat perplexingly, dismissals for failure to state a claim can be </w:t>
      </w:r>
      <w:r w:rsidR="00ED4213">
        <w:rPr>
          <w:rFonts w:ascii="Century Schoolbook" w:hAnsi="Century Schoolbook"/>
        </w:rPr>
        <w:t>ordered both with and without prejudice. TK.</w:t>
      </w:r>
    </w:p>
    <w:p w14:paraId="4BA54890" w14:textId="77777777" w:rsidR="00DB4E1D" w:rsidRPr="008C6BB2" w:rsidRDefault="00DB4E1D" w:rsidP="00DB4E1D">
      <w:pPr>
        <w:ind w:firstLine="720"/>
        <w:rPr>
          <w:rFonts w:ascii="Century Schoolbook" w:hAnsi="Century Schoolbook"/>
        </w:rPr>
      </w:pPr>
    </w:p>
    <w:p w14:paraId="4103FC7E" w14:textId="77777777" w:rsidR="00DB4E1D" w:rsidRPr="008C6BB2" w:rsidRDefault="00DB4E1D" w:rsidP="00DB4E1D">
      <w:pPr>
        <w:ind w:firstLine="720"/>
        <w:rPr>
          <w:rFonts w:ascii="Century Schoolbook" w:hAnsi="Century Schoolbook"/>
        </w:rPr>
      </w:pPr>
    </w:p>
    <w:p w14:paraId="506DFC8B" w14:textId="77777777" w:rsidR="00DB4E1D" w:rsidRPr="008C6BB2" w:rsidRDefault="00DB4E1D" w:rsidP="00DB4E1D">
      <w:pPr>
        <w:ind w:firstLine="720"/>
        <w:rPr>
          <w:rFonts w:ascii="Century Schoolbook" w:hAnsi="Century Schoolbook"/>
        </w:rPr>
      </w:pPr>
    </w:p>
    <w:p w14:paraId="645D751D" w14:textId="77777777" w:rsidR="00DB20DE" w:rsidRPr="008C6BB2" w:rsidRDefault="00DB20DE" w:rsidP="00DB20DE">
      <w:pPr>
        <w:ind w:left="720"/>
        <w:rPr>
          <w:rFonts w:ascii="Century Schoolbook" w:hAnsi="Century Schoolbook"/>
        </w:rPr>
      </w:pPr>
    </w:p>
    <w:sectPr w:rsidR="00DB20DE" w:rsidRPr="008C6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7CD21" w14:textId="77777777" w:rsidR="000D6D46" w:rsidRDefault="000D6D46" w:rsidP="00F85753">
      <w:pPr>
        <w:spacing w:after="0" w:line="240" w:lineRule="auto"/>
      </w:pPr>
      <w:r>
        <w:separator/>
      </w:r>
    </w:p>
  </w:endnote>
  <w:endnote w:type="continuationSeparator" w:id="0">
    <w:p w14:paraId="5D0D5C55" w14:textId="77777777" w:rsidR="000D6D46" w:rsidRDefault="000D6D46" w:rsidP="00F8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1FB0E" w14:textId="77777777" w:rsidR="000D6D46" w:rsidRDefault="000D6D46" w:rsidP="00F85753">
      <w:pPr>
        <w:spacing w:after="0" w:line="240" w:lineRule="auto"/>
      </w:pPr>
      <w:r>
        <w:separator/>
      </w:r>
    </w:p>
  </w:footnote>
  <w:footnote w:type="continuationSeparator" w:id="0">
    <w:p w14:paraId="5D104793" w14:textId="77777777" w:rsidR="000D6D46" w:rsidRDefault="000D6D46" w:rsidP="00F85753">
      <w:pPr>
        <w:spacing w:after="0" w:line="240" w:lineRule="auto"/>
      </w:pPr>
      <w:r>
        <w:continuationSeparator/>
      </w:r>
    </w:p>
  </w:footnote>
  <w:footnote w:id="1">
    <w:p w14:paraId="25194ECB" w14:textId="77777777" w:rsidR="00F85753" w:rsidRPr="00503929" w:rsidRDefault="00F85753" w:rsidP="00F85753">
      <w:pPr>
        <w:pStyle w:val="FootnoteText"/>
        <w:ind w:firstLine="720"/>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Bradley Scott Shannon, Action Is an Action Is an Action Is an Action, 77 </w:t>
      </w:r>
      <w:r w:rsidRPr="00503929">
        <w:rPr>
          <w:rFonts w:ascii="Century Schoolbook" w:hAnsi="Century Schoolbook"/>
          <w:smallCaps/>
        </w:rPr>
        <w:t xml:space="preserve">Wash. L. Rev. 65, </w:t>
      </w:r>
      <w:r w:rsidRPr="00503929">
        <w:rPr>
          <w:rFonts w:ascii="Century Schoolbook" w:hAnsi="Century Schoolbook"/>
        </w:rPr>
        <w:t xml:space="preserve">116-120 (2002); see, e.g., </w:t>
      </w:r>
      <w:r w:rsidRPr="00503929">
        <w:rPr>
          <w:rFonts w:ascii="Century Schoolbook" w:hAnsi="Century Schoolbook"/>
          <w:smallCaps/>
        </w:rPr>
        <w:t>Fed. R. Civ. P. 4(</w:t>
      </w:r>
      <w:r w:rsidRPr="00503929">
        <w:rPr>
          <w:rFonts w:ascii="Century Schoolbook" w:hAnsi="Century Schoolbook"/>
        </w:rPr>
        <w:t xml:space="preserve">m) (establishing time limit for service after which “the court—on motion or on its own after notice to the plaintiff—must dismiss the action without prejudice against that defendant or order that service be made within a specified time”). </w:t>
      </w:r>
    </w:p>
  </w:footnote>
  <w:footnote w:id="2">
    <w:p w14:paraId="56F08A0D" w14:textId="77777777" w:rsidR="00F85753" w:rsidRPr="00503929" w:rsidRDefault="00F85753" w:rsidP="00F85753">
      <w:pPr>
        <w:pStyle w:val="FootnoteText"/>
        <w:ind w:firstLine="720"/>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Celotex Corp. v. Catrett, 477 U.S. 317, 323-24 (1986) “One of the principal purposes of the summary judgment rule is to isolate and dispose of factually unsupported claims or defenses</w:t>
      </w:r>
      <w:r w:rsidRPr="00503929">
        <w:rPr>
          <w:rFonts w:ascii="Century Schoolbook" w:hAnsi="Century Schoolbook" w:cs="Open Sans"/>
          <w:color w:val="000000"/>
          <w:shd w:val="clear" w:color="auto" w:fill="FFFFFF"/>
        </w:rPr>
        <w:t>.”).</w:t>
      </w:r>
    </w:p>
  </w:footnote>
  <w:footnote w:id="3">
    <w:p w14:paraId="6CC1D821" w14:textId="16A7607B" w:rsidR="003841D1" w:rsidRPr="00503929" w:rsidRDefault="003841D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spellStart"/>
      <w:r w:rsidRPr="00503929">
        <w:rPr>
          <w:rFonts w:ascii="Century Schoolbook" w:hAnsi="Century Schoolbook"/>
        </w:rPr>
        <w:t>Semtek</w:t>
      </w:r>
      <w:proofErr w:type="spellEnd"/>
      <w:r w:rsidRPr="00503929">
        <w:rPr>
          <w:rFonts w:ascii="Century Schoolbook" w:hAnsi="Century Schoolbook"/>
        </w:rPr>
        <w:t xml:space="preserve"> Int'l Inc. v. Lockheed Martin Corp., 531 U.S. 497, 50</w:t>
      </w:r>
      <w:r w:rsidR="000F09F5" w:rsidRPr="00503929">
        <w:rPr>
          <w:rFonts w:ascii="Century Schoolbook" w:hAnsi="Century Schoolbook"/>
        </w:rPr>
        <w:t>3</w:t>
      </w:r>
      <w:r w:rsidRPr="00503929">
        <w:rPr>
          <w:rFonts w:ascii="Century Schoolbook" w:hAnsi="Century Schoolbook"/>
        </w:rPr>
        <w:t xml:space="preserve"> (2001)</w:t>
      </w:r>
      <w:r w:rsidR="000F09F5" w:rsidRPr="00503929">
        <w:rPr>
          <w:rFonts w:ascii="Century Schoolbook" w:hAnsi="Century Schoolbook"/>
        </w:rPr>
        <w:t xml:space="preserve">; see Bryan Lammon, There Is No Helpful General Rule About Appealing Dismissals Without Prejudice, 123 </w:t>
      </w:r>
      <w:r w:rsidR="000F09F5" w:rsidRPr="00503929">
        <w:rPr>
          <w:rFonts w:ascii="Century Schoolbook" w:hAnsi="Century Schoolbook"/>
          <w:smallCaps/>
        </w:rPr>
        <w:t>Mich. L. Rev. Online 16, 19 (2024).</w:t>
      </w:r>
    </w:p>
  </w:footnote>
  <w:footnote w:id="4">
    <w:p w14:paraId="6169F904" w14:textId="068C8E10" w:rsidR="00A14FFD" w:rsidRPr="00503929" w:rsidRDefault="00A14FFD">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spellStart"/>
      <w:r w:rsidRPr="00503929">
        <w:rPr>
          <w:rFonts w:ascii="Century Schoolbook" w:hAnsi="Century Schoolbook"/>
        </w:rPr>
        <w:t>Semtek</w:t>
      </w:r>
      <w:proofErr w:type="spellEnd"/>
      <w:r w:rsidRPr="00503929">
        <w:rPr>
          <w:rFonts w:ascii="Century Schoolbook" w:hAnsi="Century Schoolbook"/>
        </w:rPr>
        <w:t xml:space="preserve"> Int'l Inc. v. Lockheed Martin Corp., 531 U.S. 497, 505 (2001)</w:t>
      </w:r>
    </w:p>
  </w:footnote>
  <w:footnote w:id="5">
    <w:p w14:paraId="08B87DD5" w14:textId="1436DA50" w:rsidR="00F63ACD" w:rsidRPr="00503929" w:rsidRDefault="00F63ACD">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For example, </w:t>
      </w:r>
      <w:r w:rsidR="00744A9B" w:rsidRPr="00503929">
        <w:rPr>
          <w:rFonts w:ascii="Century Schoolbook" w:hAnsi="Century Schoolbook"/>
        </w:rPr>
        <w:t xml:space="preserve">cases voluntarily dismissed twice are dismissed with prejudice. See 41. </w:t>
      </w:r>
    </w:p>
  </w:footnote>
  <w:footnote w:id="6">
    <w:p w14:paraId="130FA30D" w14:textId="78888BF2" w:rsidR="00894551" w:rsidRPr="00503929" w:rsidRDefault="008945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Lauderdale-El v. Indiana Parole Board, 35 F.4th 572, 576 (2022). </w:t>
      </w:r>
    </w:p>
  </w:footnote>
  <w:footnote w:id="7">
    <w:p w14:paraId="0ADC429D" w14:textId="54D5273F" w:rsidR="004B3ECD" w:rsidRPr="00503929" w:rsidRDefault="004B3ECD" w:rsidP="004B3ECD">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gramStart"/>
      <w:r w:rsidRPr="00503929">
        <w:rPr>
          <w:rFonts w:ascii="Century Schoolbook" w:hAnsi="Century Schoolbook"/>
        </w:rPr>
        <w:t>Id</w:t>
      </w:r>
      <w:r w:rsidR="003841D1" w:rsidRPr="00503929">
        <w:rPr>
          <w:rFonts w:ascii="Century Schoolbook" w:hAnsi="Century Schoolbook"/>
        </w:rPr>
        <w:t>;</w:t>
      </w:r>
      <w:proofErr w:type="gramEnd"/>
      <w:r w:rsidR="003841D1" w:rsidRPr="00503929">
        <w:rPr>
          <w:rFonts w:ascii="Century Schoolbook" w:hAnsi="Century Schoolbook"/>
        </w:rPr>
        <w:t xml:space="preserve"> see also U.S. v. Wallace &amp; Tiernan Co., 336 U.S. 793, 794 n.1 (1949 (“That the dismissal was without prejudice to filing another suit does not make the cause unappealable, for denial of relief and dismissal of the case ended this suit so far as the District Court was concerned.”)</w:t>
      </w:r>
      <w:r w:rsidRPr="00503929">
        <w:rPr>
          <w:rFonts w:ascii="Century Schoolbook" w:hAnsi="Century Schoolbook"/>
        </w:rPr>
        <w:t xml:space="preserve"> [Bryan Lammon suggests that, rather than formal finality doctrine, “[f]</w:t>
      </w:r>
      <w:proofErr w:type="spellStart"/>
      <w:r w:rsidRPr="00503929">
        <w:rPr>
          <w:rFonts w:ascii="Century Schoolbook" w:hAnsi="Century Schoolbook"/>
        </w:rPr>
        <w:t>ocusing</w:t>
      </w:r>
      <w:proofErr w:type="spellEnd"/>
      <w:r w:rsidRPr="00503929">
        <w:rPr>
          <w:rFonts w:ascii="Century Schoolbook" w:hAnsi="Century Schoolbook"/>
        </w:rPr>
        <w:t xml:space="preserve"> on whether the district court is finished,” as the Seventh Circuit does, could radically change current finality doctrine” for the better by creating “an intuitive, simple, and predictable rule.”</w:t>
      </w:r>
      <w:r w:rsidR="000F09F5" w:rsidRPr="00503929">
        <w:rPr>
          <w:rFonts w:ascii="Century Schoolbook" w:hAnsi="Century Schoolbook"/>
        </w:rPr>
        <w:t xml:space="preserve"> Lammon, supra note __, at 22.</w:t>
      </w:r>
      <w:r w:rsidRPr="00503929">
        <w:rPr>
          <w:rFonts w:ascii="Century Schoolbook" w:hAnsi="Century Schoolbook"/>
        </w:rPr>
        <w:t>]</w:t>
      </w:r>
    </w:p>
  </w:footnote>
  <w:footnote w:id="8">
    <w:p w14:paraId="3E00A82F" w14:textId="220FD674" w:rsidR="008C6BB2" w:rsidRPr="00503929" w:rsidRDefault="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proofErr w:type="gramStart"/>
      <w:r w:rsidRPr="00503929">
        <w:rPr>
          <w:rFonts w:ascii="Century Schoolbook" w:hAnsi="Century Schoolbook"/>
        </w:rPr>
        <w:t>In an effort to</w:t>
      </w:r>
      <w:proofErr w:type="gramEnd"/>
      <w:r w:rsidRPr="00503929">
        <w:rPr>
          <w:rFonts w:ascii="Century Schoolbook" w:hAnsi="Century Schoolbook"/>
        </w:rPr>
        <w:t xml:space="preserve"> discover the meaning of the precise term “dismissal,” Bradley Scott Shannon enumerated a similar though slightly less exhaustive list. </w:t>
      </w:r>
      <w:r w:rsidR="00DB4E1D" w:rsidRPr="00503929">
        <w:rPr>
          <w:rFonts w:ascii="Century Schoolbook" w:hAnsi="Century Schoolbook"/>
        </w:rPr>
        <w:t>An Action Is an Action Is an Action Is an Action, 77 Wash. L. Rev. 65, 117–18 (2002).</w:t>
      </w:r>
      <w:r w:rsidRPr="00503929">
        <w:rPr>
          <w:rFonts w:ascii="Century Schoolbook" w:hAnsi="Century Schoolbook"/>
        </w:rPr>
        <w:t xml:space="preserve"> </w:t>
      </w:r>
    </w:p>
  </w:footnote>
  <w:footnote w:id="9">
    <w:p w14:paraId="3B60558E" w14:textId="159C2320" w:rsidR="00FD550A" w:rsidRPr="00503929" w:rsidRDefault="00FD550A">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Where in the Rules to ground a motion to dismiss for “lack of standing” is notoriously murky, with litigants and judges variously </w:t>
      </w:r>
      <w:r w:rsidR="00503929" w:rsidRPr="00503929">
        <w:rPr>
          <w:rFonts w:ascii="Century Schoolbook" w:hAnsi="Century Schoolbook"/>
        </w:rPr>
        <w:t xml:space="preserve">classifying such motions under Rule 12(b)(1), Rule 12(b)(6), or both. </w:t>
      </w:r>
      <w:r w:rsidR="00503929" w:rsidRPr="00503929">
        <w:rPr>
          <w:rFonts w:ascii="Century Schoolbook" w:hAnsi="Century Schoolbook"/>
          <w:i/>
          <w:iCs/>
        </w:rPr>
        <w:t>See, e.g.</w:t>
      </w:r>
      <w:r w:rsidR="00503929" w:rsidRPr="00503929">
        <w:rPr>
          <w:rFonts w:ascii="Century Schoolbook" w:hAnsi="Century Schoolbook"/>
        </w:rPr>
        <w:t>, Ballentine v. U.S., 486 F.3d 806, XX (3d Cir. 2007) (classifying a motion to dismiss for lack of standing as “</w:t>
      </w:r>
      <w:proofErr w:type="spellStart"/>
      <w:r w:rsidR="00503929" w:rsidRPr="00503929">
        <w:rPr>
          <w:rFonts w:ascii="Century Schoolbook" w:hAnsi="Century Schoolbook"/>
        </w:rPr>
        <w:t>propertly</w:t>
      </w:r>
      <w:proofErr w:type="spellEnd"/>
      <w:r w:rsidR="00503929" w:rsidRPr="00503929">
        <w:rPr>
          <w:rFonts w:ascii="Century Schoolbook" w:hAnsi="Century Schoolbook"/>
        </w:rPr>
        <w:t xml:space="preserve"> brought pursuant to Rule 12(b)(1), because standing is a jurisdictional matter,” but nonetheless evaluating the motion under the rubric of Rule 12(b)(6)); </w:t>
      </w:r>
      <w:r w:rsidR="00503929" w:rsidRPr="00503929">
        <w:rPr>
          <w:rFonts w:ascii="Century Schoolbook" w:hAnsi="Century Schoolbook"/>
          <w:i/>
          <w:iCs/>
        </w:rPr>
        <w:t xml:space="preserve">see also </w:t>
      </w:r>
      <w:r w:rsidR="00503929" w:rsidRPr="00503929">
        <w:rPr>
          <w:rFonts w:ascii="Century Schoolbook" w:hAnsi="Century Schoolbook"/>
        </w:rPr>
        <w:t xml:space="preserve">John H. Garvey, </w:t>
      </w:r>
      <w:r w:rsidR="00503929" w:rsidRPr="00503929">
        <w:rPr>
          <w:rFonts w:ascii="Century Schoolbook" w:hAnsi="Century Schoolbook"/>
          <w:i/>
          <w:iCs/>
        </w:rPr>
        <w:t>A Litigation Primer for Standing Dismissals</w:t>
      </w:r>
      <w:r w:rsidR="00503929" w:rsidRPr="00503929">
        <w:rPr>
          <w:rFonts w:ascii="Century Schoolbook" w:hAnsi="Century Schoolbook"/>
        </w:rPr>
        <w:t>, 55 N.Y.U. L. Rev. 545 (1980) (arguing that either Rule provides an appropriate basis for a standing motion, depending upon the nature of the defendant’s standing argument).</w:t>
      </w:r>
    </w:p>
  </w:footnote>
  <w:footnote w:id="10">
    <w:p w14:paraId="3CA599CF"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4(m).</w:t>
      </w:r>
    </w:p>
  </w:footnote>
  <w:footnote w:id="11">
    <w:p w14:paraId="380A5F5C"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12(b)(1).</w:t>
      </w:r>
    </w:p>
  </w:footnote>
  <w:footnote w:id="12">
    <w:p w14:paraId="00F91901"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12(b)(2).</w:t>
      </w:r>
    </w:p>
  </w:footnote>
  <w:footnote w:id="13">
    <w:p w14:paraId="6F40E0E6"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12(b)(3); 28 U.S.C. § 1406(a) (“The district court of a district in which is filed a case laying venue in the wrong division or district shall dismiss, or if it be in the interest of justice, transfer such case…”); see also Fed. R. Civ. P. 19(a) (</w:t>
      </w:r>
      <w:proofErr w:type="gramStart"/>
      <w:r w:rsidRPr="00503929">
        <w:rPr>
          <w:rFonts w:ascii="Century Schoolbook" w:hAnsi="Century Schoolbook"/>
        </w:rPr>
        <w:t>);</w:t>
      </w:r>
      <w:proofErr w:type="gramEnd"/>
      <w:r w:rsidRPr="00503929">
        <w:rPr>
          <w:rFonts w:ascii="Century Schoolbook" w:hAnsi="Century Schoolbook"/>
        </w:rPr>
        <w:t xml:space="preserve"> </w:t>
      </w:r>
    </w:p>
  </w:footnote>
  <w:footnote w:id="14">
    <w:p w14:paraId="2700D7D6"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12(b)(4).</w:t>
      </w:r>
    </w:p>
  </w:footnote>
  <w:footnote w:id="15">
    <w:p w14:paraId="6664EA8E"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12(b)(5). Although “[t]he distinction between the two insufficiencies is often blurred,” Adams v. AlliedSignal Gen. Aviation Avionics, 74 F.3d 882, 884 (8th Cir. 1996), dismissal under Rule 12(b)(4) is generally “proper only to challenge noncompliance with the provisions of Rule 4(b) or any applicable provision incorporated by Rule 4(b) that deals specifically with the content of the summons [whereas a] Rule 12(b)(5) motion is the proper vehicle for challenging the mode of delivery, the lack of delivery, or the timeliness of delivery of the summons and complaint.” 5B Charles A. Wright &amp; Arthur R. Miller, Federal Practice and Procedure: Civil § 1353 (4th ed. 2025). In this way, a motion under Rule 12(b)(5) also seems to subsume motions under Rule 4(m). </w:t>
      </w:r>
    </w:p>
  </w:footnote>
  <w:footnote w:id="16">
    <w:p w14:paraId="4887442B"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12(b)(6).</w:t>
      </w:r>
    </w:p>
  </w:footnote>
  <w:footnote w:id="17">
    <w:p w14:paraId="084F05C2" w14:textId="77777777"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12(b)(7); Fed. R. Civ. P. 19(b).</w:t>
      </w:r>
    </w:p>
  </w:footnote>
  <w:footnote w:id="18">
    <w:p w14:paraId="2C0BAE18" w14:textId="45B9CCD2" w:rsidR="008C6BB2" w:rsidRPr="00503929" w:rsidRDefault="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17(a).</w:t>
      </w:r>
    </w:p>
  </w:footnote>
  <w:footnote w:id="19">
    <w:p w14:paraId="09C70549" w14:textId="0EFD842D"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25(a)(1).</w:t>
      </w:r>
    </w:p>
  </w:footnote>
  <w:footnote w:id="20">
    <w:p w14:paraId="20D0E35A" w14:textId="0CCC29C0"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37(b)(2)(A).</w:t>
      </w:r>
    </w:p>
  </w:footnote>
  <w:footnote w:id="21">
    <w:p w14:paraId="3AA7C791" w14:textId="7E90EA08"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16(f) (cross-referencing sanctions available under Rule 37(b)(2)(A), including dismissal). </w:t>
      </w:r>
    </w:p>
  </w:footnote>
  <w:footnote w:id="22">
    <w:p w14:paraId="2DC39788" w14:textId="4E4BBB39"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16(e).</w:t>
      </w:r>
    </w:p>
  </w:footnote>
  <w:footnote w:id="23">
    <w:p w14:paraId="4B0665B8" w14:textId="020E2680" w:rsidR="001A4D51" w:rsidRPr="00503929" w:rsidRDefault="001A4D51">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w:t>
      </w:r>
      <w:r w:rsidR="005559B9" w:rsidRPr="00503929">
        <w:rPr>
          <w:rFonts w:ascii="Century Schoolbook" w:hAnsi="Century Schoolbook"/>
        </w:rPr>
        <w:t>41(b). This would appear to provide the technical basis for a judge’s dismissal for failure to adequately respond to an “Order to Show Cause.”</w:t>
      </w:r>
    </w:p>
  </w:footnote>
  <w:footnote w:id="24">
    <w:p w14:paraId="61381260" w14:textId="0228D128" w:rsidR="005559B9" w:rsidRPr="00503929" w:rsidRDefault="005559B9">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Fed. R. Civ. P. 11 (c)(4) (limiting available sanctions to “what suffices to deter repetition of the conduct or comparable conduct by others similarly situated); see also, e.g., Marina Mgmt. Servs., Inc. v. Vessel My Girls, 202 F.3d 315, 325 (D.C. Cir. 2000), cert. denied 531 U.S. 985 (2000) (“Dismissal is a legitimate sanction under Rule 11 . . . for serious misconduct when lesser sanctions would be ineffective or are unavailable.”). </w:t>
      </w:r>
    </w:p>
  </w:footnote>
  <w:footnote w:id="25">
    <w:p w14:paraId="130A1D81" w14:textId="1F209E31" w:rsidR="008058C4" w:rsidRPr="00503929" w:rsidRDefault="008058C4">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41(a)(1).</w:t>
      </w:r>
    </w:p>
  </w:footnote>
  <w:footnote w:id="26">
    <w:p w14:paraId="00950F71" w14:textId="0D49B538" w:rsidR="008058C4" w:rsidRPr="00503929" w:rsidRDefault="008058C4">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41(a)(2).</w:t>
      </w:r>
    </w:p>
  </w:footnote>
  <w:footnote w:id="27">
    <w:p w14:paraId="2282539B" w14:textId="30EF26E8" w:rsidR="008C6BB2" w:rsidRPr="00503929" w:rsidRDefault="008C6BB2" w:rsidP="008C6BB2">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See, e.g., Bradley Scott Shannon, An Action Is an Action Is an Action Is an Action, 77 Wash. L. Rev. 65, 127, 131 (2002)</w:t>
      </w:r>
      <w:r w:rsidR="008058C4" w:rsidRPr="00503929">
        <w:rPr>
          <w:rFonts w:ascii="Century Schoolbook" w:hAnsi="Century Schoolbook"/>
        </w:rPr>
        <w:t xml:space="preserve">. </w:t>
      </w:r>
    </w:p>
  </w:footnote>
  <w:footnote w:id="28">
    <w:p w14:paraId="34D64070" w14:textId="12F9760C" w:rsidR="00621DC3" w:rsidRPr="00503929" w:rsidRDefault="00621DC3">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As of </w:t>
      </w:r>
      <w:r w:rsidR="00AF6E4D" w:rsidRPr="00503929">
        <w:rPr>
          <w:rFonts w:ascii="Century Schoolbook" w:hAnsi="Century Schoolbook"/>
        </w:rPr>
        <w:t xml:space="preserve">September </w:t>
      </w:r>
      <w:r w:rsidRPr="00503929">
        <w:rPr>
          <w:rFonts w:ascii="Century Schoolbook" w:hAnsi="Century Schoolbook"/>
        </w:rPr>
        <w:t>201</w:t>
      </w:r>
      <w:r w:rsidR="00AF6E4D" w:rsidRPr="00503929">
        <w:rPr>
          <w:rFonts w:ascii="Century Schoolbook" w:hAnsi="Century Schoolbook"/>
        </w:rPr>
        <w:t>5</w:t>
      </w:r>
      <w:r w:rsidRPr="00503929">
        <w:rPr>
          <w:rFonts w:ascii="Century Schoolbook" w:hAnsi="Century Schoolbook"/>
        </w:rPr>
        <w:t>, Adam Steinman found</w:t>
      </w:r>
      <w:r w:rsidR="00AF6E4D" w:rsidRPr="00503929">
        <w:rPr>
          <w:rFonts w:ascii="Century Schoolbook" w:hAnsi="Century Schoolbook"/>
        </w:rPr>
        <w:t xml:space="preserve"> that federal judges had already cited</w:t>
      </w:r>
      <w:r w:rsidRPr="00503929">
        <w:rPr>
          <w:rFonts w:ascii="Century Schoolbook" w:hAnsi="Century Schoolbook"/>
        </w:rPr>
        <w:t xml:space="preserve"> Twombly and Iqbal </w:t>
      </w:r>
      <w:r w:rsidR="00AF6E4D" w:rsidRPr="00503929">
        <w:rPr>
          <w:rFonts w:ascii="Century Schoolbook" w:hAnsi="Century Schoolbook"/>
        </w:rPr>
        <w:t xml:space="preserve">more frequently than all but two other Supreme Court opinions. See Adam Steinman, The Rise and Fall of Plausibility </w:t>
      </w:r>
      <w:proofErr w:type="gramStart"/>
      <w:r w:rsidR="00AF6E4D" w:rsidRPr="00503929">
        <w:rPr>
          <w:rFonts w:ascii="Century Schoolbook" w:hAnsi="Century Schoolbook"/>
        </w:rPr>
        <w:t>Pleading?,</w:t>
      </w:r>
      <w:proofErr w:type="gramEnd"/>
      <w:r w:rsidR="00AF6E4D" w:rsidRPr="00503929">
        <w:rPr>
          <w:rFonts w:ascii="Century Schoolbook" w:hAnsi="Century Schoolbook"/>
        </w:rPr>
        <w:t xml:space="preserve"> 69 Vand. L. Rev. 333, 390 (2016).   </w:t>
      </w:r>
      <w:r w:rsidRPr="00503929">
        <w:rPr>
          <w:rFonts w:ascii="Century Schoolbook" w:hAnsi="Century Schoolbook"/>
        </w:rPr>
        <w:t xml:space="preserve"> </w:t>
      </w:r>
    </w:p>
  </w:footnote>
  <w:footnote w:id="29">
    <w:p w14:paraId="7C03A358" w14:textId="20884A44" w:rsidR="006D74A7" w:rsidRPr="00503929" w:rsidRDefault="006D74A7">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Fed. R. Civ. P. 8(d)(1).</w:t>
      </w:r>
    </w:p>
  </w:footnote>
  <w:footnote w:id="30">
    <w:p w14:paraId="44CF5F7C" w14:textId="250F8DA0" w:rsidR="00723048" w:rsidRPr="00503929" w:rsidRDefault="00723048">
      <w:pPr>
        <w:pStyle w:val="FootnoteText"/>
        <w:rPr>
          <w:rFonts w:ascii="Century Schoolbook" w:hAnsi="Century Schoolbook"/>
        </w:rPr>
      </w:pPr>
      <w:r w:rsidRPr="00503929">
        <w:rPr>
          <w:rStyle w:val="FootnoteReference"/>
          <w:rFonts w:ascii="Century Schoolbook" w:hAnsi="Century Schoolbook"/>
        </w:rPr>
        <w:footnoteRef/>
      </w:r>
      <w:r w:rsidRPr="00503929">
        <w:rPr>
          <w:rFonts w:ascii="Century Schoolbook" w:hAnsi="Century Schoolbook"/>
        </w:rPr>
        <w:t xml:space="preserve"> </w:t>
      </w:r>
      <w:r w:rsidRPr="00503929">
        <w:rPr>
          <w:rFonts w:ascii="Century Schoolbook" w:hAnsi="Century Schoolbook"/>
          <w:i/>
          <w:iCs/>
        </w:rPr>
        <w:t xml:space="preserve">See </w:t>
      </w:r>
      <w:r w:rsidRPr="00503929">
        <w:rPr>
          <w:rFonts w:ascii="Century Schoolbook" w:hAnsi="Century Schoolbook"/>
        </w:rPr>
        <w:t xml:space="preserve">Bradley Scott Shannon, </w:t>
      </w:r>
      <w:r w:rsidRPr="00503929">
        <w:rPr>
          <w:rFonts w:ascii="Century Schoolbook" w:hAnsi="Century Schoolbook"/>
          <w:i/>
          <w:iCs/>
        </w:rPr>
        <w:t>I Have Federal Pleading All Figured Out</w:t>
      </w:r>
      <w:r w:rsidRPr="00503929">
        <w:rPr>
          <w:rFonts w:ascii="Century Schoolbook" w:hAnsi="Century Schoolbook"/>
        </w:rPr>
        <w:t>, 61 Case W. Res. L. Rev. 453, 457</w:t>
      </w:r>
      <w:r w:rsidRPr="00503929">
        <w:rPr>
          <w:rFonts w:ascii="Century Schoolbook" w:hAnsi="Century Schoolbook"/>
        </w:rPr>
        <w:softHyphen/>
      </w:r>
      <w:r w:rsidRPr="00503929">
        <w:rPr>
          <w:rFonts w:ascii="Century Schoolbook" w:hAnsi="Century Schoolbook"/>
        </w:rPr>
        <w:softHyphen/>
      </w:r>
      <w:r w:rsidRPr="00503929">
        <w:rPr>
          <w:rFonts w:ascii="Century Schoolbook" w:hAnsi="Century Schoolbook"/>
        </w:rPr>
        <w:softHyphen/>
      </w:r>
      <w:r w:rsidRPr="00503929">
        <w:rPr>
          <w:rFonts w:ascii="Century Schoolbook" w:hAnsi="Century Schoolbook"/>
        </w:rPr>
        <w:softHyphen/>
        <w:t xml:space="preserve">–86 (2011) (categorizing dismissals for failure to state a claim as stemming from factual insufficiency, legal insufficiency, or insufficiency of proof); </w:t>
      </w:r>
      <w:r w:rsidRPr="00503929">
        <w:rPr>
          <w:rFonts w:ascii="Century Schoolbook" w:hAnsi="Century Schoolbook"/>
          <w:i/>
          <w:iCs/>
        </w:rPr>
        <w:t xml:space="preserve">but see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A39D7"/>
    <w:multiLevelType w:val="hybridMultilevel"/>
    <w:tmpl w:val="5FE078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2F2DF0"/>
    <w:multiLevelType w:val="hybridMultilevel"/>
    <w:tmpl w:val="3318A89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DA1104A"/>
    <w:multiLevelType w:val="hybridMultilevel"/>
    <w:tmpl w:val="E9226888"/>
    <w:lvl w:ilvl="0" w:tplc="BE36B7E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8703D3"/>
    <w:multiLevelType w:val="hybridMultilevel"/>
    <w:tmpl w:val="AA7003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0F54AC"/>
    <w:multiLevelType w:val="hybridMultilevel"/>
    <w:tmpl w:val="91F01870"/>
    <w:lvl w:ilvl="0" w:tplc="67C09F4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648678">
    <w:abstractNumId w:val="2"/>
  </w:num>
  <w:num w:numId="2" w16cid:durableId="1650747496">
    <w:abstractNumId w:val="4"/>
  </w:num>
  <w:num w:numId="3" w16cid:durableId="717901172">
    <w:abstractNumId w:val="1"/>
  </w:num>
  <w:num w:numId="4" w16cid:durableId="228926251">
    <w:abstractNumId w:val="3"/>
  </w:num>
  <w:num w:numId="5" w16cid:durableId="117638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53"/>
    <w:rsid w:val="000D6D46"/>
    <w:rsid w:val="000F09F5"/>
    <w:rsid w:val="000F3FFE"/>
    <w:rsid w:val="00111991"/>
    <w:rsid w:val="0013723C"/>
    <w:rsid w:val="00177F2B"/>
    <w:rsid w:val="001A4D51"/>
    <w:rsid w:val="00235FDB"/>
    <w:rsid w:val="003841D1"/>
    <w:rsid w:val="003E4572"/>
    <w:rsid w:val="00422535"/>
    <w:rsid w:val="004337F8"/>
    <w:rsid w:val="004B3ECD"/>
    <w:rsid w:val="004C0ED6"/>
    <w:rsid w:val="00503929"/>
    <w:rsid w:val="00531162"/>
    <w:rsid w:val="00534414"/>
    <w:rsid w:val="005559B9"/>
    <w:rsid w:val="005B19C0"/>
    <w:rsid w:val="005C1581"/>
    <w:rsid w:val="005F4E37"/>
    <w:rsid w:val="00621DC3"/>
    <w:rsid w:val="006B0CB2"/>
    <w:rsid w:val="006C6743"/>
    <w:rsid w:val="006D74A7"/>
    <w:rsid w:val="00711D0A"/>
    <w:rsid w:val="00720D17"/>
    <w:rsid w:val="00723048"/>
    <w:rsid w:val="00744A9B"/>
    <w:rsid w:val="008058C4"/>
    <w:rsid w:val="008130B3"/>
    <w:rsid w:val="008527AA"/>
    <w:rsid w:val="008654E8"/>
    <w:rsid w:val="00894551"/>
    <w:rsid w:val="008A081A"/>
    <w:rsid w:val="008C6BB2"/>
    <w:rsid w:val="008E3408"/>
    <w:rsid w:val="008E7AF8"/>
    <w:rsid w:val="0094699B"/>
    <w:rsid w:val="00A14FFD"/>
    <w:rsid w:val="00A3155D"/>
    <w:rsid w:val="00A37C0B"/>
    <w:rsid w:val="00A417DD"/>
    <w:rsid w:val="00AF6E4D"/>
    <w:rsid w:val="00B45F83"/>
    <w:rsid w:val="00B81EB1"/>
    <w:rsid w:val="00B908A4"/>
    <w:rsid w:val="00BB73E6"/>
    <w:rsid w:val="00BB7B36"/>
    <w:rsid w:val="00BE018D"/>
    <w:rsid w:val="00C05426"/>
    <w:rsid w:val="00C0761A"/>
    <w:rsid w:val="00C5224D"/>
    <w:rsid w:val="00CE6633"/>
    <w:rsid w:val="00CF1386"/>
    <w:rsid w:val="00DB20DE"/>
    <w:rsid w:val="00DB4E1D"/>
    <w:rsid w:val="00ED4213"/>
    <w:rsid w:val="00F63ACD"/>
    <w:rsid w:val="00F85753"/>
    <w:rsid w:val="00FD550A"/>
    <w:rsid w:val="00FD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0DB5"/>
  <w15:chartTrackingRefBased/>
  <w15:docId w15:val="{D7054BAE-4ABC-5D46-843D-F1E46A06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53"/>
  </w:style>
  <w:style w:type="paragraph" w:styleId="Heading1">
    <w:name w:val="heading 1"/>
    <w:basedOn w:val="Normal"/>
    <w:next w:val="Normal"/>
    <w:link w:val="Heading1Char"/>
    <w:uiPriority w:val="9"/>
    <w:qFormat/>
    <w:rsid w:val="00F85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53"/>
    <w:rPr>
      <w:rFonts w:eastAsiaTheme="majorEastAsia" w:cstheme="majorBidi"/>
      <w:color w:val="272727" w:themeColor="text1" w:themeTint="D8"/>
    </w:rPr>
  </w:style>
  <w:style w:type="paragraph" w:styleId="Title">
    <w:name w:val="Title"/>
    <w:basedOn w:val="Normal"/>
    <w:next w:val="Normal"/>
    <w:link w:val="TitleChar"/>
    <w:uiPriority w:val="10"/>
    <w:qFormat/>
    <w:rsid w:val="00F85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53"/>
    <w:pPr>
      <w:spacing w:before="160"/>
      <w:jc w:val="center"/>
    </w:pPr>
    <w:rPr>
      <w:i/>
      <w:iCs/>
      <w:color w:val="404040" w:themeColor="text1" w:themeTint="BF"/>
    </w:rPr>
  </w:style>
  <w:style w:type="character" w:customStyle="1" w:styleId="QuoteChar">
    <w:name w:val="Quote Char"/>
    <w:basedOn w:val="DefaultParagraphFont"/>
    <w:link w:val="Quote"/>
    <w:uiPriority w:val="29"/>
    <w:rsid w:val="00F85753"/>
    <w:rPr>
      <w:i/>
      <w:iCs/>
      <w:color w:val="404040" w:themeColor="text1" w:themeTint="BF"/>
    </w:rPr>
  </w:style>
  <w:style w:type="paragraph" w:styleId="ListParagraph">
    <w:name w:val="List Paragraph"/>
    <w:basedOn w:val="Normal"/>
    <w:uiPriority w:val="34"/>
    <w:qFormat/>
    <w:rsid w:val="00F85753"/>
    <w:pPr>
      <w:ind w:left="720"/>
      <w:contextualSpacing/>
    </w:pPr>
  </w:style>
  <w:style w:type="character" w:styleId="IntenseEmphasis">
    <w:name w:val="Intense Emphasis"/>
    <w:basedOn w:val="DefaultParagraphFont"/>
    <w:uiPriority w:val="21"/>
    <w:qFormat/>
    <w:rsid w:val="00F85753"/>
    <w:rPr>
      <w:i/>
      <w:iCs/>
      <w:color w:val="0F4761" w:themeColor="accent1" w:themeShade="BF"/>
    </w:rPr>
  </w:style>
  <w:style w:type="paragraph" w:styleId="IntenseQuote">
    <w:name w:val="Intense Quote"/>
    <w:basedOn w:val="Normal"/>
    <w:next w:val="Normal"/>
    <w:link w:val="IntenseQuoteChar"/>
    <w:uiPriority w:val="30"/>
    <w:qFormat/>
    <w:rsid w:val="00F85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53"/>
    <w:rPr>
      <w:i/>
      <w:iCs/>
      <w:color w:val="0F4761" w:themeColor="accent1" w:themeShade="BF"/>
    </w:rPr>
  </w:style>
  <w:style w:type="character" w:styleId="IntenseReference">
    <w:name w:val="Intense Reference"/>
    <w:basedOn w:val="DefaultParagraphFont"/>
    <w:uiPriority w:val="32"/>
    <w:qFormat/>
    <w:rsid w:val="00F85753"/>
    <w:rPr>
      <w:b/>
      <w:bCs/>
      <w:smallCaps/>
      <w:color w:val="0F4761" w:themeColor="accent1" w:themeShade="BF"/>
      <w:spacing w:val="5"/>
    </w:rPr>
  </w:style>
  <w:style w:type="paragraph" w:styleId="FootnoteText">
    <w:name w:val="footnote text"/>
    <w:basedOn w:val="Normal"/>
    <w:link w:val="FootnoteTextChar"/>
    <w:uiPriority w:val="99"/>
    <w:semiHidden/>
    <w:unhideWhenUsed/>
    <w:rsid w:val="00F85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5753"/>
    <w:rPr>
      <w:sz w:val="20"/>
      <w:szCs w:val="20"/>
    </w:rPr>
  </w:style>
  <w:style w:type="character" w:styleId="FootnoteReference">
    <w:name w:val="footnote reference"/>
    <w:basedOn w:val="DefaultParagraphFont"/>
    <w:uiPriority w:val="99"/>
    <w:semiHidden/>
    <w:unhideWhenUsed/>
    <w:rsid w:val="00F85753"/>
    <w:rPr>
      <w:vertAlign w:val="superscript"/>
    </w:rPr>
  </w:style>
  <w:style w:type="character" w:styleId="Hyperlink">
    <w:name w:val="Hyperlink"/>
    <w:basedOn w:val="DefaultParagraphFont"/>
    <w:uiPriority w:val="99"/>
    <w:unhideWhenUsed/>
    <w:rsid w:val="00A14FFD"/>
    <w:rPr>
      <w:color w:val="467886" w:themeColor="hyperlink"/>
      <w:u w:val="single"/>
    </w:rPr>
  </w:style>
  <w:style w:type="character" w:styleId="UnresolvedMention">
    <w:name w:val="Unresolved Mention"/>
    <w:basedOn w:val="DefaultParagraphFont"/>
    <w:uiPriority w:val="99"/>
    <w:semiHidden/>
    <w:unhideWhenUsed/>
    <w:rsid w:val="00A14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Schottenfeld</dc:creator>
  <cp:keywords/>
  <dc:description/>
  <cp:lastModifiedBy>Jonathan B Petkun</cp:lastModifiedBy>
  <cp:revision>6</cp:revision>
  <dcterms:created xsi:type="dcterms:W3CDTF">2025-04-21T17:57:00Z</dcterms:created>
  <dcterms:modified xsi:type="dcterms:W3CDTF">2025-04-21T23:24:00Z</dcterms:modified>
</cp:coreProperties>
</file>