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color w:val="1A4175"/>
          <w:sz w:val="40"/>
          <w:szCs w:val="40"/>
        </w:rPr>
        <w:t xml:space="preserve">CMA Report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A4175"/>
          <w:sz w:val="28"/>
          <w:szCs w:val="28"/>
        </w:rPr>
        <w:t xml:space="preserve">Subject Property</w:t>
      </w:r>
    </w:p>
    <w:p>
      <w:pPr>
        <w:spacing w:after="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{d.subject_name}</w:t>
      </w:r>
    </w:p>
    <w:p>
      <w:pPr>
        <w:spacing w:after="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Asking Price: {d.subject_price}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A4175"/>
          <w:sz w:val="28"/>
          <w:szCs w:val="28"/>
        </w:rPr>
        <w:t xml:space="preserve">Comparable Properties</w:t>
      </w:r>
    </w:p>
    <w:p>
      <w:pPr>
        <w:spacing w:after="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{d.comparables}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A4175"/>
          <w:sz w:val="28"/>
          <w:szCs w:val="28"/>
        </w:rPr>
        <w:t xml:space="preserve">Market Trends &amp; Analysis</w:t>
      </w:r>
    </w:p>
    <w:p>
      <w:pPr>
        <w:spacing w:after="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{d.market_trends}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before="200"/>
      </w:pPr>
      <w:r>
        <w:rPr>
          <w:rFonts w:ascii="Calibri" w:cs="Calibri" w:eastAsia="Calibri" w:hAnsi="Calibri"/>
          <w:i/>
          <w:iCs/>
          <w:color w:val="888888"/>
          <w:sz w:val="18"/>
          <w:szCs w:val="18"/>
        </w:rPr>
        <w:t xml:space="preserve">This CMA is prepared for informational purposes. All data sourced from public listings and market reports. Consult a licensed appraiser for formal valuation.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Generated by </w:t>
    </w:r>
    <w:r>
      <w:rPr>
        <w:rFonts w:ascii="Calibri" w:cs="Calibri" w:eastAsia="Calibri" w:hAnsi="Calibri"/>
        <w:i/>
        <w:iCs/>
        <w:color w:val="888888"/>
        <w:sz w:val="18"/>
        <w:szCs w:val="18"/>
      </w:rPr>
      <w:t xml:space="preserve">{d.generated_date}</w:t>
    </w:r>
    <w:r>
      <w:rPr>
        <w:rFonts w:ascii="Calibri" w:cs="Calibri" w:eastAsia="Calibri" w:hAnsi="Calibri"/>
        <w:color w:val="1A4175"/>
        <w:sz w:val="18"/>
        <w:szCs w:val="18"/>
      </w:rPr>
      <w:t xml:space="preserve">  |  TopRealty AI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hd w:fill="1A4175" w:color="1A4175" w:val="clear"/>
      <w:jc w:val="center"/>
    </w:pPr>
    <w:r>
      <w:rPr>
        <w:rFonts w:ascii="Calibri" w:cs="Calibri" w:eastAsia="Calibri" w:hAnsi="Calibri"/>
        <w:b/>
        <w:bCs/>
        <w:color w:val="FFFFFF"/>
        <w:sz w:val="24"/>
        <w:szCs w:val="24"/>
      </w:rPr>
      <w:t xml:space="preserve">COMPARATIVE MARKET ANALYSIS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2026-07-16T02:05:05.861Z</dcterms:created>
  <dcterms:modified xsi:type="dcterms:W3CDTF">2026-07-16T02:05:05.861Z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